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Homeowners Policy HO-3: Declarations and Endorsements</w:t>
      </w:r>
    </w:p>
    <w:p>
      <w:pPr>
        <w:pStyle w:val="Heading2"/>
        <w:bidi w:val="0"/>
        <w:jc w:val="left"/>
        <w:rPr/>
      </w:pPr>
      <w:r>
        <w:rPr/>
        <w:t>Coverage summary</w:t>
      </w:r>
    </w:p>
    <w:p>
      <w:pPr>
        <w:pStyle w:val="BodyText"/>
        <w:bidi w:val="0"/>
        <w:jc w:val="left"/>
        <w:rPr/>
      </w:pPr>
      <w:r>
        <w:rPr/>
        <w:t>Dwelling coverage A: $410,000. Personal property coverage C: $205,000. Policy period March 1 to March 1, renewed annually.</w:t>
      </w:r>
    </w:p>
    <w:p>
      <w:pPr>
        <w:pStyle w:val="Heading2"/>
        <w:bidi w:val="0"/>
        <w:jc w:val="left"/>
        <w:rPr/>
      </w:pPr>
      <w:r>
        <w:rPr/>
        <w:t>Endorsements</w:t>
      </w:r>
    </w:p>
    <w:p>
      <w:pPr>
        <w:pStyle w:val="Heading3"/>
        <w:bidi w:val="0"/>
        <w:jc w:val="left"/>
        <w:rPr/>
      </w:pPr>
      <w:r>
        <w:rPr/>
        <w:t>Water backup of sewers and drains</w:t>
      </w:r>
    </w:p>
    <w:p>
      <w:pPr>
        <w:pStyle w:val="BodyText"/>
        <w:bidi w:val="0"/>
        <w:jc w:val="left"/>
        <w:rPr/>
      </w:pPr>
      <w:r>
        <w:rPr/>
        <w:t>Endorsement HO 04 95 adds coverage when water backs up through a sewer or drain or overflows from a sump. Limit $10,000 per occurrence, with a separate $1,000 deductible.</w:t>
      </w:r>
    </w:p>
    <w:p>
      <w:pPr>
        <w:pStyle w:val="Heading3"/>
        <w:bidi w:val="0"/>
        <w:jc w:val="left"/>
        <w:rPr/>
      </w:pPr>
      <w:r>
        <w:rPr/>
        <w:t>Scheduled personal property</w:t>
      </w:r>
    </w:p>
    <w:p>
      <w:pPr>
        <w:pStyle w:val="BodyText"/>
        <w:bidi w:val="0"/>
        <w:jc w:val="left"/>
        <w:rPr/>
      </w:pPr>
      <w:r>
        <w:rPr/>
        <w:t>The engagement ring is scheduled at an appraised value of $6,800 with no deductible.</w:t>
      </w:r>
    </w:p>
    <w:p>
      <w:pPr>
        <w:pStyle w:val="Heading2"/>
        <w:bidi w:val="0"/>
        <w:jc w:val="left"/>
        <w:rPr/>
      </w:pPr>
      <w:r>
        <w:rPr/>
        <w:t>Exclusions</w:t>
      </w:r>
    </w:p>
    <w:p>
      <w:pPr>
        <w:pStyle w:val="BodyText"/>
        <w:bidi w:val="0"/>
        <w:spacing w:before="0" w:after="283"/>
        <w:jc w:val="left"/>
        <w:rPr/>
      </w:pPr>
      <w:r>
        <w:rPr/>
        <w:t>Surface flooding from outside, earthquake and earth movement are not covered.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