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one frozen encoder per modality: Nucleotide Transformer 500M human-ref reads each coding sequence in DNA letters, RNA-FM reads it in RNA letters, and ESM-2 35M reads its translation. The next step adds more than one model per modality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linear signal about mRNA stability (R² = 0.103). The DNA (0.015) and RNA (0.028) embeddings show no reliable linear signal; their fold standard deviations exceed their means.</w:t>
      </w:r>
    </w:p>
    <w:p>
      <w:pPr>
        <w:pStyle w:val="ListParagraph"/>
        <w:numPr>
          <w:ilvl w:val="0"/>
          <w:numId w:val="2"/>
        </w:numPr>
        <w:spacing w:after="100"/>
      </w:pPr>
      <w:r>
        <w:t>The DNA and RNA embeddings agree most with each other (final-layer CKA 0.530), and both agree less with protein (0.128 and 0.199). After fitting linear projections, each modality still finds its matched partner far above chance (CCA Recall@1 0.549, 0.366, and 0.224 against 0.0034). Removing letter, codon, and amino-acid composition cuts CKA by 72% to 81% and Recall@1 to between 0.02 and 0.11, so most cross-modal agreement is compositional.</w:t>
      </w:r>
    </w:p>
    <w:p>
      <w:pPr>
        <w:pStyle w:val="ListParagraph"/>
        <w:numPr>
          <w:ilvl w:val="0"/>
          <w:numId w:val="2"/>
        </w:numPr>
        <w:spacing w:after="100"/>
      </w:pPr>
      <w:r>
        <w:t>Simple linear concatenation shows no synergy: the best combination (RNA plus protein) reaches R² 0.103, the same as protein alone, and all three modalities together reach 0.098.</w:t>
      </w:r>
    </w:p>
    <w:p>
      <w:pPr>
        <w:pStyle w:val="ListParagraph"/>
        <w:numPr>
          <w:ilvl w:val="0"/>
          <w:numId w:val="2"/>
        </w:numPr>
        <w:spacing w:after="100"/>
      </w:pPr>
      <w:r>
        <w:t>Neither the DNA nor the RNA encoder's final-layer attention concentrates at known mRNA stability motifs (AU-rich elements and m6A sites) within coding sequence.</w:t>
      </w:r>
    </w:p>
    <w:p>
      <w:pPr>
        <w:pStyle w:val="Heading2"/>
      </w:pPr>
      <w:r>
        <w:t xml:space="preserve">Proposed Alignment Reading</w:t>
      </w:r>
    </w:p>
    <w:p>
      <w:pPr>
        <w:spacing w:after="160"/>
      </w:pPr>
      <w:r>
        <w:t>Mapped onto the alignment theory framework (Section 3.2), these results point to the "low alignment, high uniqueness" branch for the pairs involving protein: the modalities agree weakly, and most of that agreement is reproduced by sequence composition alone. The DNA and RNA encoders are more aligned, as expected for two models reading the same letters, but their agreement is also mostly compositional. Synergy is not demonstrated by linear concatenation and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one frozen encoder per modality: Nucleotide Transformer 500M human-ref reads each coding sequence in DNA letters, RNA-FM reads it in RNA letters, and ESM-2 35M reads its translation.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each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each pair of the three encoders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DNA-encoder and RNA-encoder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all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for DNA, RNA-FM for RNA, and ESM-2 35M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modality pair: 0.010, -0.013, and -0.131,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all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(CPU run, Python 3.12, transformers 5.15.1, multimolecule 0.2.1)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Pipeline:</w:t>
      </w:r>
      <w:r>
        <w:t xml:space="preserve"> the notebook loads mRNA_Stability, keeps valid, in-frame sequences that start with a start codon, and translates each kept sequence to its protein via the genetic code. Each kept sequence is embedded three ways with frozen, off-the-shelf encoders: in DNA letters by Nucleotide Transformer 500M human-ref (1,280 dimensions), in RNA letters by RNA-FM (640 dimensions, reading at most the first 1,022 nucleotides), and as its translated protein by ESM-2 35M (480 dimensions). Of 1,000 sampled sequences, 981 pass the validity filter (98% retention).</w:t>
      </w:r>
    </w:p>
    <w:p>
      <w:pPr>
        <w:pStyle w:val="ListParagraph"/>
        <w:numPr>
          <w:ilvl w:val="0"/>
          <w:numId w:val="2"/>
        </w:numPr>
        <w:spacing w:after="100"/>
      </w:pPr>
      <w:r>
        <w:rPr>
          <w:b/>
          <w:bCs/>
        </w:rPr>
        <w:t>Correctness control (mRFP_Expression):</w:t>
      </w:r>
      <w:r>
        <w:t xml:space="preserve"> all 1,000 synonymous-recoding variants translate to one identical protein, as expected. Protein embeddings for these variants collapse almost to a single point (average distance to centroid 0.00003), while the DNA (4.72) and RNA (0.82) embeddings, which see the codon-level differences, spread out clearly.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mRNA stability probe:</w:t>
      </w:r>
      <w:r>
        <w:t xml:space="preserve"> DNA embeddings reach R² 0.015 ± 0.072, RNA embeddings 0.028 ± 0.065, and protein embeddings 0.103 ± 0.034. Protein carries a modest, reliable signal, about three fold standard deviations above zero; the DNA and RNA means are smaller than their fold standard deviations, so neither shows a reliable linear signal. Both nucleotide encoders read the same letters, so their low scores are not caused by missing input; their pooled embeddings are dominated by composition (see GC below), and RNA-FM sees only the first 1,022 nucleotides.</w:t>
      </w:r>
    </w:p>
    <w:p>
      <w:pPr>
        <w:pStyle w:val="ListParagraph"/>
        <w:numPr>
          <w:ilvl w:val="0"/>
          <w:numId w:val="2"/>
        </w:numPr>
        <w:spacing w:after="100"/>
      </w:pPr>
      <w:r>
        <w:rPr>
          <w:b/>
          <w:bCs/>
        </w:rPr>
        <w:t>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GC content probe (known-property validity check):</w:t>
      </w:r>
      <w:r>
        <w:t xml:space="preserve"> DNA embeddings recover GC content almost perfectly (R² 0.986) and RNA embeddings nearly so (0.950),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Synergy check:</w:t>
      </w:r>
      <w:r>
        <w:t xml:space="preserve"> DNA plus RNA reaches R² 0.032 ± 0.073, DNA plus protein 0.100 ± 0.048, RNA plus protein 0.103 ± 0.045, and all three 0.098 ± 0.060, against 0.103 ± 0.034 for protein alone. Every difference from the best member is under 0.01 and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Codon usage bias probe (GC3):</w:t>
      </w:r>
      <w:r>
        <w:t xml:space="preserve"> DNA and RNA embeddings recover GC3 (the GC fraction at each codon's third position, the classical proxy for codon usage bias) at R² 0.969 and 0.919, protein embeddings at 0.380. GC3 correlates 0.922 with overall GC content. The nucleotide encoders lose almost nothing from GC to GC3, while protein falls from 0.678 to 0.380, consistent with translation collapsing synonymous codons to the same amino acid. This is the clearest evidence that the DNA and RNA embeddings carry information the protein embedding cannot: synonymous codon usage.</w:t>
      </w:r>
    </w:p>
    <w:p>
      <w:pPr>
        <w:pStyle w:val="ListParagraph"/>
        <w:numPr>
          <w:ilvl w:val="0"/>
          <w:numId w:val="2"/>
        </w:numPr>
        <w:spacing w:after="100"/>
      </w:pPr>
      <w:r>
        <w:rPr>
          <w:b/>
          <w:bCs/>
        </w:rPr>
        <w:t>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DNA embeddings reach R² 0.089 ± 0.033, RNA embeddings 0.141 ± 0.093, and protein embeddings 0.093 ± 0.055. All three are small but positive. RNA-FM, pretrained on structured non-coding RNA, has the highest mean, but its fold standard deviation is large enough that the three cannot be separated with 200 rows. The protein encoder scores as well as the DNA encoder without seeing nucleotides, so composition likely carries much of this proxy.</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Final-layer linear CKA:</w:t>
      </w:r>
      <w:r>
        <w:t xml:space="preserve"> 0.530 for DNA-RNA, 0.128 for DNA-protein, and 0.199 for RNA-protein. The two nucleotide encoders organize the sequences much more similarly than either does with the protein encoder, as expected for models reading the same letters.</w:t>
      </w:r>
    </w:p>
    <w:p>
      <w:pPr>
        <w:pStyle w:val="ListParagraph"/>
        <w:numPr>
          <w:ilvl w:val="0"/>
          <w:numId w:val="2"/>
        </w:numPr>
        <w:spacing w:after="100"/>
      </w:pPr>
      <w:r>
        <w:rPr>
          <w:b/>
          <w:bCs/>
        </w:rPr>
        <w:t>Layer-wise CKA</w:t>
      </w:r>
      <w:r>
        <w:t xml:space="preserve"> across every internal layer of each pair of encoders (25 hidden-state outputs for the 24-layer DNA encoder, 13 each for the 12-layer RNA and protein encoders). DNA-RNA agreement peaks at 0.764, at DNA layer 14 and RNA layer 1, with a band of high agreement at DNA layers 12 to 16 across every RNA layer. Both pairs involving protein peak at the protein encoder's embedding layer, before self-attention mixes in any context: 0.400 at DNA layer 16 and 0.451 at RNA layer 5. Excluding that layer, the peaks drop to 0.359 and 0.306 at protein layer 1. Together with the GC content probe, this pointed to composition as the main driver of cross-modal agreement, which the composition control below confirms.</w:t>
      </w:r>
    </w:p>
    <w:p>
      <w:pPr>
        <w:pStyle w:val="ListParagraph"/>
        <w:numPr>
          <w:ilvl w:val="0"/>
          <w:numId w:val="2"/>
        </w:numPr>
        <w:spacing w:after="100"/>
      </w:pPr>
      <w:r>
        <w:rPr>
          <w:b/>
          <w:bCs/>
        </w:rPr>
        <w:t>Layer-wise sampling note:</w:t>
      </w:r>
      <w:r>
        <w:t xml:space="preserve"> the layer-wise analysis uses a 200-sequence subsample. Its final-layer scores (0.596, 0.187, and 0.225) are higher than the full-sample values, as expected for linear CKA with few examples relative to the embedding widths, so the layer-wise heatmap values should be compared within that analysis rather than with the full-sample values.</w:t>
      </w:r>
    </w:p>
    <w:p>
      <w:pPr>
        <w:pStyle w:val="ListParagraph"/>
        <w:numPr>
          <w:ilvl w:val="0"/>
          <w:numId w:val="2"/>
        </w:numPr>
        <w:spacing w:after="100"/>
      </w:pPr>
      <w:r>
        <w:rPr>
          <w:b/>
          <w:bCs/>
        </w:rPr>
        <w:t>Mutual k-nearest-neighbor alignment (k = 10):</w:t>
      </w:r>
      <w:r>
        <w:t xml:space="preserve"> 0.118 for DNA-RNA, 0.070 for DNA-protein, and 0.060 for RNA-protein, against a chance level of about 0.010, roughly 12, 7, and 6 times above random. This corroborates CKA's read of modest but real global alignment, strongest between the two nucleotide encoders.</w:t>
      </w:r>
    </w:p>
    <w:p>
      <w:pPr>
        <w:pStyle w:val="ListParagraph"/>
        <w:numPr>
          <w:ilvl w:val="0"/>
          <w:numId w:val="2"/>
        </w:numPr>
        <w:spacing w:after="100"/>
      </w:pPr>
      <w:r>
        <w:rPr>
          <w:b/>
          <w:bCs/>
        </w:rPr>
        <w:t>CCA</w:t>
      </w:r>
      <w:r>
        <w:t xml:space="preserve"> (PCA-reduced to 50 dimensions per modality, then 10 canonical components, evaluated on a held-out 30% test split of 295 rows): the top canonical correlation is 0.972 for DNA-RNA, 0.955 for DNA-protein, and 0.908 for RNA-protein. Cross-modal retrieval in that learned subspace finds the correct match as the top candidate 54.9%, 36.6%, and 22.4% of the time (chance 0.3%), and within the top 10 89.2%, 75.9%, and 62.4% of the time.</w:t>
      </w:r>
    </w:p>
    <w:p>
      <w:pPr>
        <w:pStyle w:val="ListParagraph"/>
        <w:numPr>
          <w:ilvl w:val="0"/>
          <w:numId w:val="2"/>
        </w:numPr>
        <w:spacing w:after="100"/>
      </w:pPr>
      <w:r>
        <w:rPr>
          <w:b/>
          <w:bCs/>
        </w:rPr>
        <w:t>Reading Track B together:</w:t>
      </w:r>
      <w:r>
        <w:t xml:space="preserve"> CKA and mutual k-NN say the full spaces mostly disagree, especially with protein; CCA and retrieval say a specific, strong, learnable shared subspace exists within each pair. The composition control shows that this shared subspace is mostly composition.</w:t>
      </w:r>
    </w:p>
    <w:p>
      <w:pPr>
        <w:pStyle w:val="ListParagraph"/>
        <w:numPr>
          <w:ilvl w:val="0"/>
          <w:numId w:val="2"/>
        </w:numPr>
        <w:spacing w:after="100"/>
      </w:pPr>
      <w:r>
        <w:rPr>
          <w:b/>
          <w:bCs/>
        </w:rPr>
        <w:t>Composition control:</w:t>
      </w:r>
      <w:r>
        <w:t xml:space="preserve"> composition explains, in sample, 61.8% of the DNA embedding variance, 67.7% of the RNA, and 44.6% of the protein, against about 9% expected by chance from 88 predictors. After regressing letter, codon, and amino-acid frequencies out of every embedding, CKA falls to 0.101, 0.027, and 0.055 (drops of 72% to 81%), and CCA Recall@1 falls to 0.112, 0.024, and 0.054, still about 33, 7, and 16 times chance. Most cross-modal agreement between these frozen pooled embeddings is therefore compositional; the small residual, largest between DNA and RNA, is the part that could reflect shared information beyond composition. Raw similarity between frozen embeddings is a weak alignment target, and later comparisons should report agreement before and after this control.</w:t>
      </w:r>
    </w:p>
    <w:p>
      <w:pPr>
        <w:pStyle w:val="ListParagraph"/>
        <w:numPr>
          <w:ilvl w:val="0"/>
          <w:numId w:val="2"/>
        </w:numPr>
        <w:spacing w:after="100"/>
      </w:pPr>
      <w:r>
        <w:rPr>
          <w:b/>
          <w:bCs/>
        </w:rPr>
        <w:t>UMAP:</w:t>
      </w:r>
      <w:r>
        <w:t xml:space="preserve"> each of the three layouts shows one large main cluster plus a small separated group, and the protein layout also shows several small satellite clusters.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Attention-motif overlap test (results):</w:t>
      </w:r>
      <w:r>
        <w:t xml:space="preserve"> for the DNA encoder, in the single-example check, 311 matched positions show mean attention of 0.0031 versus 0.0033 elsewhere (p = 0.60). RNA-FM covers only the first 1,022 of that sequence's 2,556 nucleotides, and its 135 matched positions show 0.0172 versus 0.0138 (p = 0.068). Across the 100-sequence aggregate, all 100 sequences yield usable hits for both encoders; 7% (DNA) and 9% (RNA) show nominally higher attention at motif positions, against a 5% chance baseline, and the mean attention gaps are slightly negative (-0.0009 and -0.0015). The ARE pentamer appears in 41 sequences within the DNA encoder's coverage and 33 within RNA-FM's, and the ARE nonamer in none.</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98.5% start with ATG, and 99.3%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Alignment-error association (an exploratory adaptation of the ICML 2025 paper's diagnostic, reported as a Spearman correlation rather than a fitted slope):</w:t>
      </w:r>
      <w:r>
        <w:t xml:space="preserve"> on the held-out CCA test-set vectors, the Spearman correlation between per-sample local alignment and downstream prediction error is 0.010 (p = 0.86) for DNA-RNA, -0.013 (p = 0.83) for DNA-protein, and -0.131 (p = 0.025) for RNA-protein. The RNA-protein association is weak and does not survive a correction for testing three pairs (Bonferroni threshold 0.0167).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Representational Similarity Analysis (RSA):</w:t>
      </w:r>
      <w:r>
        <w:t xml:space="preserve"> the Spearman correlation between two modalities' internal pairwise-distance structures is 0.548 for DNA-RNA, 0.234 for DNA-protein, and 0.238 for RNA-protein. A Mantel permutation test with 499 permutations gives p = 0.002 for every pair, the smallest attainable value, so each pair shares more distance structure than chance. RSA ranks the pairs as CKA does, and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linear signal about mRNA stability that is not driven by sequence length (R² 0.103); the DNA (0.015) and RNA (0.028) embeddings show no reliable linear signal. The pipeline is verified correct by the synonymous-recoding control. The two nucleotide embeddings agree much more with each other than with protein, CCA and retrieval find a strong shared subspace for every pair, and the composition control shows that most of this agreement is reproduced by letter, codon, and amino-acid frequencies alone. The alignment-error association finds no reliable relationship between local alignment and downstream error.</w:t>
      </w:r>
    </w:p>
    <w:p>
      <w:pPr>
        <w:spacing w:after="160"/>
      </w:pPr>
      <w:r>
        <w:t>The attention-motif overlap test is null for both nucleotide encoders, though only coding sequence could be tested. Linear concatenation shows no synergy (best combination 0.103, equal to protein alone); whether a learned fusion mechanism can use the modalities together is the Stage 3 question. GC3 shows that the DNA and RNA embeddings keep synonymous codon information the protein embedding lacks, and the secondary structure proxy is weakly decodable from all three embeddings. Every planned Stage 1 check is implemented and run.</w:t>
      </w:r>
    </w:p>
    <w:p>
      <w:pPr>
        <w:pStyle w:val="Heading2"/>
      </w:pPr>
      <w:r>
        <w:t xml:space="preserve">9.6 Interpreting the Results</w:t>
      </w:r>
    </w:p>
    <w:p>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that subspace is mostly composition.</w:t>
      </w:r>
    </w:p>
    <w:p>
      <w:pPr>
        <w:pStyle w:val="ListParagraph"/>
        <w:numPr>
          <w:ilvl w:val="0"/>
          <w:numId w:val="2"/>
        </w:numPr>
        <w:spacing w:after="100"/>
      </w:pPr>
      <w:r>
        <w:rPr>
          <w:b/>
          <w:bCs/>
        </w:rPr>
        <w:t>Placement in the alignment framework.</w:t>
      </w:r>
      <w:r>
        <w:t xml:space="preserve"> The evidence from several methods points to high uniqueness for the pairs involving protein, with the shared part largely compositional. The DNA and RNA encoders are more redundant with each other, as expected for two models reading the same sequence. Synergy is a separate question: linear concatenation shows none, and Stage 3 tests it properly.</w:t>
      </w:r>
    </w:p>
    <w:p>
      <w:pPr>
        <w:pStyle w:val="ListParagraph"/>
        <w:numPr>
          <w:ilvl w:val="0"/>
          <w:numId w:val="2"/>
        </w:numPr>
        <w:spacing w:after="100"/>
      </w:pPr>
      <w:r>
        <w:rPr>
          <w:b/>
          <w:bCs/>
        </w:rPr>
        <w:t>Implication for fusion.</w:t>
      </w:r>
      <w:r>
        <w:t xml:space="preserve"> Linear concatenation shows no synergy, and the cross-modal structure the encoders share is mostly composition that each encoder can already see. A learned fusion mechanism (Coupled Mamba, then cross-attention) is still the right Stage 3 test, since it can use token-level interactions that pooled linear probes cannot, but the bar is high: it must beat protein alone and the concatenation-plus-MLP baseline.</w:t>
      </w:r>
    </w:p>
    <w:p>
      <w:pPr>
        <w:pStyle w:val="ListParagraph"/>
        <w:numPr>
          <w:ilvl w:val="0"/>
          <w:numId w:val="2"/>
        </w:numPr>
        <w:spacing w:after="100"/>
      </w:pPr>
      <w:r>
        <w:rPr>
          <w:b/>
          <w:bCs/>
        </w:rPr>
        <w:t>The null attention result is a real result.</w:t>
      </w:r>
      <w:r>
        <w:t xml:space="preserve"> Neither frozen nucleotide encoder's aggregated final-layer attention tracks these canonical stability elements, within the coding-only limit described above.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Toolkit implemented and run:</w:t>
      </w:r>
      <w:r>
        <w:t xml:space="preserve"> linear probing (RidgeCV, 5-fold grouped cross-validation),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DNA and RNA encoders, RSA with a Mantel permutation test, the dataset audit, and the two extended Track A probes (GC3 and Nussinov pairing fraction), all for DNA, RNA, and protein.</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Multiple Encoders per Modality</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in a separate notebook, to take a list of encoders (for example Nucleotide Transformer v2 100M and DNABERT-2 for DNA; mRNA-FM for RNA; ESM-2 8M and 150M for protein) and produce pairwise CKA, mutual k-NN, RSA, CCA, and retrieval matrices, including pairs within one modality as a baseline. Nucleotide Transformer v2 and DNABERT-2 need small compatibility adjustments to load under transformers 5.</w:t>
      </w:r>
    </w:p>
    <w:p>
      <w:pPr>
        <w:pStyle w:val="ListParagraph"/>
        <w:numPr>
          <w:ilvl w:val="0"/>
          <w:numId w:val="2"/>
        </w:numPr>
        <w:spacing w:after="100"/>
      </w:pPr>
      <w:r>
        <w:t>Report every new comparison before and after the composition control, with the Mantel test for RSA, as Stage 1 now does.</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The composition control already answers the earlier open question: the shared subspace is mostly compositional. A next check is whether the small residual agreement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