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Style w:val="Title"/>
        <w:keepNext/>
        <w:keepLines/>
        <w:widowControl/>
      </w:pPr>
      <w:r>
        <w:rPr>
          <w:rFonts w:ascii="Times New Roman" w:hAnsi="Times New Roman" w:eastAsia="Times New Roman" w:cs="Times New Roman"/>
          <w:sz w:val="24"/>
          <w:color w:val="000000"/>
          <w:b/>
        </w:rPr>
        <w:t xml:space="preserve">Annotated Bibliography</w:t>
      </w:r>
    </w:p>
    <w:p>
      <w:pPr>
        <w:spacing w:after="0" w:before="0" w:line="480"/>
        <w:jc w:val="center"/>
        <w:keepNext/>
        <w:keepLines/>
        <w:widowControl/>
      </w:pPr>
      <w:r>
        <w:rPr>
          <w:rFonts w:ascii="Times New Roman" w:hAnsi="Times New Roman" w:eastAsia="Times New Roman" w:cs="Times New Roman"/>
          <w:sz w:val="24"/>
          <w:color w:val="000000"/>
        </w:rPr>
        <w:t xml:space="preserve">RNA and Protein Representation Analysis and Fusion</w:t>
      </w:r>
    </w:p>
    <w:p>
      <w:pPr>
        <w:spacing w:after="0" w:before="0" w:line="480"/>
        <w:jc w:val="center"/>
        <w:keepNext/>
        <w:keepLines/>
        <w:widowControl/>
      </w:pPr>
      <w:r>
        <w:rPr>
          <w:rFonts w:ascii="Times New Roman" w:hAnsi="Times New Roman" w:eastAsia="Times New Roman" w:cs="Times New Roman"/>
          <w:sz w:val="24"/>
          <w:color w:val="000000"/>
        </w:rPr>
        <w:t xml:space="preserve">Biological Foundation Models Research Team</w:t>
      </w:r>
    </w:p>
    <w:p>
      <w:pPr>
        <w:spacing w:after="0" w:before="0" w:line="480"/>
        <w:jc w:val="center"/>
        <w:keepNext/>
        <w:keepLines/>
        <w:widowControl/>
      </w:pPr>
      <w:r>
        <w:rPr>
          <w:rFonts w:ascii="Times New Roman" w:hAnsi="Times New Roman" w:eastAsia="Times New Roman" w:cs="Times New Roman"/>
          <w:sz w:val="24"/>
          <w:color w:val="000000"/>
        </w:rPr>
        <w:t xml:space="preserve">CAP 6942 Capstone Project</w:t>
      </w:r>
    </w:p>
    <w:p>
      <w:pPr>
        <w:spacing w:after="0" w:before="0" w:line="480"/>
        <w:jc w:val="center"/>
        <w:keepNext/>
        <w:keepLines/>
        <w:widowControl/>
      </w:pPr>
      <w:r>
        <w:rPr>
          <w:rFonts w:ascii="Times New Roman" w:hAnsi="Times New Roman" w:eastAsia="Times New Roman" w:cs="Times New Roman"/>
          <w:sz w:val="24"/>
          <w:color w:val="000000"/>
        </w:rPr>
        <w:t xml:space="preserve">September 26 2026</w:t>
      </w:r>
    </w:p>
    <w:p>
      <w:pPr>
        <w:spacing w:after="0" w:before="240" w:line="480"/>
        <w:ind w:left="0" w:firstLine="0"/>
        <w:widowControl/>
      </w:pPr>
      <w:r>
        <w:rPr>
          <w:rFonts w:ascii="Times New Roman" w:hAnsi="Times New Roman" w:eastAsia="Times New Roman" w:cs="Times New Roman"/>
          <w:sz w:val="24"/>
          <w:color w:val="000000"/>
        </w:rPr>
        <w:t xml:space="preserve">This bibliography supports our work on choosing biological modalities and pretrained models, and evaluating when and how their representations can be usefully combined. The eight sources connect the current nucleotide and protein analysis to fusion methods, interpretation, and evaluation. The annotations distinguish reported evidence from project relevance; they do not constitute an approved research protocol.</w:t>
      </w:r>
    </w:p>
    <w:p>
      <w:pPr>
        <w:spacing w:after="0" w:before="240" w:line="480"/>
        <w:ind w:left="720" w:hanging="720"/>
        <w:keepNext/>
        <w:keepLines/>
        <w:widowControl/>
      </w:pPr>
      <w:r>
        <w:rPr>
          <w:rFonts w:ascii="Times New Roman" w:hAnsi="Times New Roman" w:eastAsia="Times New Roman" w:cs="Times New Roman"/>
          <w:sz w:val="24"/>
          <w:color w:val="000000"/>
        </w:rPr>
        <w:t xml:space="preserve">Dalla-Torre, H., Gonzalez, L., Mendoza-Revilla, J., Lopez Carranza, N., Grzywaczewski, A. H., Oteri, F., Dallago, C., Trop, E., de Almeida, B. P., Sirelkhatim, H., Richard, G., Skwark, M., Beguir, K., Lopez, M., &amp; Pierrot, T. (2025). Nucleotide Transformer: Building and evaluating robust foundation models for human genomics. </w:t>
      </w:r>
      <w:r>
        <w:rPr>
          <w:rFonts w:ascii="Times New Roman" w:hAnsi="Times New Roman" w:eastAsia="Times New Roman" w:cs="Times New Roman"/>
          <w:sz w:val="24"/>
          <w:color w:val="000000"/>
          <w:i/>
        </w:rPr>
        <w:t xml:space="preserve">Nature Methods, 22</w:t>
      </w:r>
      <w:r>
        <w:rPr>
          <w:rFonts w:ascii="Times New Roman" w:hAnsi="Times New Roman" w:eastAsia="Times New Roman" w:cs="Times New Roman"/>
          <w:sz w:val="24"/>
          <w:color w:val="000000"/>
        </w:rPr>
        <w:t xml:space="preserve">(2), 287–297. https://doi.org/10.1038/s41592-024-02523-z</w:t>
      </w:r>
    </w:p>
    <w:p>
      <w:pPr>
        <w:spacing w:after="0" w:before="0" w:line="480"/>
        <w:ind w:left="720" w:firstLine="720"/>
        <w:widowControl/>
      </w:pPr>
      <w:r>
        <w:rPr>
          <w:rFonts w:ascii="Times New Roman" w:hAnsi="Times New Roman" w:eastAsia="Times New Roman" w:cs="Times New Roman"/>
          <w:sz w:val="24"/>
          <w:color w:val="000000"/>
        </w:rPr>
        <w:t xml:space="preserve">Dalla-Torre et al. develop a family of DNA-pretrained transformers and evaluate their representations across 18 genomic prediction tasks. Masked-language training learns contextual sequence features, which the authors assess through frozen-feature probing and fine-tuning. The study compares model scale, training data, and embedding layers. Its results show that useful downstream features depend on these choices, with the last layer not consistently providing the best representation.</w:t>
      </w:r>
    </w:p>
    <w:p>
      <w:pPr>
        <w:spacing w:after="0" w:before="0" w:line="480"/>
        <w:ind w:left="720" w:firstLine="720"/>
        <w:widowControl/>
      </w:pPr>
      <w:r>
        <w:rPr>
          <w:rFonts w:ascii="Times New Roman" w:hAnsi="Times New Roman" w:eastAsia="Times New Roman" w:cs="Times New Roman"/>
          <w:sz w:val="24"/>
          <w:color w:val="000000"/>
        </w:rPr>
        <w:t xml:space="preserve">The publication establishes the model family's provenance and genomic evaluation, rather than performance on every RNA-related target. Using an RNA-associated sequence in DNA-letter form does not turn the checkpoint into an RNA-pretrained model. Tokenization, truncation, selected layer, pooling, and evaluation design affect what information reaches a downstream predictor. The paper does not independently validate the project's alignment measurements or stability labels.</w:t>
      </w:r>
    </w:p>
    <w:p>
      <w:pPr>
        <w:spacing w:after="0" w:before="0" w:line="480"/>
        <w:ind w:left="720" w:firstLine="720"/>
        <w:widowControl/>
      </w:pPr>
      <w:r>
        <w:rPr>
          <w:rFonts w:ascii="Times New Roman" w:hAnsi="Times New Roman" w:eastAsia="Times New Roman" w:cs="Times New Roman"/>
          <w:sz w:val="24"/>
          <w:color w:val="000000"/>
        </w:rPr>
        <w:t xml:space="preserve">This source belongs in the bibliography because Stage 1 configures </w:t>
      </w:r>
      <w:r>
        <w:rPr>
          <w:rFonts w:ascii="Times New Roman" w:hAnsi="Times New Roman" w:eastAsia="Times New Roman" w:cs="Times New Roman"/>
          <w:sz w:val="24"/>
          <w:color w:val="000000"/>
        </w:rPr>
        <w:t xml:space="preserve">InstaDeepAI/nucleotide-transformer-500m-human-ref</w:t>
      </w:r>
      <w:r>
        <w:rPr>
          <w:rFonts w:ascii="Times New Roman" w:hAnsi="Times New Roman" w:eastAsia="Times New Roman" w:cs="Times New Roman"/>
          <w:sz w:val="24"/>
          <w:color w:val="000000"/>
        </w:rPr>
        <w:t xml:space="preserve"> for its nucleotide branch. The paper and checkpoint documentation help explain what that branch receives and what its frozen representations can reasonably be claimed to represent. They also motivate treating layer choice as an experimental variable rather than assuming one embedding is universally best.</w:t>
      </w:r>
    </w:p>
    <w:p>
      <w:pPr>
        <w:spacing w:after="0" w:before="240" w:line="480"/>
        <w:ind w:left="720" w:hanging="720"/>
        <w:keepNext/>
        <w:keepLines/>
        <w:widowControl/>
      </w:pPr>
      <w:r>
        <w:rPr>
          <w:rFonts w:ascii="Times New Roman" w:hAnsi="Times New Roman" w:eastAsia="Times New Roman" w:cs="Times New Roman"/>
          <w:sz w:val="24"/>
          <w:color w:val="000000"/>
        </w:rPr>
        <w:t xml:space="preserve">Garau-Luis, J. J., Bordes, P., Gonzalez, L., Roller, M., de Almeida, B. P., Hexemer, L., Blum, C., Laurent, S., Grzegorzewski, J., Lang, M., Pierrot, T., &amp; Richard, G. (2024). Multi-modal transfer learning between biological foundation models. In </w:t>
      </w:r>
      <w:r>
        <w:rPr>
          <w:rFonts w:ascii="Times New Roman" w:hAnsi="Times New Roman" w:eastAsia="Times New Roman" w:cs="Times New Roman"/>
          <w:sz w:val="24"/>
          <w:color w:val="000000"/>
          <w:i/>
        </w:rPr>
        <w:t xml:space="preserve">Advances in Neural Information Processing Systems</w:t>
      </w:r>
      <w:r>
        <w:rPr>
          <w:rFonts w:ascii="Times New Roman" w:hAnsi="Times New Roman" w:eastAsia="Times New Roman" w:cs="Times New Roman"/>
          <w:sz w:val="24"/>
          <w:color w:val="000000"/>
        </w:rPr>
        <w:t xml:space="preserve"> (Vol. 37, pp. 78431–78450). https://doi.org/10.52202/079017-2493</w:t>
      </w:r>
    </w:p>
    <w:p>
      <w:pPr>
        <w:spacing w:after="0" w:before="0" w:line="480"/>
        <w:ind w:left="720" w:firstLine="720"/>
        <w:widowControl/>
      </w:pPr>
      <w:r>
        <w:rPr>
          <w:rFonts w:ascii="Times New Roman" w:hAnsi="Times New Roman" w:eastAsia="Times New Roman" w:cs="Times New Roman"/>
          <w:sz w:val="24"/>
          <w:color w:val="000000"/>
        </w:rPr>
        <w:t xml:space="preserve">Garau-Luis et al. introduce IsoFormer, which combines pretrained DNA, transcript, and protein encoders through cross-attention aggregation to predict transcript isoform expression across human tissues. The encoders and downstream components are jointly fine-tuned. In one reported comparison, adding DNA and protein to the RNA branch increases R² from 0.36 to 0.43. The authors also compare aggregation strategies and pretrained versus randomly initialized encoders, providing evidence about the sources of improvement.</w:t>
      </w:r>
    </w:p>
    <w:p>
      <w:pPr>
        <w:spacing w:after="0" w:before="0" w:line="480"/>
        <w:ind w:left="720" w:firstLine="720"/>
        <w:widowControl/>
      </w:pPr>
      <w:r>
        <w:rPr>
          <w:rFonts w:ascii="Times New Roman" w:hAnsi="Times New Roman" w:eastAsia="Times New Roman" w:cs="Times New Roman"/>
          <w:sz w:val="24"/>
          <w:color w:val="000000"/>
        </w:rPr>
        <w:t xml:space="preserve">This peer-reviewed study supports multimodal transfer for its expression task. Its GTEx labels, gene-separated evaluation, checkpoints, and fine-tuning regime differ from the current frozen-feature pilot. The reported benefit therefore cannot be transferred numerically to mRNA stability prediction. Cross-attention relates representations without establishing that their coordinates have identical biological meanings.</w:t>
      </w:r>
    </w:p>
    <w:p>
      <w:pPr>
        <w:spacing w:after="0" w:before="0" w:line="480"/>
        <w:ind w:left="720" w:firstLine="720"/>
        <w:widowControl/>
      </w:pPr>
      <w:r>
        <w:rPr>
          <w:rFonts w:ascii="Times New Roman" w:hAnsi="Times New Roman" w:eastAsia="Times New Roman" w:cs="Times New Roman"/>
          <w:sz w:val="24"/>
          <w:color w:val="000000"/>
        </w:rPr>
        <w:t xml:space="preserve">For our project, IsoFormer supplies a concrete comparison for how biological inputs, pretrained encoders, and supervised fusion fit together. Its ablations help frame questions about whether an improvement comes from another representation, the aggregation method, or training the encoders. Cross-attention remains a candidate comparison for Stage 2 after the Stage 1 analysis and evaluation design are understood.</w:t>
      </w:r>
    </w:p>
    <w:p>
      <w:pPr>
        <w:spacing w:after="0" w:before="240" w:line="480"/>
        <w:ind w:left="720" w:hanging="720"/>
        <w:keepNext/>
        <w:keepLines/>
        <w:widowControl/>
      </w:pPr>
      <w:r>
        <w:rPr>
          <w:rFonts w:ascii="Times New Roman" w:hAnsi="Times New Roman" w:eastAsia="Times New Roman" w:cs="Times New Roman"/>
          <w:sz w:val="24"/>
          <w:color w:val="000000"/>
        </w:rPr>
        <w:t xml:space="preserve">He, Y., Fang, P., Shan, Y., Pan, Y., Wei, Y., Chen, Y., Chen, Y., Liu, Y., Zeng, Z., Zhou, Z., Zhu, F., Holmes, E. C., Ye, J., Li, J., Shu, Y., Shi, M., &amp; Li, Z. (2025). Generalized biological foundation model with unified nucleic acid and protein language. </w:t>
      </w:r>
      <w:r>
        <w:rPr>
          <w:rFonts w:ascii="Times New Roman" w:hAnsi="Times New Roman" w:eastAsia="Times New Roman" w:cs="Times New Roman"/>
          <w:sz w:val="24"/>
          <w:color w:val="000000"/>
          <w:i/>
        </w:rPr>
        <w:t xml:space="preserve">Nature Machine Intelligence, 7</w:t>
      </w:r>
      <w:r>
        <w:rPr>
          <w:rFonts w:ascii="Times New Roman" w:hAnsi="Times New Roman" w:eastAsia="Times New Roman" w:cs="Times New Roman"/>
          <w:sz w:val="24"/>
          <w:color w:val="000000"/>
        </w:rPr>
        <w:t xml:space="preserve">, 942–953. https://doi.org/10.1038/s42256-025-01044-4</w:t>
      </w:r>
    </w:p>
    <w:p>
      <w:pPr>
        <w:spacing w:after="0" w:before="0" w:line="480"/>
        <w:ind w:left="720" w:firstLine="720"/>
        <w:widowControl/>
      </w:pPr>
      <w:r>
        <w:rPr>
          <w:rFonts w:ascii="Times New Roman" w:hAnsi="Times New Roman" w:eastAsia="Times New Roman" w:cs="Times New Roman"/>
          <w:sz w:val="24"/>
          <w:color w:val="000000"/>
        </w:rPr>
        <w:t xml:space="preserve">He et al. present LucaOne, a unified model pretrained on nucleic acid and protein sequences from 169,861 species. Training combines masked-sequence objectives with annotation-related tasks. The authors report competitive results across biological prediction tasks and evaluate gene–protein correspondence using a supervised downstream classifier over matching and constructed nonmatching pairs. Their claim that explicit gene–protein pairing was absent from pretraining does not mean that pretraining lacked all supervision or that downstream evaluation lacked pair labels.</w:t>
      </w:r>
    </w:p>
    <w:p>
      <w:pPr>
        <w:spacing w:after="0" w:before="0" w:line="480"/>
        <w:ind w:left="720" w:firstLine="720"/>
        <w:widowControl/>
      </w:pPr>
      <w:r>
        <w:rPr>
          <w:rFonts w:ascii="Times New Roman" w:hAnsi="Times New Roman" w:eastAsia="Times New Roman" w:cs="Times New Roman"/>
          <w:sz w:val="24"/>
          <w:color w:val="000000"/>
        </w:rPr>
        <w:t xml:space="preserve">The peer-reviewed paper demonstrates a different design from combining independently pretrained encoders. Its correspondence task evaluates recognition under specified positive and negative examples, rather than literal translation or a complete account of cellular mechanisms. Its results do not establish that the project's nucleotide and protein embeddings contain the same structure or will improve the local stability target.</w:t>
      </w:r>
    </w:p>
    <w:p>
      <w:pPr>
        <w:spacing w:after="0" w:before="0" w:line="480"/>
        <w:ind w:left="720" w:firstLine="720"/>
        <w:widowControl/>
      </w:pPr>
      <w:r>
        <w:rPr>
          <w:rFonts w:ascii="Times New Roman" w:hAnsi="Times New Roman" w:eastAsia="Times New Roman" w:cs="Times New Roman"/>
          <w:sz w:val="24"/>
          <w:color w:val="000000"/>
        </w:rPr>
        <w:t xml:space="preserve">LucaOne helps define the project's comparison between unified pretraining and later analysis or fusion of separate models. It motivates examining what relationships are already accessible in frozen representations, while keeping the matching unit, annotation supervision, and evaluation task explicit. Retraining a LucaOne-scale model is outside the proposed fusion study.</w:t>
      </w:r>
    </w:p>
    <w:p>
      <w:pPr>
        <w:spacing w:after="0" w:before="240" w:line="480"/>
        <w:ind w:left="720" w:hanging="720"/>
        <w:keepNext/>
        <w:keepLines/>
        <w:widowControl/>
      </w:pPr>
      <w:r>
        <w:rPr>
          <w:rFonts w:ascii="Times New Roman" w:hAnsi="Times New Roman" w:eastAsia="Times New Roman" w:cs="Times New Roman"/>
          <w:sz w:val="24"/>
          <w:color w:val="000000"/>
        </w:rPr>
        <w:t xml:space="preserve">Li, W., Zhou, H., Yu, J., Song, Z., &amp; Yang, W. (2024). Coupled Mamba: Enhanced multimodal fusion with coupled state space model. In </w:t>
      </w:r>
      <w:r>
        <w:rPr>
          <w:rFonts w:ascii="Times New Roman" w:hAnsi="Times New Roman" w:eastAsia="Times New Roman" w:cs="Times New Roman"/>
          <w:sz w:val="24"/>
          <w:color w:val="000000"/>
          <w:i/>
        </w:rPr>
        <w:t xml:space="preserve">Advances in Neural Information Processing Systems</w:t>
      </w:r>
      <w:r>
        <w:rPr>
          <w:rFonts w:ascii="Times New Roman" w:hAnsi="Times New Roman" w:eastAsia="Times New Roman" w:cs="Times New Roman"/>
          <w:sz w:val="24"/>
          <w:color w:val="000000"/>
        </w:rPr>
        <w:t xml:space="preserve"> (Vol. 37, pp. 59808–59832). https://doi.org/10.52202/079017-1910</w:t>
      </w:r>
    </w:p>
    <w:p>
      <w:pPr>
        <w:spacing w:after="0" w:before="0" w:line="480"/>
        <w:ind w:left="720" w:firstLine="720"/>
        <w:widowControl/>
      </w:pPr>
      <w:r>
        <w:rPr>
          <w:rFonts w:ascii="Times New Roman" w:hAnsi="Times New Roman" w:eastAsia="Times New Roman" w:cs="Times New Roman"/>
          <w:sz w:val="24"/>
          <w:color w:val="000000"/>
        </w:rPr>
        <w:t xml:space="preserve">Li et al. introduce Coupled Mamba, which connects the hidden-state evolution of multiple state-space chains while retaining processing within each modality. The published paper evaluates sentiment analysis, movie-genre classification, and breast-cancer subtype classification. The biological benchmark combines mRNA expression, DNA methylation, and miRNA expression measurements. The authors report improved predictive scores and lower inference time and memory use in their tested comparisons with attention-based fusion.</w:t>
      </w:r>
    </w:p>
    <w:p>
      <w:pPr>
        <w:spacing w:after="0" w:before="0" w:line="480"/>
        <w:ind w:left="720" w:firstLine="720"/>
        <w:widowControl/>
      </w:pPr>
      <w:r>
        <w:rPr>
          <w:rFonts w:ascii="Times New Roman" w:hAnsi="Times New Roman" w:eastAsia="Times New Roman" w:cs="Times New Roman"/>
          <w:sz w:val="24"/>
          <w:color w:val="000000"/>
        </w:rPr>
        <w:t xml:space="preserve">These results make the method relevant, but they do not validate fusion of nucleotide and protein sequence embeddings for mRNA stability. The paper's unaligned sentiment experiments also do not remove the need to define correspondence, sequence lengths, and preprocessing for this project. Efficiency measurements depend on the compared implementations, sequence lengths, and hardware, so the reported savings should not be promised for a new workload.</w:t>
      </w:r>
    </w:p>
    <w:p>
      <w:pPr>
        <w:spacing w:after="0" w:before="0" w:line="480"/>
        <w:ind w:left="720" w:firstLine="720"/>
        <w:widowControl/>
      </w:pPr>
      <w:r>
        <w:rPr>
          <w:rFonts w:ascii="Times New Roman" w:hAnsi="Times New Roman" w:eastAsia="Times New Roman" w:cs="Times New Roman"/>
          <w:sz w:val="24"/>
          <w:color w:val="000000"/>
        </w:rPr>
        <w:t xml:space="preserve">Coupled Mamba is the team's recorded architecture priority, with an IsoFormer-style comparison also planned. Simple baselines and a defined, matched protocol are needed to evaluate it. This priority is distinct from an implemented method or a tested benefit. The useful research question is whether state coupling improves held-out prediction or efficiency under comparable inputs, data, tuning, and hardware conditions.</w:t>
      </w:r>
    </w:p>
    <w:p>
      <w:pPr>
        <w:spacing w:after="0" w:before="240" w:line="480"/>
        <w:ind w:left="720" w:hanging="720"/>
        <w:keepNext/>
        <w:keepLines/>
        <w:widowControl/>
      </w:pPr>
      <w:r>
        <w:rPr>
          <w:rFonts w:ascii="Times New Roman" w:hAnsi="Times New Roman" w:eastAsia="Times New Roman" w:cs="Times New Roman"/>
          <w:sz w:val="24"/>
          <w:color w:val="000000"/>
        </w:rPr>
        <w:t xml:space="preserve">Lin, Z., Akin, H., Rao, R., Hie, B., Zhu, Z., Lu, W., Smetanin, N., Verkuil, R., Kabeli, O., Shmueli, Y., dos Santos Costa, A., Fazel-Zarandi, M., Sercu, T., Candido, S., &amp; Rives, A. (2023). Evolutionary-scale prediction of atomic-level protein structure with a language model. </w:t>
      </w:r>
      <w:r>
        <w:rPr>
          <w:rFonts w:ascii="Times New Roman" w:hAnsi="Times New Roman" w:eastAsia="Times New Roman" w:cs="Times New Roman"/>
          <w:sz w:val="24"/>
          <w:color w:val="000000"/>
          <w:i/>
        </w:rPr>
        <w:t xml:space="preserve">Science, 379</w:t>
      </w:r>
      <w:r>
        <w:rPr>
          <w:rFonts w:ascii="Times New Roman" w:hAnsi="Times New Roman" w:eastAsia="Times New Roman" w:cs="Times New Roman"/>
          <w:sz w:val="24"/>
          <w:color w:val="000000"/>
        </w:rPr>
        <w:t xml:space="preserve">(6637), 1123–1130. https://doi.org/10.1126/science.ade2574</w:t>
      </w:r>
    </w:p>
    <w:p>
      <w:pPr>
        <w:spacing w:after="0" w:before="0" w:line="480"/>
        <w:ind w:left="720" w:firstLine="720"/>
        <w:widowControl/>
      </w:pPr>
      <w:r>
        <w:rPr>
          <w:rFonts w:ascii="Times New Roman" w:hAnsi="Times New Roman" w:eastAsia="Times New Roman" w:cs="Times New Roman"/>
          <w:sz w:val="24"/>
          <w:color w:val="000000"/>
        </w:rPr>
        <w:t xml:space="preserve">Lin et al. study protein language modeling at increasing scale and introduce ESM-2 representations used by the ESMFold structure-prediction system. Their results show that learning from amino-acid sequences can produce representations useful for predicting protein structure. The paper also demonstrates large-scale computational structure prediction for metagenomic sequences, extending the practical use of protein language models beyond sequence scoring.</w:t>
      </w:r>
    </w:p>
    <w:p>
      <w:pPr>
        <w:spacing w:after="0" w:before="0" w:line="480"/>
        <w:ind w:left="720" w:firstLine="720"/>
        <w:widowControl/>
      </w:pPr>
      <w:r>
        <w:rPr>
          <w:rFonts w:ascii="Times New Roman" w:hAnsi="Times New Roman" w:eastAsia="Times New Roman" w:cs="Times New Roman"/>
          <w:sz w:val="24"/>
          <w:color w:val="000000"/>
        </w:rPr>
        <w:t xml:space="preserve">ESM-2 embeddings and ESMFold outputs are different artifacts. Extracting hidden representations does not run a structure-prediction system or produce experimentally verified structures. Reported results depend on model size and task, and the paper does not evaluate the project's nucleotide–protein alignment or mRNA stability pipeline. Biological conclusions therefore need evidence from the particular representation and downstream comparison being used.</w:t>
      </w:r>
    </w:p>
    <w:p>
      <w:pPr>
        <w:spacing w:after="0" w:before="0" w:line="480"/>
        <w:ind w:left="720" w:firstLine="720"/>
        <w:widowControl/>
      </w:pPr>
      <w:r>
        <w:rPr>
          <w:rFonts w:ascii="Times New Roman" w:hAnsi="Times New Roman" w:eastAsia="Times New Roman" w:cs="Times New Roman"/>
          <w:sz w:val="24"/>
          <w:color w:val="000000"/>
        </w:rPr>
        <w:t xml:space="preserve">This paper supplies provenance for Stage 1's </w:t>
      </w:r>
      <w:r>
        <w:rPr>
          <w:rFonts w:ascii="Times New Roman" w:hAnsi="Times New Roman" w:eastAsia="Times New Roman" w:cs="Times New Roman"/>
          <w:sz w:val="24"/>
          <w:color w:val="000000"/>
        </w:rPr>
        <w:t xml:space="preserve">facebook/esm2_t12_35M_UR50D</w:t>
      </w:r>
      <w:r>
        <w:rPr>
          <w:rFonts w:ascii="Times New Roman" w:hAnsi="Times New Roman" w:eastAsia="Times New Roman" w:cs="Times New Roman"/>
          <w:sz w:val="24"/>
          <w:color w:val="000000"/>
        </w:rPr>
        <w:t xml:space="preserve"> checkpoint. The project encodes a protein string derived by its translation helper, so this branch supplies a different pretrained transformation of the input rather than an independently measured protein abundance or activity. Its value for the stability task must be assessed against the nucleotide branch under a defined, held-out evaluation.</w:t>
      </w:r>
    </w:p>
    <w:p>
      <w:pPr>
        <w:spacing w:after="0" w:before="240" w:line="480"/>
        <w:ind w:left="720" w:hanging="720"/>
        <w:keepNext/>
        <w:keepLines/>
        <w:widowControl/>
      </w:pPr>
      <w:r>
        <w:rPr>
          <w:rFonts w:ascii="Times New Roman" w:hAnsi="Times New Roman" w:eastAsia="Times New Roman" w:cs="Times New Roman"/>
          <w:sz w:val="24"/>
          <w:color w:val="000000"/>
        </w:rPr>
        <w:t xml:space="preserve">Mollaysa, A., Moskalev, A., Pati, P., Mansi, T., Prakash, M., &amp; Liao, R. (2025). </w:t>
      </w:r>
      <w:r>
        <w:rPr>
          <w:rFonts w:ascii="Times New Roman" w:hAnsi="Times New Roman" w:eastAsia="Times New Roman" w:cs="Times New Roman"/>
          <w:sz w:val="24"/>
          <w:color w:val="000000"/>
          <w:i/>
        </w:rPr>
        <w:t xml:space="preserve">BioLangFusion: Multimodal fusion of DNA, mRNA, and protein language models</w:t>
      </w:r>
      <w:r>
        <w:rPr>
          <w:rFonts w:ascii="Times New Roman" w:hAnsi="Times New Roman" w:eastAsia="Times New Roman" w:cs="Times New Roman"/>
          <w:sz w:val="24"/>
          <w:color w:val="000000"/>
        </w:rPr>
        <w:t xml:space="preserve"> (arXiv:2506.08936v1) [Preprint; ICML 2025 Workshop on Multi-modal Foundation Models and Large Language Models for Life Sciences]. https://arxiv.org/abs/2506.08936v1</w:t>
      </w:r>
    </w:p>
    <w:p>
      <w:pPr>
        <w:spacing w:after="0" w:before="0" w:line="480"/>
        <w:ind w:left="720" w:firstLine="720"/>
        <w:widowControl/>
      </w:pPr>
      <w:r>
        <w:rPr>
          <w:rFonts w:ascii="Times New Roman" w:hAnsi="Times New Roman" w:eastAsia="Times New Roman" w:cs="Times New Roman"/>
          <w:sz w:val="24"/>
          <w:color w:val="000000"/>
        </w:rPr>
        <w:t xml:space="preserve">Mollaysa et al. combine frozen Nucleotide Transformer, RNA-FM, and ESM-2 representations. They map features to codon-level positions and train downstream concatenation, attention-pooling, or cross-attention components. On the reported mRNA stability task, Table 1 gives Spearman correlation of 0.563 for entropy-regularized attention pooling and 0.553 for the strongest listed unimodal model, RNA-FM. Concatenation and cross-attention score below RNA-FM on that task, although different fusion variants lead on other tasks.</w:t>
      </w:r>
    </w:p>
    <w:p>
      <w:pPr>
        <w:spacing w:after="0" w:before="0" w:line="480"/>
        <w:ind w:left="720" w:firstLine="720"/>
        <w:widowControl/>
      </w:pPr>
      <w:r>
        <w:rPr>
          <w:rFonts w:ascii="Times New Roman" w:hAnsi="Times New Roman" w:eastAsia="Times New Roman" w:cs="Times New Roman"/>
          <w:sz w:val="24"/>
          <w:color w:val="000000"/>
        </w:rPr>
        <w:t xml:space="preserve">The inspected source is the June 2025 v1 preprint. Its codon grid establishes positional correspondence, not proof of shared feature semantics, and the table does not establish statistical reliability for every difference. The paper's checkpoints, position-preserving processing, stability metric, and reported preprocessing differ from the local pilot. Direct numerical comparison requires verifying datasets, labels, splits, and metrics first.</w:t>
      </w:r>
    </w:p>
    <w:p>
      <w:pPr>
        <w:spacing w:after="0" w:before="0" w:line="480"/>
        <w:ind w:left="720" w:firstLine="720"/>
        <w:widowControl/>
      </w:pPr>
      <w:r>
        <w:rPr>
          <w:rFonts w:ascii="Times New Roman" w:hAnsi="Times New Roman" w:eastAsia="Times New Roman" w:cs="Times New Roman"/>
          <w:sz w:val="24"/>
          <w:color w:val="000000"/>
        </w:rPr>
        <w:t xml:space="preserve">BioLangFusion is close to the project's proposed use of frozen biological encoders. It provides specific fusion baselines and a useful distinction between matching sequence positions and learning to combine features. Its assumptions about coding regions and translation should be examined before adapting the method. It does not determine which Stage 2 method the project should select.</w:t>
      </w:r>
    </w:p>
    <w:p>
      <w:pPr>
        <w:spacing w:after="0" w:before="240" w:line="480"/>
        <w:ind w:left="720" w:hanging="720"/>
        <w:keepNext/>
        <w:keepLines/>
        <w:widowControl/>
      </w:pPr>
      <w:r>
        <w:rPr>
          <w:rFonts w:ascii="Times New Roman" w:hAnsi="Times New Roman" w:eastAsia="Times New Roman" w:cs="Times New Roman"/>
          <w:sz w:val="24"/>
          <w:color w:val="000000"/>
        </w:rPr>
        <w:t xml:space="preserve">Ota, N. (2026). </w:t>
      </w:r>
      <w:r>
        <w:rPr>
          <w:rFonts w:ascii="Times New Roman" w:hAnsi="Times New Roman" w:eastAsia="Times New Roman" w:cs="Times New Roman"/>
          <w:sz w:val="24"/>
          <w:color w:val="000000"/>
          <w:i/>
        </w:rPr>
        <w:t xml:space="preserve">Central Dogma Transformer: Towards mechanism-oriented AI for cellular understanding</w:t>
      </w:r>
      <w:r>
        <w:rPr>
          <w:rFonts w:ascii="Times New Roman" w:hAnsi="Times New Roman" w:eastAsia="Times New Roman" w:cs="Times New Roman"/>
          <w:sz w:val="24"/>
          <w:color w:val="000000"/>
        </w:rPr>
        <w:t xml:space="preserve"> (arXiv:2601.01089v2) [Preprint]. https://arxiv.org/abs/2601.01089v2</w:t>
      </w:r>
    </w:p>
    <w:p>
      <w:pPr>
        <w:spacing w:after="0" w:before="0" w:line="480"/>
        <w:ind w:left="720" w:firstLine="720"/>
        <w:widowControl/>
      </w:pPr>
      <w:r>
        <w:rPr>
          <w:rFonts w:ascii="Times New Roman" w:hAnsi="Times New Roman" w:eastAsia="Times New Roman" w:cs="Times New Roman"/>
          <w:sz w:val="24"/>
          <w:color w:val="000000"/>
        </w:rPr>
        <w:t xml:space="preserve">Ota proposes a model that integrates frozen DNA, gene-level RNA, and protein representations using directional cross-attention. RNA queries attend to DNA keys and values, and protein queries subsequently attend to the updated RNA representation. The proof of concept uses Enformer, scGPT, and ESM-C/ProteomeLM features for a K562 CRISPRi enhancer-perturbation task. It reports Pearson correlation of 0.503 and examines predictions through attention and gradient analyses, including a case supported by chromatin-contact data.</w:t>
      </w:r>
    </w:p>
    <w:p>
      <w:pPr>
        <w:spacing w:after="0" w:before="0" w:line="480"/>
        <w:ind w:left="720" w:firstLine="720"/>
        <w:widowControl/>
      </w:pPr>
      <w:r>
        <w:rPr>
          <w:rFonts w:ascii="Times New Roman" w:hAnsi="Times New Roman" w:eastAsia="Times New Roman" w:cs="Times New Roman"/>
          <w:sz w:val="24"/>
          <w:color w:val="000000"/>
        </w:rPr>
        <w:t xml:space="preserve">The inspected v2 is a preprint. Its RNA and protein inputs are fixed rather than sample-specific cellular measurements, and scGPT gene embeddings are different from transcript-sequence embeddings. Directional attention supplies a biological prior, while attention maps and local sensitivity remain model analyses. Their agreement with a selected external observation does not establish a general causal explanation or a complete virtual cell.</w:t>
      </w:r>
    </w:p>
    <w:p>
      <w:pPr>
        <w:spacing w:after="0" w:before="0" w:line="480"/>
        <w:ind w:left="720" w:firstLine="720"/>
        <w:widowControl/>
      </w:pPr>
      <w:r>
        <w:rPr>
          <w:rFonts w:ascii="Times New Roman" w:hAnsi="Times New Roman" w:eastAsia="Times New Roman" w:cs="Times New Roman"/>
          <w:sz w:val="24"/>
          <w:color w:val="000000"/>
        </w:rPr>
        <w:t xml:space="preserve">For the project, CDT offers questions about how architecture and evidence support interpretation. It encourages careful identification of what each branch represents and which inputs actually vary. Directional fusion could be considered as a later comparison, but Stage 1 attention patterns alone cannot select that architecture or validate a molecular mechanism.</w:t>
      </w:r>
    </w:p>
    <w:p>
      <w:pPr>
        <w:spacing w:after="0" w:before="240" w:line="480"/>
        <w:ind w:left="720" w:hanging="720"/>
        <w:keepNext/>
        <w:keepLines/>
        <w:widowControl/>
      </w:pPr>
      <w:r>
        <w:rPr>
          <w:rFonts w:ascii="Times New Roman" w:hAnsi="Times New Roman" w:eastAsia="Times New Roman" w:cs="Times New Roman"/>
          <w:sz w:val="24"/>
          <w:color w:val="000000"/>
        </w:rPr>
        <w:t xml:space="preserve">Tjandrasuwita, M., Ekbote, C., Liu, Z., &amp; Liang, P. P. (2025). Understanding the emergence of multimodal representation alignment. In </w:t>
      </w:r>
      <w:r>
        <w:rPr>
          <w:rFonts w:ascii="Times New Roman" w:hAnsi="Times New Roman" w:eastAsia="Times New Roman" w:cs="Times New Roman"/>
          <w:sz w:val="24"/>
          <w:color w:val="000000"/>
          <w:i/>
        </w:rPr>
        <w:t xml:space="preserve">Proceedings of the 42nd International Conference on Machine Learning</w:t>
      </w:r>
      <w:r>
        <w:rPr>
          <w:rFonts w:ascii="Times New Roman" w:hAnsi="Times New Roman" w:eastAsia="Times New Roman" w:cs="Times New Roman"/>
          <w:sz w:val="24"/>
          <w:color w:val="000000"/>
        </w:rPr>
        <w:t xml:space="preserve"> (Vol. 267, pp. 59723–59760). PMLR. https://proceedings.mlr.press/v267/tjandrasuwita25a.html</w:t>
      </w:r>
    </w:p>
    <w:p>
      <w:pPr>
        <w:spacing w:after="0" w:before="0" w:line="480"/>
        <w:ind w:left="720" w:firstLine="720"/>
        <w:widowControl/>
      </w:pPr>
      <w:r>
        <w:rPr>
          <w:rFonts w:ascii="Times New Roman" w:hAnsi="Times New Roman" w:eastAsia="Times New Roman" w:cs="Times New Roman"/>
          <w:sz w:val="24"/>
          <w:color w:val="000000"/>
        </w:rPr>
        <w:t xml:space="preserve">Tjandrasuwita et al. investigate when independently trained representations align and whether greater alignment predicts better task performance. Controlled experiments and real multimodal benchmarks show that the relationship depends on modality heterogeneity and the balance of task-relevant redundant and unique information. The paper also changes an explicit alignment-loss weight in a vision–language experiment and finds task-dependent effects. It therefore treats alignment as a measurable relationship whose usefulness requires evaluation.</w:t>
      </w:r>
    </w:p>
    <w:p>
      <w:pPr>
        <w:spacing w:after="0" w:before="0" w:line="480"/>
        <w:ind w:left="720" w:firstLine="720"/>
        <w:widowControl/>
      </w:pPr>
      <w:r>
        <w:rPr>
          <w:rFonts w:ascii="Times New Roman" w:hAnsi="Times New Roman" w:eastAsia="Times New Roman" w:cs="Times New Roman"/>
          <w:sz w:val="24"/>
          <w:color w:val="000000"/>
        </w:rPr>
        <w:t xml:space="preserve">This peer-reviewed study does not establish the corresponding answer for biological sequence embeddings. Its comparisons across models and training settings differ from the pilot's association between per-example similarity and prediction error for a fixed encoder pair. A weak association in that diagnostic does not show that an alignment loss would help or harm a future fusion model. Low geometric similarity also does not, by itself, demonstrate useful complementary information.</w:t>
      </w:r>
    </w:p>
    <w:p>
      <w:pPr>
        <w:spacing w:after="0" w:before="0" w:line="480"/>
        <w:ind w:left="720" w:firstLine="720"/>
        <w:widowControl/>
      </w:pPr>
      <w:r>
        <w:rPr>
          <w:rFonts w:ascii="Times New Roman" w:hAnsi="Times New Roman" w:eastAsia="Times New Roman" w:cs="Times New Roman"/>
          <w:sz w:val="24"/>
          <w:color w:val="000000"/>
        </w:rPr>
        <w:t xml:space="preserve">The paper helps organize our Stage 1 study around separate questions about frozen representations, their geometry, and possible predictive complementarity. For a later experiment, it motivates comparing a specified fusion model with and without an alignment objective under matched data and tuning conditions. The direction of any benefit remains an empirical question.</w:t>
      </w:r>
    </w:p>
    <w:p>
      <w:pPr>
        <w:spacing w:after="0" w:before="240" w:line="480"/>
        <w:ind w:left="0" w:firstLine="0"/>
        <w:pStyle w:val="Heading1"/>
        <w:keepNext/>
        <w:keepLines/>
        <w:widowControl/>
      </w:pPr>
      <w:r>
        <w:rPr>
          <w:rFonts w:ascii="Times New Roman" w:hAnsi="Times New Roman" w:eastAsia="Times New Roman" w:cs="Times New Roman"/>
          <w:sz w:val="24"/>
          <w:color w:val="000000"/>
          <w:b/>
        </w:rPr>
        <w:t xml:space="preserve">AI assistance disclosure</w:t>
      </w:r>
    </w:p>
    <w:p>
      <w:pPr>
        <w:spacing w:after="0" w:before="0" w:line="480"/>
        <w:ind w:left="0" w:firstLine="0"/>
        <w:widowControl/>
      </w:pPr>
      <w:r>
        <w:rPr>
          <w:rFonts w:ascii="Times New Roman" w:hAnsi="Times New Roman" w:eastAsia="Times New Roman" w:cs="Times New Roman"/>
          <w:sz w:val="24"/>
          <w:color w:val="000000"/>
        </w:rPr>
        <w:t xml:space="preserve">OpenAI Codex assisted with drafting and revising the bibliography annotations and formatting the document. AI-assisted checks compared selected claims and publication details with primary papers and publisher or repository records, and compared project-relevance statements with current project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24"/>
      <w:szCs w:val="24"/>
      <w:color w:val="000000"/>
    </w:rPr>
  </w:style>
  <w:style w:type="paragraph" w:styleId="Heading1">
    <w:name w:val="Heading 1"/>
    <w:basedOn w:val="Normal"/>
    <w:next w:val="Normal"/>
    <w:qFormat/>
    <w:rPr>
      <w:color w:val="000000"/>
      <w:sz w:val="24"/>
      <w:szCs w:val="24"/>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Biological Foundation Models Research Team</dc:creator>
  <cp:lastModifiedBy>Biological Foundation Models Research Team</cp:lastModifiedBy>
  <cp:revision>1</cp:revision>
  <dcterms:created xsi:type="dcterms:W3CDTF">2026-09-22T22:13:31.991Z</dcterms:created>
  <dcterms:modified xsi:type="dcterms:W3CDTF">2026-09-22T22:13:31.992Z</dcterms:modified>
</cp:coreProperties>
</file>

<file path=docProps/custom.xml><?xml version="1.0" encoding="utf-8"?>
<Properties xmlns="http://schemas.openxmlformats.org/officeDocument/2006/custom-properties" xmlns:vt="http://schemas.openxmlformats.org/officeDocument/2006/docPropsVTypes"/>
</file>