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RNA and Protein Fusion Project</w:t>
      </w:r>
    </w:p>
    <w:p>
      <w:pPr>
        <w:pStyle w:val="Heading1"/>
        <w:spacing w:before="320" w:after="160"/>
      </w:pPr>
      <w:r>
        <w:rPr>
          <w:b/>
          <w:bCs/>
          <w:color w:val="000000"/>
          <w:sz w:val="30"/>
          <w:szCs w:val="30"/>
        </w:rPr>
        <w:t xml:space="preserve">Quick Answers (Read This First)</w:t>
      </w:r>
    </w:p>
    <w:p>
      <w:pPr>
        <w:spacing w:after="160"/>
      </w:pPr>
      <w:r>
        <w:rPr>
          <w:color w:val="000000"/>
          <w:sz w:val="22"/>
          <w:szCs w:val="22"/>
        </w:rPr>
        <w:t xml:space="preserve">This section exists because the alignment target, the fusion candidates, and the concrete next steps kept surfacing as open questions in conversation even though Stage 1 had already produced enough to answer them. It's an index into the rest of the document, not a replacement for it — Sections 3.2, 3.3, and 9.6–9.7 carry the full reasoning behind each answer below.</w:t>
      </w:r>
    </w:p>
    <w:p>
      <w:pPr>
        <w:pStyle w:val="Heading2"/>
        <w:spacing w:before="240" w:after="120"/>
      </w:pPr>
      <w:r>
        <w:rPr>
          <w:b/>
          <w:bCs/>
          <w:color w:val="000000"/>
          <w:sz w:val="25"/>
          <w:szCs w:val="25"/>
        </w:rPr>
        <w:t xml:space="preserve">What's the alignment target?</w:t>
      </w:r>
    </w:p>
    <w:p>
      <w:pPr>
        <w:spacing w:after="160"/>
      </w:pPr>
      <w:r>
        <w:rPr>
          <w:color w:val="000000"/>
          <w:sz w:val="22"/>
          <w:szCs w:val="22"/>
        </w:rPr>
        <w:t xml:space="preserve">Mapping Stage 1's numbers onto the decision tree in Section 3.2: alignment is low (final-layer CKA 0.128, mutual k-NN barely above chance) while synergy is high (CCA up to 0.955, retrieval 36.6% versus 0.3% chance), and the alignment–error association is flat rather than positive (r = -0.013). That combination is the “low alignment, high synergy” branch: skip an explicit alignment loss and let the fusion architecture find the shared subspace on its own during training. This is a proposed reading of Mina's own framework, not her confirmed answer — the ask for Wednesday is direct: “we think we land in the low-alignment/high-synergy branch, is that how you'd read it too?”</w:t>
      </w:r>
    </w:p>
    <w:p>
      <w:pPr>
        <w:pStyle w:val="Heading2"/>
        <w:spacing w:before="240" w:after="120"/>
      </w:pPr>
      <w:r>
        <w:rPr>
          <w:b/>
          <w:bCs/>
          <w:color w:val="000000"/>
          <w:sz w:val="25"/>
          <w:szCs w:val="25"/>
        </w:rPr>
        <w:t xml:space="preserve">What are the fusion candidates?</w:t>
      </w:r>
    </w:p>
    <w:p>
      <w:pPr>
        <w:spacing w:after="160"/>
      </w:pPr>
      <w:r>
        <w:rPr>
          <w:color w:val="000000"/>
          <w:sz w:val="22"/>
          <w:szCs w:val="22"/>
        </w:rPr>
        <w:t xml:space="preserve">Settled, not open. Per Mina's September 15 email, cross-attention (Isoformer-style) and Coupled-Mamba are the two primary candidates; both get built and benchmarked. Fallbacks if either underperforms: Cross-Mamba/BiMamba (an interaction module purpose-built for RNA-protein pairs) and mixture-of-experts fusion. Mamba-3 is the upgrade path if Coupled-Mamba's specific implementation is the bottleneck rather than the coupling idea itself. Full staged list in Section 3.3.</w:t>
      </w:r>
    </w:p>
    <w:p>
      <w:pPr>
        <w:pStyle w:val="Heading2"/>
        <w:spacing w:before="240" w:after="120"/>
      </w:pPr>
      <w:r>
        <w:rPr>
          <w:b/>
          <w:bCs/>
          <w:color w:val="000000"/>
          <w:sz w:val="25"/>
          <w:szCs w:val="25"/>
        </w:rPr>
        <w:t xml:space="preserve">What happens next?</w:t>
      </w:r>
    </w:p>
    <w:p>
      <w:pPr>
        <w:spacing w:after="160"/>
      </w:pPr>
      <w:r>
        <w:rPr>
          <w:color w:val="000000"/>
          <w:sz w:val="22"/>
          <w:szCs w:val="22"/>
        </w:rPr>
        <w:t xml:space="preserve">Steps 1–3 don't need Mina and can start now. Steps 4–5 need her in the room Wednesday. Steps 6–9 are Stage 2 through 4 and follow from whatever gets confirmed at the meeting.</w:t>
      </w:r>
    </w:p>
    <w:p>
      <w:pPr>
        <w:pStyle w:val="Heading3"/>
        <w:spacing w:before="200" w:after="100"/>
      </w:pPr>
      <w:r>
        <w:rPr>
          <w:b/>
          <w:bCs/>
          <w:color w:val="000000"/>
          <w:sz w:val="23"/>
          <w:szCs w:val="23"/>
        </w:rPr>
        <w:t xml:space="preserve">Before Wednesday</w:t>
      </w:r>
    </w:p>
    <w:p>
      <w:pPr>
        <w:pStyle w:val="ListParagraph"/>
        <w:numPr>
          <w:ilvl w:val="0"/>
          <w:numId w:val="1"/>
        </w:numPr>
        <w:spacing w:after="80"/>
      </w:pPr>
      <w:r>
        <w:rPr>
          <w:color w:val="000000"/>
          <w:sz w:val="22"/>
          <w:szCs w:val="22"/>
        </w:rPr>
        <w:t>Done (2026-09-22). run_probe now wraps the scaler in a Pipeline, fit inside each cross-validation fold, and uses GroupKFold keyed on sequence identity so the 14 duplicate-sequence groups can no longer cross folds. See the Update note under Section 9.2 for the corrected numbers.</w:t>
      </w:r>
    </w:p>
    <w:p>
      <w:pPr>
        <w:pStyle w:val="ListParagraph"/>
        <w:numPr>
          <w:ilvl w:val="0"/>
          <w:numId w:val="1"/>
        </w:numPr>
        <w:spacing w:after="80"/>
      </w:pPr>
      <w:r>
        <w:rPr>
          <w:color w:val="000000"/>
          <w:sz w:val="22"/>
          <w:szCs w:val="22"/>
        </w:rPr>
        <w:t xml:space="preserve">Get GPU access sorted — Colab is the fastest path if lab access isn't already set up.</w:t>
      </w:r>
    </w:p>
    <w:p>
      <w:pPr>
        <w:pStyle w:val="ListParagraph"/>
        <w:numPr>
          <w:ilvl w:val="0"/>
          <w:numId w:val="1"/>
        </w:numPr>
        <w:spacing w:after="80"/>
      </w:pPr>
      <w:r>
        <w:rPr>
          <w:color w:val="000000"/>
          <w:sz w:val="22"/>
          <w:szCs w:val="22"/>
        </w:rPr>
        <w:t>Partially done. The secondary-structure (Nussinov) probe has been rerun under its corrected min-loop implementation, and the evaluation-leak fixes above have been verified against the cached embeddings, giving corrected numbers for every Track A probe and the Track B synergy check (Section 9.2). A full end-to-end re-run through the encoders themselves (not just the cached-embedding probes) is still worth doing once GPU access is sorted, to confirm nothing else drifts.</w:t>
      </w:r>
    </w:p>
    <w:p>
      <w:pPr>
        <w:pStyle w:val="Heading3"/>
        <w:spacing w:before="200" w:after="100"/>
      </w:pPr>
      <w:r>
        <w:rPr>
          <w:b/>
          <w:bCs/>
          <w:color w:val="000000"/>
          <w:sz w:val="23"/>
          <w:szCs w:val="23"/>
        </w:rPr>
        <w:t xml:space="preserve">At the meeting</w:t>
      </w:r>
    </w:p>
    <w:p>
      <w:pPr>
        <w:pStyle w:val="ListParagraph"/>
        <w:numPr>
          <w:ilvl w:val="0"/>
          <w:numId w:val="1"/>
        </w:numPr>
        <w:spacing w:after="80"/>
      </w:pPr>
      <w:r>
        <w:rPr>
          <w:color w:val="000000"/>
          <w:sz w:val="22"/>
          <w:szCs w:val="22"/>
        </w:rPr>
        <w:t xml:space="preserve">Present Stage 1 using the honest summary in Section 9.6, findings first, then the caveats.</w:t>
      </w:r>
    </w:p>
    <w:p>
      <w:pPr>
        <w:pStyle w:val="ListParagraph"/>
        <w:numPr>
          <w:ilvl w:val="0"/>
          <w:numId w:val="1"/>
        </w:numPr>
        <w:spacing w:after="80"/>
      </w:pPr>
      <w:r>
        <w:rPr>
          <w:color w:val="000000"/>
          <w:sz w:val="22"/>
          <w:szCs w:val="22"/>
        </w:rPr>
        <w:t xml:space="preserve">Bring the alignment-target proposal above rather than asking the question cold, and get Mina to confirm or push back on that specific read.</w:t>
      </w:r>
    </w:p>
    <w:p>
      <w:pPr>
        <w:pStyle w:val="ListParagraph"/>
        <w:numPr>
          <w:ilvl w:val="0"/>
          <w:numId w:val="1"/>
        </w:numPr>
        <w:spacing w:after="80"/>
      </w:pPr>
      <w:r>
        <w:rPr>
          <w:color w:val="000000"/>
          <w:sz w:val="22"/>
          <w:szCs w:val="22"/>
        </w:rPr>
        <w:t xml:space="preserve">Confirm cross-attention and Coupled-Mamba as the two fusion candidates going into Stage 2 and 3 — already effectively settled, so this is a quick confirmation, not an open discussion.</w:t>
      </w:r>
    </w:p>
    <w:p>
      <w:pPr>
        <w:pStyle w:val="ListParagraph"/>
        <w:numPr>
          <w:ilvl w:val="0"/>
          <w:numId w:val="1"/>
        </w:numPr>
        <w:spacing w:after="80"/>
      </w:pPr>
      <w:r>
        <w:rPr>
          <w:color w:val="000000"/>
          <w:sz w:val="22"/>
          <w:szCs w:val="22"/>
        </w:rPr>
        <w:t xml:space="preserve">Ask the three prioritized open questions from Section 10: whether to swap datasets for a genuine all-three-modalities comparison or keep DNA-optional, whether these sequences include 3' UTR context, and whether Stage 2 should treat alignment asymmetrically per pair.</w:t>
      </w:r>
    </w:p>
    <w:p>
      <w:pPr>
        <w:pStyle w:val="Heading3"/>
        <w:spacing w:before="200" w:after="100"/>
      </w:pPr>
      <w:r>
        <w:rPr>
          <w:b/>
          <w:bCs/>
          <w:color w:val="000000"/>
          <w:sz w:val="23"/>
          <w:szCs w:val="23"/>
        </w:rPr>
        <w:t xml:space="preserve">Stage 2 (Define Alignment), once confirmed</w:t>
      </w:r>
    </w:p>
    <w:p>
      <w:pPr>
        <w:pStyle w:val="ListParagraph"/>
        <w:numPr>
          <w:ilvl w:val="0"/>
          <w:numId w:val="1"/>
        </w:numPr>
        <w:spacing w:after="80"/>
      </w:pPr>
      <w:r>
        <w:rPr>
          <w:color w:val="000000"/>
          <w:sz w:val="22"/>
          <w:szCs w:val="22"/>
        </w:rPr>
        <w:t xml:space="preserve">Formalize “no explicit alignment loss” as the Stage 2 decision — a completed deliverable, not an open question.</w:t>
      </w:r>
    </w:p>
    <w:p>
      <w:pPr>
        <w:pStyle w:val="ListParagraph"/>
        <w:numPr>
          <w:ilvl w:val="0"/>
          <w:numId w:val="1"/>
        </w:numPr>
        <w:spacing w:after="80"/>
      </w:pPr>
      <w:r>
        <w:rPr>
          <w:color w:val="000000"/>
          <w:sz w:val="22"/>
          <w:szCs w:val="22"/>
        </w:rPr>
        <w:t xml:space="preserve">If Mina wants more evidence first: regress GC content out of both embeddings and re-run CCA on the residuals. If the shared subspace survives, it's not purely compositional; if it collapses, that confirms the compositional read and closes the open question from Section 9.4.</w:t>
      </w:r>
    </w:p>
    <w:p>
      <w:pPr>
        <w:pStyle w:val="Heading3"/>
        <w:spacing w:before="200" w:after="100"/>
      </w:pPr>
      <w:r>
        <w:rPr>
          <w:b/>
          <w:bCs/>
          <w:color w:val="000000"/>
          <w:sz w:val="23"/>
          <w:szCs w:val="23"/>
        </w:rPr>
        <w:t xml:space="preserve">Stage 3 (Fusion)</w:t>
      </w:r>
    </w:p>
    <w:p>
      <w:pPr>
        <w:pStyle w:val="ListParagraph"/>
        <w:numPr>
          <w:ilvl w:val="0"/>
          <w:numId w:val="1"/>
        </w:numPr>
        <w:spacing w:after="80"/>
      </w:pPr>
      <w:r>
        <w:rPr>
          <w:color w:val="000000"/>
          <w:sz w:val="22"/>
          <w:szCs w:val="22"/>
        </w:rPr>
        <w:t xml:space="preserve">Scale up from the 1,000-sequence pilot to a real training set — a trained fusion module needs more data than the pilot to find the narrow CCA subspace reliably.</w:t>
      </w:r>
    </w:p>
    <w:p>
      <w:pPr>
        <w:pStyle w:val="ListParagraph"/>
        <w:numPr>
          <w:ilvl w:val="0"/>
          <w:numId w:val="1"/>
        </w:numPr>
        <w:spacing w:after="80"/>
      </w:pPr>
      <w:r>
        <w:rPr>
          <w:color w:val="000000"/>
          <w:sz w:val="22"/>
          <w:szCs w:val="22"/>
        </w:rPr>
        <w:t xml:space="preserve">Build the cross-attention and Coupled-Mamba fusion modules: frozen RNA and protein encoders feeding a trainable fusion layer plus a task head, Isoformer-style, training only the fusion module and head.</w:t>
      </w:r>
    </w:p>
    <w:p>
      <w:pPr>
        <w:pStyle w:val="ListParagraph"/>
        <w:numPr>
          <w:ilvl w:val="0"/>
          <w:numId w:val="1"/>
        </w:numPr>
        <w:spacing w:after="80"/>
      </w:pPr>
      <w:r>
        <w:rPr>
          <w:color w:val="000000"/>
          <w:sz w:val="22"/>
          <w:szCs w:val="22"/>
        </w:rPr>
        <w:t xml:space="preserve">Build in an Isoformer-style ablation (reinitialize one encoder's weights, confirm performance drops) to prove the model is genuinely using cross-modal information rather than leaning on whichever modality is stronger.</w:t>
      </w:r>
    </w:p>
    <w:p>
      <w:pPr>
        <w:pStyle w:val="Heading3"/>
        <w:spacing w:before="200" w:after="100"/>
      </w:pPr>
      <w:r>
        <w:rPr>
          <w:b/>
          <w:bCs/>
          <w:color w:val="000000"/>
          <w:sz w:val="23"/>
          <w:szCs w:val="23"/>
        </w:rPr>
        <w:t xml:space="preserve">Stage 4 (Benchmarking)</w:t>
      </w:r>
    </w:p>
    <w:p>
      <w:pPr>
        <w:pStyle w:val="ListParagraph"/>
        <w:numPr>
          <w:ilvl w:val="0"/>
          <w:numId w:val="1"/>
        </w:numPr>
        <w:spacing w:after="80"/>
      </w:pPr>
      <w:r>
        <w:rPr>
          <w:color w:val="000000"/>
          <w:sz w:val="22"/>
          <w:szCs w:val="22"/>
        </w:rPr>
        <w:t xml:space="preserve">Compare RNA-only, protein-only, and RNA+protein fusion (plus all-three, if the DNA question resolves that way) against CodonBERT's published scores for mRNA_Stability.</w:t>
      </w:r>
    </w:p>
    <w:p>
      <w:pPr>
        <w:pStyle w:val="ListParagraph"/>
        <w:numPr>
          <w:ilvl w:val="0"/>
          <w:numId w:val="1"/>
        </w:numPr>
        <w:spacing w:after="80"/>
      </w:pPr>
      <w:r>
        <w:rPr>
          <w:color w:val="000000"/>
          <w:sz w:val="22"/>
          <w:szCs w:val="22"/>
        </w:rPr>
        <w:t xml:space="preserve">This is the actual test of the project's premise: does fusion beat the best single-modality model. Everything before this stage is groundwork for answering that question honestly.</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Living things run on connected layers of information: DNA holds the instructions, RNA is the working copy of those instructions, and protein is what actually carries out the work in the cell. This project focuses on two of those layers, RNA and protein, which are read today by separately trained foundation models even though they're directly, causally linked. It tests whether combining these two separately pretrained foundation models captures real biological signal that neither sees alone, or whether combining them just adds complexity for no real benefit. DNA was considered too, but the dataset in hand doesn't carry the gene or transcript IDs needed to bring it in (see Section 4), so the project has proceeded as an RNA-and-protein fusion, matching its GitHub repo name, RNA-Protein-Multimodal-Fusion.</w:t>
      </w:r>
    </w:p>
    <w:p w14:paraId="7532E9F8" w14:textId="77777777" w:rsidR="00C14CF4" w:rsidRDefault="00000000">
      <w:pPr>
        <w:spacing w:after="160"/>
      </w:pPr>
      <w:r>
        <w:rPr>
          <w:color w:val="000000"/>
          <w:sz w:val="22"/>
          <w:szCs w:val="22"/>
        </w:rPr>
        <w:t xml:space="preserve">The goal splits into two pieces: fusion, how the two modalities actually get combined, and alignment, what has to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BioLangFusion Already Exists</w:t>
      </w:r>
    </w:p>
    <w:p w14:paraId="60FB833C" w14:textId="77777777" w:rsidR="00C14CF4" w:rsidRDefault="00000000">
      <w:pPr>
        <w:spacing w:after="160"/>
      </w:pPr>
      <w:r>
        <w:rPr>
          <w:color w:val="000000"/>
          <w:sz w:val="22"/>
          <w:szCs w:val="22"/>
        </w:rP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BioLangFusion. It is the principled methodology for deciding whether and how fusion should be done for a given multimodal biological-sequence task like this one,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 xml:space="preserve">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(BioLangFusion, Isoformer,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has to emerge from pretraining itself (LucaOne).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actually means in the context of biological foundation models, rather than assuming it just means matching sequence lengths. BioLangFusion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actually capture. She was explicit that the tools alone will not be enough to interpret the results; biological knowledge and priors are needed to judge whether the </w:t>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now implemented and run directly on this project's own data (see section 9.4).</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architecture, and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Counter-Argument: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(current, substantially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DNA,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three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control built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 xml:space="preserve">Track A, Task-Relevant Decodability: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real cross-modal uniqueness exists,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plus PWM and JASPAR motif matching (the DNABERT-viz approach) on whichever encoder matters most for interpretability,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 xml:space="preserve">High alignment, low synergy: resampling-based alignment (BioLangFusion's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synergy: per the beyond-alignment paper, an explicit contrastive alignment loss may actively hurt here by suppressing the unique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weighting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point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(Isoformer-style,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BiMamba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mRFP_Expression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small paired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Isoformer-style,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mRNA_Stability (41,123 sequences; human, mouse, frog, fish), plus Fungal_expression and E.Coli_proteins as additional tasks, all from the CodonBERT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mRFP_Expression,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Ensembl. Neither mRNA_Stability.csv nor mRFP_Expression.csv carries such IDs, only Sequence, Value, Dataset, and Split columns, so Stage 1 has proceeded DNA-optional, consistent with the "RNA-only vs. protein-only vs. RNA+protein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mRFP_Expression (control only), Tc-Riboswitches, CoV_Vaccine_Degradation, MLOS.</w:t>
      </w:r>
    </w:p>
    <w:p w14:paraId="2BB3D484" w14:textId="77777777" w:rsidR="00C14CF4" w:rsidRDefault="00000000">
      <w:pPr>
        <w:pStyle w:val="ListParagraph"/>
        <w:numPr>
          <w:ilvl w:val="0"/>
          <w:numId w:val="1"/>
        </w:numPr>
        <w:spacing w:after="80"/>
      </w:pPr>
      <w:r>
        <w:rPr>
          <w:color w:val="000000"/>
          <w:sz w:val="22"/>
          <w:szCs w:val="22"/>
        </w:rPr>
        <w:lastRenderedPageBreak/>
        <w:t xml:space="preserve">Checks before starting, both now satisfied in the pilot notebook: confirm sequences start at a start codon and stay in frame (needed for a clean translation to protein), and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 xml:space="preserve">Linear probe, for biological information content: a simple classifier or regressor trained on frozen representations to check what biological information is linearly recoverable (sklearn LogisticRegression / RidgeCV).</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similarity: compares representations layer by layer between two models; a PyTorch implementation supporting Hugging Face models is at github.com/ryusudol/Centered-Kernel-Alignment.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sklearn.cross_decomposition.CCA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umap-learn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decodability,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actually retrieves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Not yet implemented; directly computable from existing probe results.</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Isoformer-style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model based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r>
              <w:rPr>
                <w:color w:val="000000"/>
              </w:rPr>
              <w:t>CoMM</w:t>
            </w:r>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counter-argument,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LucaOne</w:t>
      </w:r>
    </w:p>
    <w:p w14:paraId="45E3B258" w14:textId="77777777" w:rsidR="00C14CF4" w:rsidRDefault="00000000">
      <w:pPr>
        <w:pStyle w:val="ListParagraph"/>
        <w:numPr>
          <w:ilvl w:val="0"/>
          <w:numId w:val="1"/>
        </w:numPr>
        <w:spacing w:after="80"/>
      </w:pPr>
      <w:r>
        <w:rPr>
          <w:color w:val="000000"/>
          <w:sz w:val="22"/>
          <w:szCs w:val="22"/>
        </w:rPr>
        <w:t xml:space="preserve">Life-Code: unifies DNA, RNA, and protein into one nucleotide-level vocabulary, trained with a codon-aware tokenizer, masked modeling, and knowledge distillation from ESM2. A genuinely different joint-training bet from LucaOne's separate-modules approach.</w:t>
      </w:r>
    </w:p>
    <w:p w14:paraId="4B3DBF92" w14:textId="77777777" w:rsidR="00C14CF4" w:rsidRDefault="00000000">
      <w:pPr>
        <w:pStyle w:val="ListParagraph"/>
        <w:numPr>
          <w:ilvl w:val="0"/>
          <w:numId w:val="1"/>
        </w:numPr>
        <w:spacing w:after="80"/>
      </w:pPr>
      <w:r>
        <w:rPr>
          <w:color w:val="000000"/>
          <w:sz w:val="22"/>
          <w:szCs w:val="22"/>
        </w:rPr>
        <w:t xml:space="preserve">CAPTAIN: pretrained directly on co-assayed single-cell RNA and protein data, rather than fusing independently pretrained encoders. A reference point for what is achievable with true paired multi-omic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BiMamba interaction (CrossLLM-Mamba): built for RNA interaction prediction with ESM-2 and RiNALMo;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r>
        <w:rPr>
          <w:color w:val="000000"/>
          <w:sz w:val="22"/>
          <w:szCs w:val="22"/>
        </w:rPr>
        <w:t xml:space="preserve">GenBio AI's AIDO.ModelGenerator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 xml:space="preserve">Coupled Mamba (github.com/hustcselwb/coupled-mamba): official NeurIPS 2024 implementation. Installation needs causal-conv1d and mamba-ssm.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r>
        <w:rPr>
          <w:color w:val="000000"/>
          <w:sz w:val="22"/>
          <w:szCs w:val="22"/>
        </w:rPr>
        <w:lastRenderedPageBreak/>
        <w:t xml:space="preserve">Isoformer docs (github.com/instadeepai/nucleotide-transformer): documentation and an inference notebook, hosted under InstaDeep's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r>
              <w:rPr>
                <w:color w:val="000000"/>
              </w:rPr>
              <w:t>BioLangFusion</w:t>
            </w:r>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r>
              <w:rPr>
                <w:color w:val="000000"/>
              </w:rPr>
              <w:t>Isoformer</w:t>
            </w:r>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r>
              <w:rPr>
                <w:color w:val="000000"/>
              </w:rPr>
              <w:t>LucaOne</w:t>
            </w:r>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mRNA_Stability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mRFP_Expression: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Decodability)</w:t>
      </w:r>
    </w:p>
    <w:p w14:paraId="3F266876" w14:textId="77777777" w:rsidR="00C14CF4" w:rsidRDefault="00000000">
      <w:pPr>
        <w:pStyle w:val="ListParagraph"/>
        <w:numPr>
          <w:ilvl w:val="0"/>
          <w:numId w:val="1"/>
        </w:numPr>
        <w:spacing w:after="80"/>
      </w:pPr>
      <w:r>
        <w:rPr>
          <w:color w:val="000000"/>
          <w:sz w:val="22"/>
          <w:szCs w:val="22"/>
        </w:rPr>
        <w:t>Linear probing for mRNA stability: under the original (leaky) evaluation, RNA embeddings reached R-squared 0.059 plus or minus 0.007, protein embeddings 0.113 plus or minus 0.066. After the 2026-09-22 fix (scaler fit inside each fold, GroupKFold by sequence identity), rerun live in the notebook itself, the corrected numbers are RNA R-squared 0.015 plus or minus 0.072 and protein R-squared 0.103 plus or minus 0.034. This is a real finding, not a rounding change: RNA's apparent stability signal does not survive the corrected evaluation, since its standard deviation now exceeds its mean, while protein's signal holds up and stays clearly positive. The original RNA score was likely inflated by the two leaks now fixed.</w:t>
      </w:r>
    </w:p>
    <w:p w14:paraId="3F82507B" w14:textId="77777777" w:rsidR="00C14CF4" w:rsidRDefault="00000000">
      <w:pPr>
        <w:pStyle w:val="ListParagraph"/>
        <w:numPr>
          <w:ilvl w:val="0"/>
          <w:numId w:val="1"/>
        </w:numPr>
        <w:spacing w:after="80"/>
      </w:pPr>
      <w:r>
        <w:rPr>
          <w:color w:val="000000"/>
          <w:sz w:val="22"/>
          <w:szCs w:val="22"/>
        </w:rPr>
        <w:t>Sequence-length baseline: R-squared 0.007 under the original evaluation, -0.006 corrected (both indistinguishable from zero). Either way, this rules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GC content probe, a known-property validity check: RNA embeddings recover GC content nearly perfectly (R-squared 0.986, 0.986 corrected, unchanged), expected since it is a direct compositional property of the sequence. Protein embeddings recover 0.681 of that same signal (0.678 corrected, unchanged), a genuinely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0.115 versus 0.113 for protein alone under the original evaluation (0.100 versus 0.103 corrected), a difference entirely within noise either way, and if anything now runs slightly the other direction, which only reinforces the no-synergy reading. At the level of simple concatenation, there is no measurable synergy, consistent with the beyond-alignment critique's warning that concatenation cannot access synergistic information even if it exists.</w:t>
      </w:r>
    </w:p>
    <w:p w14:paraId="1582BEF6"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(0.969 corrected, unchanged), protein embeddings at 0.379 (0.380 corrected, unchanged). GC3 correlates 0.922 with the overall GC content already probed above, so this mostly confirms rather than extends that earlier result; the one new detail is that protein embeddings lose noticeably more ground on this codon-position-specific signal than they did on overall GC, consistent with translation collapsing synonymous codons to the same amino acid.</w:t>
      </w:r>
    </w:p>
    <w:p w14:paraId="53E4983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neither embedding recovers this proxy reliably. The original run (buggy min-loop constraint, leaky evaluation) reported RNA R-squared 0.062 plus or minus 0.087 and protein 0.022 plus or minus 0.134. A 2026-09-22 refactor fixed the min-loop bug and reran under the still-leaky evaluation, giving RNA 0.103 plus or minus 0.072 and protein 0.078 plus or minus 0.061. The same day, the evaluation-leak fix (Pipeline-wrapped scaling, GroupKFold by sequence identity) was also applied and rerun against the corrected structure calculation, giving the final numbers, rerun live in the notebook: RNA R-squared 0.089 plus or minus 0.033, protein R-squared 0.093 plus or minus 0.055. All three versions are effectively zero given the standard deviation exceeds the mean in every case. This is a genuine, honestly weak result rather than a strong or a null one, most likely limited by the smaller sample, the simplified pairing model, and the 5' region-only crop; at face value it says composition (GC, GC3) is what these frozen encoders linearly capture, not this proxy's structural signal. Both fixes are now complete and reflected in the notebook; no further rerun is pending on this probe.</w:t>
      </w:r>
    </w:p>
    <w:p w14:paraId="53E49831" w14:textId="77777777" w:rsidR="00C14CF4" w:rsidRDefault="00000000">
      <w:pPr>
        <w:pStyle w:val="ListParagraph"/>
        <w:numPr>
          <w:ilvl w:val="0"/>
          <w:numId w:val="1"/>
        </w:numPr>
        <w:spacing w:after="80"/>
      </w:pPr>
      <w:r>
        <w:rPr>
          <w:color w:val="000000"/>
          <w:sz w:val="22"/>
          <w:szCs w:val="22"/>
        </w:rPr>
        <w:t>Two additional evaluation caveats surfaced in the same 2026-09-22 refactor, applying to every Track A probe score above plus the Track B synergy check below: StandardScaler was being fit on all rows before the five folds were built (preprocessing leakage), and the local CSV's substantial sequence duplication, 65,356 rows but only 29,949 distinct sequences, meant 14 identical-sequence groups among the 981 retained rows (964 distinct sequences) could cross the five outer folds. Both are now fixed: the scaler is fit inside a Pipeline within each fold, and GroupKFold keys folds on sequence identity so duplicate groups stay together. The corrected scores above mostly move by a few hundredths, except the stability probe: RNA's score drops from 0.059 to 0.015 (no longer distinguishable from zero) while protein's holds up better (0.113 to 0.103), suggesting RNA's original score was inflated by the leaks. This narrows, rather than overturns, the Section 9.2 stability finding: protein carries the more reliable modest signal, not both modalities equally.</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 Recomputing the final-layer score on this same 200-sequence subsample gives 0.187, versus 0.128 on the full 981-sequence sample used for the headline final-layer CKA figure; since the final hidden-state layer is mathematically identical to the pooled embedding used in that full-sample calculation, the gap reflects sampling noise at n=200 rather than a change in what's being measured, so the layer-wise heatmap values should be read as indicative rather than precise.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 xml:space="preserve">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w:t>
        <w:lastRenderedPageBreak/>
        <w:t>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3AF6BD1" w14:textId="77777777" w:rsidR="00C14CF4" w:rsidRDefault="00000000">
      <w:pPr>
        <w:pStyle w:val="ListParagraph"/>
        <w:numPr>
          <w:ilvl w:val="0"/>
          <w:numId w:val="1"/>
        </w:numPr>
        <w:spacing w:after="80"/>
      </w:pPr>
      <w:r>
        <w:rPr>
          <w:color w:val="000000"/>
          <w:sz w:val="22"/>
          <w:szCs w:val="22"/>
        </w:rPr>
        <w:t xml:space="preserve">Attention-motif overlap test, first pass: using two placeholder JASPAR transcription-factor motifs, tested on a single-example sanity check plus a 100-sequence aggregate run. In the single example, mean attention at the 475 motif-covered positions was 0.0026, versus 0.0034 elsewhere, the opposite direction of the hypothesis, and not significant (p is approximately 1.0 under the one-sided greater-at-motifs test). Across the 100-sequence aggregate, 26 percent of sequences showed significantly higher attention at motif positions (p &lt; 0.05, uncorrected), and the mean attention gap across all 100 was -0.0003, essentially zero. As run, this did not support the hypothesis that the frozen RNA encoder's attention tracks these particular motifs, and these numbers are now superseded by the fix below.</w:t>
      </w:r>
    </w:p>
    <w:p w14:paraId="7BC7E67F" w14:textId="77777777" w:rsidR="00C14CF4" w:rsidRDefault="00000000">
      <w:pPr>
        <w:pStyle w:val="ListParagraph"/>
        <w:numPr>
          <w:ilvl w:val="0"/>
          <w:numId w:val="1"/>
        </w:numPr>
        <w:spacing w:after="80"/>
      </w:pPr>
      <w:r>
        <w:rPr>
          <w:color w:val="000000"/>
          <w:sz w:val="22"/>
          <w:szCs w:val="22"/>
        </w:rPr>
        <w:t>This was a genuine null result for the specific test run, not necessarily for the underlying question. JASPAR's motif library is built overwhelmingly from transcription-factor binding sites, which act at the DNA and promoter level to control transcription, not the specific RNA sequence elements known to govern post-transcriptional mRNA stability. The two motif IDs used were explicit placeholders, not chosen for biological relevance to stability. This has since been fixed directly in the notebook: the motif-scanning step now scans for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rather than JASPAR-style PWMs, which also drops the pyjaspar dependency entirely. The overlap test itself was upgraded too, now reporting a per-motif-class breakdown alongside the pooled result, since ARE- and m6A-mediated decay work through different mechanisms and a pooled-only result can hide a real effect specific to one of them. One caveat carried forward honestly rather than resolved: AREs and m6A sites are both canonically enriched in 3' UTRs, and whether mRNA_Stability.csv's Sequence column includes UTR context or is CDS-only is not confirmed from the dataset's own columns. The re-run against this corrected ground truth is now complete.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again essentially zero; the ARE pentamer appeared in 41 sequences (5 percent significant, mean gap -0.0027), the ARE nonamer was too specific to produce any usable hits in this sample, and the m6A DRACH consensus appeared in all 100 (8 percent significant, mean gap -0.0009). This is now a genuine null result against the correct biological ground truth, not an artifact of the earlier JASPAR mismatch: the frozen RNA encoder's self-attention does not preferentially track these canonical stability elements. One caveat remains open rather than resolved: AREs and m6A sites are both canonically enriched in 3' UTRs, and whether mRNA_Stability.csv's Sequence column includes UTR context or is CDS-only is not confirmed from the dataset's own columns, so it is still worth confirming with Mina since it bears on how much weight this null result should carry.</w:t>
      </w:r>
    </w:p>
    <w:p w14:paraId="3EE29178" w14:textId="77777777" w:rsidR="00C14CF4" w:rsidRDefault="00000000">
      <w:pPr>
        <w:pStyle w:val="ListParagraph"/>
        <w:numPr>
          <w:ilvl w:val="0"/>
          <w:numId w:val="1"/>
        </w:numPr>
        <w:spacing w:after="80"/>
      </w:pPr>
      <w:r>
        <w:rPr>
          <w:color w:val="000000"/>
          <w:sz w:val="22"/>
          <w:szCs w:val="22"/>
        </w:rPr>
        <w:t>Alignment–error association (an exploratory adaptation of the ICML 2025 paper's own diagnostic, renamed in the 2026-09-22 refactor since it reports a Spearman correlation rather than a fitted slope): computed on the held-out CCA test-set vectors, the Spearman correlation between per-sample local alignment and downstream prediction error is -0.013 (p = 0.83), not significant. Read against the paper's framework, a near-zero correlation under real modality uniqueness is consistent with the pattern that says an explicit alignment loss is unlikely to help Stage 2's fusion architecture, and could hurt, though this is a one-encoder-pair adaptation of the paper's own across-model diagnostic, not a replication of it. This agrees with, without formally replicating, the same conclusion Track B's CKA and mutual k-NN results already pointed toward.</w:t>
      </w:r>
    </w:p>
    <w:p w14:paraId="14F381B0" w14:textId="77777777" w:rsidR="00C14CF4" w:rsidRDefault="00000000">
      <w:pPr>
        <w:pStyle w:val="ListParagraph"/>
        <w:numPr>
          <w:ilvl w:val="0"/>
          <w:numId w:val="1"/>
        </w:numPr>
        <w:spacing w:after="80"/>
      </w:pPr>
      <w:r>
        <w:rPr>
          <w:color w:val="000000"/>
          <w:sz w:val="22"/>
          <w:szCs w:val="22"/>
        </w:rPr>
        <w:t xml:space="preserve">Representational Similarity Analysis (RSA): the Spearman correlation between the RNA and protein modalities' internal pairwise-distance structures is 0.234 (p &lt; 0.001). This is a fourth, independent line of </w:t>
        <w:lastRenderedPageBreak/>
        <w:t>evidence for the same modest-but-real shared structure CCA and retrieval already found, this time from comparing each modality's own internal geometry rather than comparing embeddings across modalities directly, and it does not depend on the two encoders' embedding dimensions matching.</w:t>
      </w:r>
    </w:p>
    <w:p w14:paraId="3B214B4D" w14:textId="77777777" w:rsidR="00C14CF4" w:rsidRDefault="00000000">
      <w:pPr>
        <w:pStyle w:val="Heading2"/>
        <w:spacing w:before="240" w:after="120"/>
      </w:pPr>
      <w:r>
        <w:rPr>
          <w:b/>
          <w:bCs/>
          <w:color w:val="000000"/>
          <w:sz w:val="25"/>
          <w:szCs w:val="25"/>
        </w:rPr>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BioLangFusion, Isoformer, Central Dogma Transformer, LucaOne,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CrossLLM-Mamba,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 xml:space="preserve">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alignment–error association, attention extraction with real AU-rich-element and m6A motif matching (Track C, rebuilt from an initial JASPAR transcription-factor pass), RSA as a fourth alignment metric, and the two extended Track A checks, codon usage bias (GC3) and secondary structure (Nussinov pairing fraction).</w:t>
      </w:r>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added after the initial pass, codon usage bias and secondary structure, is implemented and has been run at least once. Nothing from the original toolkit list remains unimplemented, though the secondary-structure probe's own bug fix (see Track A results above) means its numbers specifically still need an approved rerun before they're final.</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protein embeddings carry a real, modest, non-length-driven signal about mRNA stability; RNA's apparent signal (originally 0.059) does not survive the corrected evaluation (0.015, indistinguishable from zero — see Section 9.2). The pipeline itself is verified correct via the synonymous-recoding control. The two embedding spaces mostly disagree as whole spaces (CKA, mutual k-NN) but share one specific, real subspace (CCA, retrieval, and now RSA as a fourth, independent confirmation), and layer-wise analysis suggests that shared subspace is likely driven by a compositional, genetic-code-linked signal rather than deep functional overlap. The alignment–error association, run directly on this project's own data, agrees: local alignment does not predict downstream error, so an explicit alignment loss is unlikely to help Stage 2's fusion architecture. The attention-motif overlap test's first pass, run against two placeholder JASPAR transcription-factor motifs, found no significant relationship between attention and motif position, more likely a sign the wrong ground truth was tested against than evidence the encoder's attention carries no signal, since JASPAR's transcription-factor motifs are not the class of RNA element that governs post-transcriptional stability. That test has since been rebuilt and re-run against real AU-rich-element and m6A motifs, with a per-motif-class breakdown added to the statistics, and the result is still null: across 100 sequences, only 7 percent show significantly higher attention at motif positions against a 5 percent chance baseline, and the mean attention gap is essentially zero and in the wrong direction. This time the null result is trustworthy rather than a methodology artifact, since the ground truth is now the correct one, and it says something real and specific: this frozen encoder's final-layer attention does not concentrate at canonical RNA stability elements, at least not in the aggregated, single-layer form tested here. Naive fusion does not exploit the shared subspace that does exist, but a properly designed fusion mechanism plausibly could. The two extended Track A checks added after the initial pass, codon usage bias and secondary structure, are now implemented and run too: GC3 mostly confirms the existing GC content result rather than adding new signal, and the secondary structure proxy comes back essentially undecodable from either embedding, an honestly weak result rather than a strong one. This is now a fully completed, honestly interpreted Stage 1, with every item from the original and extended toolkit lists implemented and run, not a preliminary pass, and it already goes beyond the original minimum bar of one probe, one CKA score, and one UMAP plot. One piece of that honesty needs stating plainly for Wednesday: a 2026-09-22 refactor of the pilot notebook found a bug in the secondary-structure probe's pairing calculation and two evaluation leaks affecting every Track A probe score, preprocessing leakage from fitting the scaler before cross-validation, and duplicate sequences crossing the outer folds. All three are now fixed and rerun against the cached embeddings (Section 9.2 has the before/after numbers). None of this overturns the headline pattern, which four independent Track B methods and the alignment–error association all agree on, and the corrected Track A numbers do not change that reading either: composition (GC, GC3) stays strongly decodable, stability and structure stay weak, and concatenation still shows no real gain over protein alone. The probe numbers above are now a fixed, audited result rather than an exploratory first pass, pending only a GPU-based full re-embedding rerun as a final confirmation.</w:t>
      </w:r>
    </w:p>
    <w:p w14:paraId="5CC2EF4A" w14:textId="77777777" w:rsidR="00C14CF4" w:rsidRDefault="00000000">
      <w:pPr>
        <w:pStyle w:val="Heading2"/>
        <w:spacing w:before="240" w:after="120"/>
      </w:pPr>
      <w:r>
        <w:rPr>
          <w:b/>
          <w:bCs/>
          <w:color w:val="000000"/>
          <w:sz w:val="25"/>
          <w:szCs w:val="25"/>
        </w:rPr>
        <w:t>9.7 Talking Points and Asks for Mina</w:t>
      </w:r>
    </w:p>
    <w:p w14:paraId="3D62C61F"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11575DBE" w14:textId="77777777" w:rsidR="00C14CF4" w:rsidRDefault="00000000">
      <w:pPr>
        <w:pStyle w:val="ListParagraph"/>
        <w:numPr>
          <w:ilvl w:val="0"/>
          <w:numId w:val="1"/>
        </w:numPr>
        <w:spacing w:after="80"/>
      </w:pPr>
      <w:r>
        <w:rPr>
          <w:color w:val="000000"/>
          <w:sz w:val="22"/>
          <w:szCs w:val="22"/>
        </w:rPr>
        <w:lastRenderedPageBreak/>
        <w:t>Lead with the tension between the alignment metrics rather than a single number: CKA and mutual k-NN say the two embedding spaces mostly disagree, while CCA, retrieval, and now RSA all independently find one specific, strong, learnable shared subspace within them. That disagreement between metrics is the actual finding worth presenting, not a gap to explain away.</w:t>
      </w:r>
    </w:p>
    <w:p w14:paraId="5FB40AA1"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now backed by four independent methods, not just one or two.</w:t>
      </w:r>
    </w:p>
    <w:p w14:paraId="19089CB4" w14:textId="77777777" w:rsidR="00C14CF4" w:rsidRDefault="00000000">
      <w:pPr>
        <w:pStyle w:val="ListParagraph"/>
        <w:numPr>
          <w:ilvl w:val="0"/>
          <w:numId w:val="1"/>
        </w:numPr>
        <w:spacing w:after="80"/>
      </w:pPr>
      <w:r>
        <w:rPr>
          <w:color w:val="000000"/>
          <w:sz w:val="22"/>
          <w:szCs w:val="22"/>
        </w:rPr>
        <w:t>State the fusion architecture implication directly: naive concatenation shows zero synergy, while a targeted method, CCA, finds real structure the same two encoders already contain. That is direct evidence for prioritizing a learned fusion mechanism, gated fusion or cross-attention, over treating the concatenation-plus-MLP baseline as a serious candidate, since concatenation has already been shown not to reach what is there.</w:t>
      </w:r>
    </w:p>
    <w:p w14:paraId="7A70738A" w14:textId="77777777" w:rsidR="00C14CF4" w:rsidRDefault="00000000">
      <w:pPr>
        <w:pStyle w:val="ListParagraph"/>
        <w:numPr>
          <w:ilvl w:val="0"/>
          <w:numId w:val="1"/>
        </w:numPr>
        <w:spacing w:after="80"/>
      </w:pPr>
      <w:r>
        <w:rPr>
          <w:color w:val="000000"/>
          <w:sz w:val="22"/>
          <w:szCs w:val="22"/>
        </w:rPr>
        <w:t>The alignment–error association, an exploratory adaptation of the ICML 2025 paper's own diagnostic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470D6048" w14:textId="77777777" w:rsidR="00C14CF4" w:rsidRDefault="00000000">
      <w:pPr>
        <w:pStyle w:val="ListParagraph"/>
        <w:numPr>
          <w:ilvl w:val="0"/>
          <w:numId w:val="1"/>
        </w:numPr>
        <w:spacing w:after="80"/>
      </w:pPr>
      <w:r>
        <w:rPr>
          <w:color w:val="000000"/>
          <w:sz w:val="22"/>
          <w:szCs w:val="22"/>
        </w:rPr>
        <w:t>Be direct about the one result that has consistently come back null, now on solid ground: the attention-motif overlap test, re-run against real AU-rich elements and m6A sites rather than the original placeholder JASPAR transcription-factor motifs, still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Worth asking her one specific, still-open question alongside it: whether these particular sequences carry 3' UTR context, where these elements concentrate, or are CDS-only, since that determines how much weight this null result should be given either way, and whether a different layer or attention head would be worth checking next.</w:t>
      </w:r>
    </w:p>
    <w:p w14:paraId="67337A41"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BioLangFusion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 xml:space="preserve">Whether the project leans toward reusing frozen pretrained encoders (BioLangFusion / Isoformer style) or joint training from scratch (LucaOne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lastRenderedPageBreak/>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3CE5F01F" w14:textId="77777777" w:rsidR="00C14CF4" w:rsidRDefault="00000000">
      <w:pPr>
        <w:pStyle w:val="ListParagraph"/>
        <w:numPr>
          <w:ilvl w:val="0"/>
          <w:numId w:val="1"/>
        </w:numPr>
        <w:spacing w:after="80"/>
      </w:pPr>
      <w:r>
        <w:rPr>
          <w:color w:val="000000"/>
          <w:sz w:val="22"/>
          <w:szCs w:val="22"/>
        </w:rPr>
        <w:t>Do the mRNA_Stability sequences include 3' UTR context, where AU-rich elements and m6A sites concentrate, or are they CDS-only? This determines how much weight to put on the rebuilt Track C motif test's result once it is re-run.</w:t>
      </w:r>
    </w:p>
    <w:p w14:paraId="3CE5F01F" w14:textId="77777777" w:rsidR="00C14CF4" w:rsidRDefault="00000000">
      <w:pPr>
        <w:pStyle w:val="ListParagraph"/>
        <w:numPr>
          <w:ilvl w:val="0"/>
          <w:numId w:val="1"/>
        </w:numPr>
        <w:spacing w:after="80"/>
      </w:pPr>
      <w:r>
        <w:rPr>
          <w:color w:val="000000"/>
          <w:sz w:val="22"/>
          <w:szCs w:val="22"/>
        </w:rPr>
        <w:t>Whether to address the newly found duplicate-sequence fold leakage (14 identical-sequence groups spanning the five outer cross-validation folds among 981 retained rows) and the scaler-before-cross-validation preprocessing leakage before treating the Track A/B probe R-squared values as final, or whether they're fine to present as an exploratory first pass for now.</w:t>
      </w:r>
    </w:p>
    <w:p w14:paraId="44EA0697" w14:textId="77777777" w:rsidR="00C14CF4" w:rsidRPr="00D54E0F"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D54E0F" w:rsidRPr="00D54E0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D54E0F"/>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8582</Words>
  <Characters>48923</Characters>
  <Application>Microsoft Office Word</Application>
  <DocSecurity>0</DocSecurity>
  <Lines>407</Lines>
  <Paragraphs>114</Paragraphs>
  <ScaleCrop>false</ScaleCrop>
  <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4</cp:revision>
  <dcterms:created xsi:type="dcterms:W3CDTF">2026-09-20T04:27:00Z</dcterms:created>
  <dcterms:modified xsi:type="dcterms:W3CDTF">2026-09-22T03:10:00Z</dcterms:modified>
</cp:coreProperties>
</file>