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0000"/>
          <w:sz w:val="44"/>
          <w:szCs w:val="44"/>
        </w:rPr>
        <w:t xml:space="preserve">DNA, RNA, and Protein Fusion Project</w:t>
      </w:r>
    </w:p>
    <w:p>
      <w:pPr>
        <w:spacing w:after="80"/>
      </w:pPr>
      <w:r>
        <w:rPr>
          <w:i/>
          <w:iCs/>
          <w:color w:val="000000"/>
          <w:sz w:val="28"/>
          <w:szCs w:val="28"/>
        </w:rPr>
        <w:t xml:space="preserve">Consolidated Project Notes</w:t>
      </w:r>
    </w:p>
    <w:p>
      <w:pPr>
        <w:spacing w:after="300"/>
      </w:pPr>
      <w:r>
        <w:rPr>
          <w:i/>
          <w:iCs/>
          <w:color w:val="000000"/>
          <w:sz w:val="20"/>
          <w:szCs w:val="20"/>
        </w:rPr>
        <w:t xml:space="preserve">Julian McKinley, MSDA AI Track, UCF. Advised by Mina Basirat, Dr. Ivan Garibay's lab. Consolidated from prior working notes ahead of the September 23, 2026 meeting.</w:t>
      </w:r>
    </w:p>
    <w:p>
      <w:pPr>
        <w:spacing w:after="200"/>
      </w:pPr>
      <w:r>
        <w:rPr>
          <w:i/>
          <w:iCs/>
          <w:color w:val="000000"/>
          <w:sz w:val="20"/>
          <w:szCs w:val="20"/>
        </w:rPr>
        <w:t xml:space="preserve">This document replaces Mina_Paper_Reading_Notes.docx, Mina_Project_Architecture_and_Phases.docx, and Mina_Meeting_Notes_2026-09-23.docx, which covered heavily overlapping ground across three separate files. The paper-by-paper summaries and deep dives previously in Mina_Paper_Reading_Notes.docx have been removed here since full reviews for all six papers (BioLangFusion, Isoformer, Central Dogma Transformer, LucaOne, Coupled Mamba, and the alignment theory paper) now exist as standalone review files. The reference document Mina shared directly, "DNA, RNA, Protein Models and Downstream Task," is left untouched and separate, since it is her document, not a working note of mine to fold in.</w:t>
      </w:r>
    </w:p>
    <w:p>
      <w:pPr>
        <w:pStyle w:val="Heading1"/>
        <w:spacing w:after="160" w:before="320"/>
      </w:pPr>
      <w:r>
        <w:rPr>
          <w:b/>
          <w:bCs/>
          <w:color w:val="000000"/>
          <w:sz w:val="30"/>
          <w:szCs w:val="30"/>
        </w:rPr>
        <w:t xml:space="preserve">1. Project Context and Goal</w:t>
      </w:r>
    </w:p>
    <w:p>
      <w:pPr>
        <w:spacing w:after="160"/>
      </w:pPr>
      <w:r>
        <w:rPr>
          <w:b w:val="false"/>
          <w:bCs w:val="false"/>
          <w:i w:val="false"/>
          <w:iCs w:val="false"/>
          <w:color w:val="000000"/>
          <w:sz w:val="22"/>
          <w:szCs w:val="22"/>
        </w:rPr>
        <w:t xml:space="preserve">This project is one of two research threads run for the MSDA capstone, advised by Mina Basirat. The other is a separate RNA sequence tokenization project in the same lab, extending the lab's Equi-mRNA model to cover intergenic sequences, worked on with fellow students Jahid and Zeynep. Mina noted her direction could eventually connect with that work, but for now the two are treated as distinct projects.</w:t>
      </w:r>
    </w:p>
    <w:p>
      <w:pPr>
        <w:spacing w:after="160"/>
      </w:pPr>
      <w:r>
        <w:rPr>
          <w:b w:val="false"/>
          <w:bCs w:val="false"/>
          <w:i w:val="false"/>
          <w:iCs w:val="false"/>
          <w:color w:val="000000"/>
          <w:sz w:val="22"/>
          <w:szCs w:val="22"/>
        </w:rPr>
        <w:t xml:space="preserve">Living things run on three connected layers of information: DNA, which holds the instructions; RNA, the working copy of those instructions; and protein, what actually carries out the work in the cell. The AI models that read each layer are trained separately today, even though these layers are causally linked. This project tests whether combining these three separately pretrained foundation models captures real biological signal that no single one sees alone, or whether combining them just adds complexity for no real benefit.</w:t>
      </w:r>
    </w:p>
    <w:p>
      <w:pPr>
        <w:spacing w:after="160"/>
      </w:pPr>
      <w:r>
        <w:rPr>
          <w:b w:val="false"/>
          <w:bCs w:val="false"/>
          <w:i w:val="false"/>
          <w:iCs w:val="false"/>
          <w:color w:val="000000"/>
          <w:sz w:val="22"/>
          <w:szCs w:val="22"/>
        </w:rPr>
        <w:t xml:space="preserve">The goal splits into two pieces: fusion, how the three modalities actually get combined, and alignment, what has to be true about their representations before they can be combined at all. The pipeline below exists to answer that question rigorously: first check what is already related between the models, then decide how to connect them, then actually connect them, then prove whether the connected version does something a single model could not.</w:t>
      </w:r>
    </w:p>
    <w:p>
      <w:pPr>
        <w:pStyle w:val="Heading2"/>
        <w:spacing w:after="120" w:before="240"/>
      </w:pPr>
      <w:r>
        <w:rPr>
          <w:b/>
          <w:bCs/>
          <w:color w:val="000000"/>
          <w:sz w:val="25"/>
          <w:szCs w:val="25"/>
        </w:rPr>
        <w:t xml:space="preserve">Why This Project, Given Work Like BioLangFusion Already Exists</w:t>
      </w:r>
    </w:p>
    <w:p>
      <w:pPr>
        <w:spacing w:after="160"/>
      </w:pPr>
      <w:r>
        <w:rPr>
          <w:b w:val="false"/>
          <w:bCs w:val="false"/>
          <w:i w:val="false"/>
          <w:iCs w:val="false"/>
          <w:color w:val="000000"/>
          <w:sz w:val="22"/>
          <w:szCs w:val="22"/>
        </w:rPr>
        <w:t xml:space="preserve">BioLangFusion shows that combining existing DNA, RNA, and protein models can help on certain tasks. That is useful, but it does not explain when fusion helps, why it helps, or whether an improvement reflects real biological synergy versus the model reshuffling information it already had in redundant form. This project targets that gap directly, using the alignment theory framework from recent multimodal research, plus a newer critique of that framework showing that common alignment metrics can miss real nonlinear synergy entirely. The contribution is not a better fusion model than BioLangFusion. It is the principled methodology for deciding whether and how fusion should be done for a given DNA, RNA, and protein task, and for being honest when the answer is that fusion adds little.</w:t>
      </w:r>
    </w:p>
    <w:p>
      <w:pPr>
        <w:pStyle w:val="Heading2"/>
        <w:spacing w:after="120" w:before="240"/>
      </w:pPr>
      <w:r>
        <w:rPr>
          <w:b/>
          <w:bCs/>
          <w:color w:val="000000"/>
          <w:sz w:val="25"/>
          <w:szCs w:val="25"/>
        </w:rPr>
        <w:t xml:space="preserve">Landscape of the Core Literature</w:t>
      </w:r>
    </w:p>
    <w:p>
      <w:pPr>
        <w:spacing w:after="160"/>
      </w:pPr>
      <w:r>
        <w:rPr>
          <w:b w:val="false"/>
          <w:bCs w:val="false"/>
          <w:i w:val="false"/>
          <w:iCs w:val="false"/>
          <w:color w:val="000000"/>
          <w:sz w:val="22"/>
          <w:szCs w:val="22"/>
        </w:rPr>
        <w:t xml:space="preserve">Five papers plus one general-purpose fusion mechanism cover the core reading; full individual reviews for each exist as separate files, so only the landscape is summarized here. Two broad strategies show up across the papers. The first keeps existing single-modality models frozen and adds a lightweight fusion module on top (BioLangFusion, Isoformer, Central Dogma Transformer). This is cheap and reuses existing pretraining investment, but it requires solving an alignment problem first, since the different models tokenize sequences at different resolutions. The second strategy trains one model from scratch on a shared vocabulary spanning both nucleotides and amino acids, so cross-modal structure has to emerge from pretraining itself (LucaOne). Coupled Mamba does not fit cleanly into either category; it is a general-purpose fusion mechanism, not a biology paper, offered as an alignment-free alternative to attention-based fusion.</w:t>
      </w:r>
    </w:p>
    <w:p>
      <w:pPr>
        <w:pStyle w:val="Heading1"/>
        <w:spacing w:after="160" w:before="320"/>
      </w:pPr>
      <w:r>
        <w:rPr>
          <w:b/>
          <w:bCs/>
          <w:color w:val="000000"/>
          <w:sz w:val="30"/>
          <w:szCs w:val="30"/>
        </w:rPr>
        <w:t xml:space="preserve">2. What Alignment Means Here (Mina's Framing)</w:t>
      </w:r>
    </w:p>
    <w:p>
      <w:pPr>
        <w:spacing w:after="160"/>
      </w:pPr>
      <w:r>
        <w:rPr>
          <w:b w:val="false"/>
          <w:bCs w:val="false"/>
          <w:i w:val="false"/>
          <w:iCs w:val="false"/>
          <w:color w:val="000000"/>
          <w:sz w:val="22"/>
          <w:szCs w:val="22"/>
        </w:rPr>
        <w:t xml:space="preserve">Mina pushed back early on treating alignment as solved by resampling sequences to a shared resolution. Her point: we first need to define what alignment actually means in the context of biological foundation models, rather than assuming it just means matching sequence lengths. BioLangFusion frames alignment as cross-modal representation alignment, and her lab is running its own study on this question.</w:t>
      </w:r>
    </w:p>
    <w:p>
      <w:pPr>
        <w:spacing w:after="160"/>
      </w:pPr>
      <w:r>
        <w:rPr>
          <w:b w:val="false"/>
          <w:bCs w:val="false"/>
          <w:i w:val="false"/>
          <w:iCs w:val="false"/>
          <w:color w:val="000000"/>
          <w:sz w:val="22"/>
          <w:szCs w:val="22"/>
        </w:rPr>
        <w:t xml:space="preserve">Her proposed approach: before designing an alignment method, analyze the internal representations of the frozen foundation models directly, using visualization and interpretability tools, embedding projections, attention analysis, and probing, to see what each model's representations actually capture. She was explicit that the tools alone will not be enough to interpret the results; biological knowledge and priors are needed to judge whether the patterns the models capture are biologically meaningful. This is where the project's contribution is meant to matter most, and it is the reason Stage 1 exists as a dedicated stage rather than a quick check before jumping to fusion.</w:t>
      </w:r>
    </w:p>
    <w:p>
      <w:pPr>
        <w:pStyle w:val="Heading2"/>
        <w:spacing w:after="120" w:before="240"/>
      </w:pPr>
      <w:r>
        <w:rPr>
          <w:b/>
          <w:bCs/>
          <w:color w:val="000000"/>
          <w:sz w:val="25"/>
          <w:szCs w:val="25"/>
        </w:rPr>
        <w:t xml:space="preserve">The Formal Alignment Theory (ICML 2025)</w:t>
      </w:r>
    </w:p>
    <w:p>
      <w:pPr>
        <w:spacing w:after="160"/>
      </w:pPr>
      <w:r>
        <w:rPr>
          <w:b w:val="false"/>
          <w:bCs w:val="false"/>
          <w:i w:val="false"/>
          <w:iCs w:val="false"/>
          <w:color w:val="000000"/>
          <w:sz w:val="22"/>
          <w:szCs w:val="22"/>
        </w:rPr>
        <w:t xml:space="preserve">The theoretical, non-biology-specific alignment paper Mina attached, "Understanding the Emergence of Multimodal Representation Alignment" (Tjandrasuwita, Ekbote, Ziyin, and Liang, MIT, ICML 2025), now has a full standalone review. In short: it frames alignment along two axes, heterogeneity (how dissimilar two modalities are, independent of task) and interactions, split into redundancy (information shared by both modalities that is task-relevant) and uniqueness (information only one modality has that is task-relevant). Its central finding is that alignment reliably predicts downstream performance only when redundancy dominates; as uniqueness increases, that relationship weakens and can turn negative, while model capacity keeps helping performance regardless of alignment. Its most directly reusable contribution is the alignment-performance slope, a diagnostic computed from frozen, unaligned encoders that predicts whether adding an explicit alignment loss will help or hurt on a given task, not yet implemented in this project's pipeline.</w:t>
      </w:r>
    </w:p>
    <w:p>
      <w:pPr>
        <w:spacing w:after="160"/>
      </w:pPr>
      <w:r>
        <w:rPr>
          <w:b w:val="false"/>
          <w:bCs w:val="false"/>
          <w:i w:val="false"/>
          <w:iCs w:val="false"/>
          <w:color w:val="000000"/>
          <w:sz w:val="22"/>
          <w:szCs w:val="22"/>
        </w:rPr>
        <w:t xml:space="preserve">DNA, RNA, and protein are a triplet with real, built-in uniqueness: each stage of the central dogma is lossy in both directions. This paper gives a concrete diagnostic to run before committing to a fusion architecture, and is exactly the kind of "define what alignment means before designing a method" analysis Mina asked for.</w:t>
      </w:r>
    </w:p>
    <w:p>
      <w:pPr>
        <w:pStyle w:val="Heading2"/>
        <w:spacing w:after="120" w:before="240"/>
      </w:pPr>
      <w:r>
        <w:rPr>
          <w:b/>
          <w:bCs/>
          <w:color w:val="000000"/>
          <w:sz w:val="25"/>
          <w:szCs w:val="25"/>
        </w:rPr>
        <w:t xml:space="preserve">The Counter-Argument: Beyond Alignment / Synergistic Information Score</w:t>
      </w:r>
    </w:p>
    <w:p>
      <w:pPr>
        <w:spacing w:after="160"/>
      </w:pPr>
      <w:r>
        <w:rPr>
          <w:b w:val="false"/>
          <w:bCs w:val="false"/>
          <w:i w:val="false"/>
          <w:iCs w:val="false"/>
          <w:color w:val="000000"/>
          <w:sz w:val="22"/>
          <w:szCs w:val="22"/>
        </w:rPr>
        <w:t xml:space="preserve">A bioRxiv paper, "Beyond alignment: synergistic integration is required for multimodal cell foundation models," argues that alignment metrics like CKA have a hard theoretical ceiling: with frozen encoders and linear fusion, alignment objectives can only recover linear redundancy between modalities, and cannot see synergistic information, signal that only shows up when both modalities are considered jointly. An alignment objective can actively suppress the modality-specific signal a task needs. They propose the Synergistic Information Score (SIS): does fusion beat the best single-modality baseline, yes or no. Put next to the ICML 2025 paper, these two give a stronger Stage 1 than either alone: the alignment paper says when alignment is achievable and likely to help, this one says that even where alignment looks clean, real task-relevant information might still be getting thrown away. This project's synergy check, in the toolkit below, directly operationalizes this idea.</w:t>
      </w:r>
    </w:p>
    <w:p>
      <w:pPr>
        <w:pStyle w:val="Heading1"/>
        <w:spacing w:after="160" w:before="320"/>
      </w:pPr>
      <w:r>
        <w:rPr>
          <w:b/>
          <w:bCs/>
          <w:color w:val="000000"/>
          <w:sz w:val="30"/>
          <w:szCs w:val="30"/>
        </w:rPr>
        <w:t xml:space="preserve">3. The Four-Stage Pipeline</w:t>
      </w:r>
    </w:p>
    <w:p>
      <w:pPr>
        <w:spacing w:after="160"/>
      </w:pPr>
      <w:r>
        <w:rPr>
          <w:b w:val="false"/>
          <w:bCs w:val="false"/>
          <w:i w:val="false"/>
          <w:iCs w:val="false"/>
          <w:color w:val="000000"/>
          <w:sz w:val="22"/>
          <w:szCs w:val="22"/>
        </w:rPr>
        <w:t xml:space="preserve">The pipeline moves through four stages in order. Each stage's output is a direct input into the next stage's design decisions, so the order matters: fusion architecture should not be chosen before Stage 1's representation analysis has something to say about it.</w:t>
      </w:r>
    </w:p>
    <w:tbl>
      <w:tblPr>
        <w:tblW w:type="dxa" w:w="10600"/>
        <w:tblBorders>
          <w:top w:val="single" w:color="000000" w:sz="2"/>
          <w:left w:val="single" w:color="000000" w:sz="2"/>
          <w:bottom w:val="single" w:color="000000" w:sz="2"/>
          <w:right w:val="single" w:color="000000" w:sz="2"/>
          <w:insideH w:val="single" w:color="000000" w:sz="2"/>
          <w:insideV w:val="single" w:color="000000" w:sz="2"/>
        </w:tblBorders>
      </w:tblPr>
      <w:tblGrid>
        <w:gridCol w:w="2200"/>
        <w:gridCol w:w="4200"/>
        <w:gridCol w:w="4200"/>
      </w:tblGrid>
      <w:tr>
        <w:tc>
          <w:tcPr>
            <w:tcW w:type="dxa" w:w="2200"/>
            <w:shd w:fill="D9D9D9" w:val="clear"/>
            <w:tcMar>
              <w:top w:type="dxa" w:w="80"/>
              <w:left w:type="dxa" w:w="100"/>
              <w:bottom w:type="dxa" w:w="80"/>
              <w:right w:type="dxa" w:w="100"/>
            </w:tcMar>
          </w:tcPr>
          <w:p>
            <w:r>
              <w:rPr>
                <w:b/>
                <w:bCs/>
                <w:color w:val="000000"/>
                <w:sz w:val="20"/>
                <w:szCs w:val="20"/>
              </w:rPr>
              <w:t xml:space="preserve">Stage</w:t>
            </w:r>
          </w:p>
        </w:tc>
        <w:tc>
          <w:tcPr>
            <w:tcW w:type="dxa" w:w="4200"/>
            <w:shd w:fill="D9D9D9" w:val="clear"/>
            <w:tcMar>
              <w:top w:type="dxa" w:w="80"/>
              <w:left w:type="dxa" w:w="100"/>
              <w:bottom w:type="dxa" w:w="80"/>
              <w:right w:type="dxa" w:w="100"/>
            </w:tcMar>
          </w:tcPr>
          <w:p>
            <w:r>
              <w:rPr>
                <w:b/>
                <w:bCs/>
                <w:color w:val="000000"/>
                <w:sz w:val="20"/>
                <w:szCs w:val="20"/>
              </w:rPr>
              <w:t xml:space="preserve">Goal</w:t>
            </w:r>
          </w:p>
        </w:tc>
        <w:tc>
          <w:tcPr>
            <w:tcW w:type="dxa" w:w="4200"/>
            <w:shd w:fill="D9D9D9" w:val="clear"/>
            <w:tcMar>
              <w:top w:type="dxa" w:w="80"/>
              <w:left w:type="dxa" w:w="100"/>
              <w:bottom w:type="dxa" w:w="80"/>
              <w:right w:type="dxa" w:w="100"/>
            </w:tcMar>
          </w:tcPr>
          <w:p>
            <w:r>
              <w:rPr>
                <w:b/>
                <w:bCs/>
                <w:color w:val="000000"/>
                <w:sz w:val="20"/>
                <w:szCs w:val="20"/>
              </w:rPr>
              <w:t xml:space="preserve">Key Deliverable</w:t>
            </w:r>
          </w:p>
        </w:tc>
      </w:tr>
      <w:tr>
        <w:tc>
          <w:tcPr>
            <w:tcW w:type="dxa" w:w="2200"/>
            <w:tcMar>
              <w:top w:type="dxa" w:w="80"/>
              <w:left w:type="dxa" w:w="100"/>
              <w:bottom w:type="dxa" w:w="80"/>
              <w:right w:type="dxa" w:w="100"/>
            </w:tcMar>
          </w:tcPr>
          <w:p>
            <w:r>
              <w:rPr>
                <w:b w:val="false"/>
                <w:bCs w:val="false"/>
                <w:color w:val="000000"/>
                <w:sz w:val="20"/>
                <w:szCs w:val="20"/>
              </w:rPr>
              <w:t xml:space="preserve">Stage 1: Representation Analysis (current, substantially complete)</w:t>
            </w:r>
          </w:p>
        </w:tc>
        <w:tc>
          <w:tcPr>
            <w:tcW w:type="dxa" w:w="4200"/>
            <w:tcMar>
              <w:top w:type="dxa" w:w="80"/>
              <w:left w:type="dxa" w:w="100"/>
              <w:bottom w:type="dxa" w:w="80"/>
              <w:right w:type="dxa" w:w="100"/>
            </w:tcMar>
          </w:tcPr>
          <w:p>
            <w:r>
              <w:rPr>
                <w:b w:val="false"/>
                <w:bCs w:val="false"/>
                <w:color w:val="000000"/>
                <w:sz w:val="20"/>
                <w:szCs w:val="20"/>
              </w:rPr>
              <w:t xml:space="preserve">Determine what the frozen DNA, RNA, and protein encoders already know, and how related their representations already are.</w:t>
            </w:r>
          </w:p>
        </w:tc>
        <w:tc>
          <w:tcPr>
            <w:tcW w:type="dxa" w:w="4200"/>
            <w:tcMar>
              <w:top w:type="dxa" w:w="80"/>
              <w:left w:type="dxa" w:w="100"/>
              <w:bottom w:type="dxa" w:w="80"/>
              <w:right w:type="dxa" w:w="100"/>
            </w:tcMar>
          </w:tcPr>
          <w:p>
            <w:r>
              <w:rPr>
                <w:b w:val="false"/>
                <w:bCs w:val="false"/>
                <w:color w:val="000000"/>
                <w:sz w:val="20"/>
                <w:szCs w:val="20"/>
              </w:rPr>
              <w:t xml:space="preserve">Probe accuracies, CKA and CCA scores, retrieval accuracy, and visualizations for one pilot dataset.</w:t>
            </w:r>
          </w:p>
        </w:tc>
      </w:tr>
      <w:tr>
        <w:tc>
          <w:tcPr>
            <w:tcW w:type="dxa" w:w="2200"/>
            <w:tcMar>
              <w:top w:type="dxa" w:w="80"/>
              <w:left w:type="dxa" w:w="100"/>
              <w:bottom w:type="dxa" w:w="80"/>
              <w:right w:type="dxa" w:w="100"/>
            </w:tcMar>
          </w:tcPr>
          <w:p>
            <w:r>
              <w:rPr>
                <w:b w:val="false"/>
                <w:bCs w:val="false"/>
                <w:color w:val="000000"/>
                <w:sz w:val="20"/>
                <w:szCs w:val="20"/>
              </w:rPr>
              <w:t xml:space="preserve">Stage 2: Define Alignment</w:t>
            </w:r>
          </w:p>
        </w:tc>
        <w:tc>
          <w:tcPr>
            <w:tcW w:type="dxa" w:w="4200"/>
            <w:tcMar>
              <w:top w:type="dxa" w:w="80"/>
              <w:left w:type="dxa" w:w="100"/>
              <w:bottom w:type="dxa" w:w="80"/>
              <w:right w:type="dxa" w:w="100"/>
            </w:tcMar>
          </w:tcPr>
          <w:p>
            <w:r>
              <w:rPr>
                <w:b w:val="false"/>
                <w:bCs w:val="false"/>
                <w:color w:val="000000"/>
                <w:sz w:val="20"/>
                <w:szCs w:val="20"/>
              </w:rPr>
              <w:t xml:space="preserve">Decide, based on Stage 1 findings, what a meaningful alignment target looks like for this modality pair and task.</w:t>
            </w:r>
          </w:p>
        </w:tc>
        <w:tc>
          <w:tcPr>
            <w:tcW w:type="dxa" w:w="4200"/>
            <w:tcMar>
              <w:top w:type="dxa" w:w="80"/>
              <w:left w:type="dxa" w:w="100"/>
              <w:bottom w:type="dxa" w:w="80"/>
              <w:right w:type="dxa" w:w="100"/>
            </w:tcMar>
          </w:tcPr>
          <w:p>
            <w:r>
              <w:rPr>
                <w:b w:val="false"/>
                <w:bCs w:val="false"/>
                <w:color w:val="000000"/>
                <w:sz w:val="20"/>
                <w:szCs w:val="20"/>
              </w:rPr>
              <w:t xml:space="preserve">A chosen alignment metric and target, plus a judgment on heterogeneity and modality uniqueness.</w:t>
            </w:r>
          </w:p>
        </w:tc>
      </w:tr>
      <w:tr>
        <w:tc>
          <w:tcPr>
            <w:tcW w:type="dxa" w:w="2200"/>
            <w:tcMar>
              <w:top w:type="dxa" w:w="80"/>
              <w:left w:type="dxa" w:w="100"/>
              <w:bottom w:type="dxa" w:w="80"/>
              <w:right w:type="dxa" w:w="100"/>
            </w:tcMar>
          </w:tcPr>
          <w:p>
            <w:r>
              <w:rPr>
                <w:b w:val="false"/>
                <w:bCs w:val="false"/>
                <w:color w:val="000000"/>
                <w:sz w:val="20"/>
                <w:szCs w:val="20"/>
              </w:rPr>
              <w:t xml:space="preserve">Stage 3: Fusion</w:t>
            </w:r>
          </w:p>
        </w:tc>
        <w:tc>
          <w:tcPr>
            <w:tcW w:type="dxa" w:w="4200"/>
            <w:tcMar>
              <w:top w:type="dxa" w:w="80"/>
              <w:left w:type="dxa" w:w="100"/>
              <w:bottom w:type="dxa" w:w="80"/>
              <w:right w:type="dxa" w:w="100"/>
            </w:tcMar>
          </w:tcPr>
          <w:p>
            <w:r>
              <w:rPr>
                <w:b w:val="false"/>
                <w:bCs w:val="false"/>
                <w:color w:val="000000"/>
                <w:sz w:val="20"/>
                <w:szCs w:val="20"/>
              </w:rPr>
              <w:t xml:space="preserve">Build the architecture that combines the three modalities, starting cheap and adding complexity only where Stage 1 and 2 justify it.</w:t>
            </w:r>
          </w:p>
        </w:tc>
        <w:tc>
          <w:tcPr>
            <w:tcW w:type="dxa" w:w="4200"/>
            <w:tcMar>
              <w:top w:type="dxa" w:w="80"/>
              <w:left w:type="dxa" w:w="100"/>
              <w:bottom w:type="dxa" w:w="80"/>
              <w:right w:type="dxa" w:w="100"/>
            </w:tcMar>
          </w:tcPr>
          <w:p>
            <w:r>
              <w:rPr>
                <w:b w:val="false"/>
                <w:bCs w:val="false"/>
                <w:color w:val="000000"/>
                <w:sz w:val="20"/>
                <w:szCs w:val="20"/>
              </w:rPr>
              <w:t xml:space="preserve">A trained fusion model, or a small set of fusion candidates ready for benchmarking.</w:t>
            </w:r>
          </w:p>
        </w:tc>
      </w:tr>
      <w:tr>
        <w:tc>
          <w:tcPr>
            <w:tcW w:type="dxa" w:w="2200"/>
            <w:tcMar>
              <w:top w:type="dxa" w:w="80"/>
              <w:left w:type="dxa" w:w="100"/>
              <w:bottom w:type="dxa" w:w="80"/>
              <w:right w:type="dxa" w:w="100"/>
            </w:tcMar>
          </w:tcPr>
          <w:p>
            <w:r>
              <w:rPr>
                <w:b w:val="false"/>
                <w:bCs w:val="false"/>
                <w:color w:val="000000"/>
                <w:sz w:val="20"/>
                <w:szCs w:val="20"/>
              </w:rPr>
              <w:t xml:space="preserve">Stage 4: Benchmarking</w:t>
            </w:r>
          </w:p>
        </w:tc>
        <w:tc>
          <w:tcPr>
            <w:tcW w:type="dxa" w:w="4200"/>
            <w:tcMar>
              <w:top w:type="dxa" w:w="80"/>
              <w:left w:type="dxa" w:w="100"/>
              <w:bottom w:type="dxa" w:w="80"/>
              <w:right w:type="dxa" w:w="100"/>
            </w:tcMar>
          </w:tcPr>
          <w:p>
            <w:r>
              <w:rPr>
                <w:b w:val="false"/>
                <w:bCs w:val="false"/>
                <w:color w:val="000000"/>
                <w:sz w:val="20"/>
                <w:szCs w:val="20"/>
              </w:rPr>
              <w:t xml:space="preserve">Test whether the fused model outperforms the best single modality model on a real downstream task, with a control built in.</w:t>
            </w:r>
          </w:p>
        </w:tc>
        <w:tc>
          <w:tcPr>
            <w:tcW w:type="dxa" w:w="4200"/>
            <w:tcMar>
              <w:top w:type="dxa" w:w="80"/>
              <w:left w:type="dxa" w:w="100"/>
              <w:bottom w:type="dxa" w:w="80"/>
              <w:right w:type="dxa" w:w="100"/>
            </w:tcMar>
          </w:tcPr>
          <w:p>
            <w:r>
              <w:rPr>
                <w:b w:val="false"/>
                <w:bCs w:val="false"/>
                <w:color w:val="000000"/>
                <w:sz w:val="20"/>
                <w:szCs w:val="20"/>
              </w:rPr>
              <w:t xml:space="preserve">Benchmark results, a statistical comparison, and a written conclusion on whether fusion earned its added complexity.</w:t>
            </w:r>
          </w:p>
        </w:tc>
      </w:tr>
    </w:tbl>
    <w:p>
      <w:pPr>
        <w:spacing w:after="160"/>
      </w:pPr>
      <w:r>
        <w:rPr>
          <w:b w:val="false"/>
          <w:bCs w:val="false"/>
          <w:i w:val="false"/>
          <w:iCs w:val="false"/>
          <w:color w:val="000000"/>
          <w:sz w:val="22"/>
          <w:szCs w:val="22"/>
        </w:rPr>
        <w:t xml:space="preserve"/>
      </w:r>
    </w:p>
    <w:p>
      <w:pPr>
        <w:spacing w:after="200"/>
      </w:pPr>
      <w:r>
        <w:rPr>
          <w:i/>
          <w:iCs/>
          <w:color w:val="000000"/>
          <w:sz w:val="20"/>
          <w:szCs w:val="20"/>
        </w:rPr>
        <w:t xml:space="preserve">A note on Stage 1's three tracks: two earlier drafts of this plan assigned different letters (A, B, C) to the same three tracks. The version below is the reconciled, canonical one; if a different lettering was already shared with Mina, that was the earlier draft.</w:t>
      </w:r>
    </w:p>
    <w:p>
      <w:pPr>
        <w:pStyle w:val="Heading2"/>
        <w:spacing w:after="120" w:before="240"/>
      </w:pPr>
      <w:r>
        <w:rPr>
          <w:b/>
          <w:bCs/>
          <w:color w:val="000000"/>
          <w:sz w:val="25"/>
          <w:szCs w:val="25"/>
        </w:rPr>
        <w:t xml:space="preserve">3.1 Stage 1: Representation Analysis, Three Parallel Tracks</w:t>
      </w:r>
    </w:p>
    <w:p>
      <w:pPr>
        <w:spacing w:after="160"/>
      </w:pPr>
      <w:r>
        <w:rPr>
          <w:b w:val="false"/>
          <w:bCs w:val="false"/>
          <w:i w:val="false"/>
          <w:iCs w:val="false"/>
          <w:color w:val="000000"/>
          <w:sz w:val="22"/>
          <w:szCs w:val="22"/>
        </w:rPr>
        <w:t xml:space="preserve">Rather than running the toolkit as one undifferentiated pass, it splits into three tracks that answer three different questions.</w:t>
      </w:r>
    </w:p>
    <w:p>
      <w:pPr>
        <w:pStyle w:val="ListParagraph"/>
        <w:numPr>
          <w:ilvl w:val="0"/>
          <w:numId w:val="1"/>
        </w:numPr>
        <w:spacing w:after="80"/>
      </w:pPr>
      <w:r>
        <w:rPr>
          <w:color w:val="000000"/>
          <w:sz w:val="22"/>
          <w:szCs w:val="22"/>
        </w:rPr>
        <w:t xml:space="preserve">Track A, Cross-Modal Comparability: CKA and mutual-KNN between each encoder pair, at multiple layers, not only the final one, since alignment often peaks mid-network. CCA on genuinely paired biological data (a transcript and its own translated protein) for a direct correspondence check. Cross-modal retrieval as a task-grounded sanity check: query with an RNA embedding, see if the true matching protein embedding comes back above chance. UMAP last, for communicating results, not as evidence itself.</w:t>
      </w:r>
    </w:p>
    <w:p>
      <w:pPr>
        <w:pStyle w:val="ListParagraph"/>
        <w:numPr>
          <w:ilvl w:val="0"/>
          <w:numId w:val="1"/>
        </w:numPr>
        <w:spacing w:after="80"/>
      </w:pPr>
      <w:r>
        <w:rPr>
          <w:color w:val="000000"/>
          <w:sz w:val="22"/>
          <w:szCs w:val="22"/>
        </w:rPr>
        <w:t xml:space="preserve">Track B, Task-Relevant Decodability: linear probing per modality for known biological properties (GC content, sequence length as a confound check, and eventually codon usage bias and secondary structure propensity) establishes what each encoder demonstrably knows on its own. A synergy check, does naive concatenation beat the best single-modality baseline, is the cheap early signal for whether real cross-modal uniqueness exists, in the spirit of the Synergistic Information Score.</w:t>
      </w:r>
    </w:p>
    <w:p>
      <w:pPr>
        <w:pStyle w:val="ListParagraph"/>
        <w:numPr>
          <w:ilvl w:val="0"/>
          <w:numId w:val="1"/>
        </w:numPr>
        <w:spacing w:after="80"/>
      </w:pPr>
      <w:r>
        <w:rPr>
          <w:color w:val="000000"/>
          <w:sz w:val="22"/>
          <w:szCs w:val="22"/>
        </w:rPr>
        <w:t xml:space="preserve">Track C, Biological Validation: attention visualization plus PWM and JASPAR motif matching (the DNABERT-viz approach) on whichever encoder matters most for interpretability, as a check that the representation tracks real regulatory biology rather than an artifact of the probe itself.</w:t>
      </w:r>
    </w:p>
    <w:p>
      <w:pPr>
        <w:spacing w:after="160"/>
      </w:pPr>
      <w:r>
        <w:rPr>
          <w:b w:val="false"/>
          <w:bCs w:val="false"/>
          <w:i w:val="false"/>
          <w:iCs w:val="false"/>
          <w:color w:val="000000"/>
          <w:sz w:val="22"/>
          <w:szCs w:val="22"/>
        </w:rPr>
        <w:t xml:space="preserve">The exit criterion for Stage 1 is not a table of CKA scores. It is a placement of each modality pair on the redundancy, uniqueness, and heterogeneity map from the alignment theory paper, plus a synergy reading from Track B. That placement is what drives Stage 2's decision.</w:t>
      </w:r>
    </w:p>
    <w:p>
      <w:pPr>
        <w:pStyle w:val="Heading2"/>
        <w:spacing w:after="120" w:before="240"/>
      </w:pPr>
      <w:r>
        <w:rPr>
          <w:b/>
          <w:bCs/>
          <w:color w:val="000000"/>
          <w:sz w:val="25"/>
          <w:szCs w:val="25"/>
        </w:rPr>
        <w:t xml:space="preserve">3.2 Stage 2: Define Alignment, as a Decision Tree</w:t>
      </w:r>
    </w:p>
    <w:p>
      <w:pPr>
        <w:pStyle w:val="ListParagraph"/>
        <w:numPr>
          <w:ilvl w:val="0"/>
          <w:numId w:val="1"/>
        </w:numPr>
        <w:spacing w:after="80"/>
      </w:pPr>
      <w:r>
        <w:rPr>
          <w:color w:val="000000"/>
          <w:sz w:val="22"/>
          <w:szCs w:val="22"/>
        </w:rPr>
        <w:t xml:space="preserve">High alignment, low synergy: resampling-based alignment (BioLangFusion's approach) is probably good enough. No need to over-engineer this pair.</w:t>
      </w:r>
    </w:p>
    <w:p>
      <w:pPr>
        <w:pStyle w:val="ListParagraph"/>
        <w:numPr>
          <w:ilvl w:val="0"/>
          <w:numId w:val="1"/>
        </w:numPr>
        <w:spacing w:after="80"/>
      </w:pPr>
      <w:r>
        <w:rPr>
          <w:color w:val="000000"/>
          <w:sz w:val="22"/>
          <w:szCs w:val="22"/>
        </w:rPr>
        <w:t xml:space="preserve">Low alignment, high synergy: per the beyond-alignment paper, an explicit contrastive alignment loss may actively hurt here by suppressing the unique signal. Skip explicit alignment for this pair and let the fusion architecture handle the interaction directly (nonlinear cross-attention, mixture-of-experts) instead.</w:t>
      </w:r>
    </w:p>
    <w:p>
      <w:pPr>
        <w:pStyle w:val="ListParagraph"/>
        <w:numPr>
          <w:ilvl w:val="0"/>
          <w:numId w:val="1"/>
        </w:numPr>
        <w:spacing w:after="80"/>
      </w:pPr>
      <w:r>
        <w:rPr>
          <w:color w:val="000000"/>
          <w:sz w:val="22"/>
          <w:szCs w:val="22"/>
        </w:rPr>
        <w:t xml:space="preserve">Moderate alignment with a positive alignment-performance slope (the ICML 2025 paper's own diagnostic): worth prototyping a lightweight contrastive or CCA-based alignment layer, since the paper's evidence says weighting it should genuinely help in that regime.</w:t>
      </w:r>
    </w:p>
    <w:p>
      <w:pPr>
        <w:pStyle w:val="ListParagraph"/>
        <w:numPr>
          <w:ilvl w:val="0"/>
          <w:numId w:val="1"/>
        </w:numPr>
        <w:spacing w:after="80"/>
      </w:pPr>
      <w:r>
        <w:rPr>
          <w:color w:val="000000"/>
          <w:sz w:val="22"/>
          <w:szCs w:val="22"/>
        </w:rPr>
        <w:t xml:space="preserve">Mixed across pairs, plausible given Central Dogma Transformer's sequel work finding RNA and protein changes often move in opposite directions: test each pairwise relationship on its own terms rather than assuming DNA, RNA, and protein need one uniform alignment method.</w:t>
      </w:r>
    </w:p>
    <w:p>
      <w:pPr>
        <w:spacing w:after="160"/>
      </w:pPr>
      <w:r>
        <w:rPr>
          <w:b w:val="false"/>
          <w:bCs w:val="false"/>
          <w:i w:val="false"/>
          <w:iCs w:val="false"/>
          <w:color w:val="000000"/>
          <w:sz w:val="22"/>
          <w:szCs w:val="22"/>
        </w:rPr>
        <w:t xml:space="preserve">Worth naming explicitly to Mina: Stage 1 may conclude that formal alignment is not the right target for one or more of these pairs at all. That would be a real finding, not a failure to find one.</w:t>
      </w:r>
    </w:p>
    <w:p>
      <w:pPr>
        <w:pStyle w:val="Heading2"/>
        <w:spacing w:after="120" w:before="240"/>
      </w:pPr>
      <w:r>
        <w:rPr>
          <w:b/>
          <w:bCs/>
          <w:color w:val="000000"/>
          <w:sz w:val="25"/>
          <w:szCs w:val="25"/>
        </w:rPr>
        <w:t xml:space="preserve">3.3 Stage 3: Fusion, Staged by Risk</w:t>
      </w:r>
    </w:p>
    <w:p>
      <w:pPr>
        <w:pStyle w:val="ListParagraph"/>
        <w:numPr>
          <w:ilvl w:val="0"/>
          <w:numId w:val="1"/>
        </w:numPr>
        <w:spacing w:after="80"/>
      </w:pPr>
      <w:r>
        <w:rPr>
          <w:color w:val="000000"/>
          <w:sz w:val="22"/>
          <w:szCs w:val="22"/>
        </w:rPr>
        <w:t xml:space="preserve">Baseline (always run): naive concatenation plus an MLP head. Not just a baseline; the reference point the Stage 1 and Stage 2 synergy checks need.</w:t>
      </w:r>
    </w:p>
    <w:p>
      <w:pPr>
        <w:pStyle w:val="ListParagraph"/>
        <w:numPr>
          <w:ilvl w:val="0"/>
          <w:numId w:val="1"/>
        </w:numPr>
        <w:spacing w:after="80"/>
      </w:pPr>
      <w:r>
        <w:rPr>
          <w:color w:val="000000"/>
          <w:sz w:val="22"/>
          <w:szCs w:val="22"/>
        </w:rPr>
        <w:t xml:space="preserve">Cross-attention (Isoformer-style, already planned): most validated in the literature, quadratic cost.</w:t>
      </w:r>
    </w:p>
    <w:p>
      <w:pPr>
        <w:pStyle w:val="ListParagraph"/>
        <w:numPr>
          <w:ilvl w:val="0"/>
          <w:numId w:val="1"/>
        </w:numPr>
        <w:spacing w:after="80"/>
      </w:pPr>
      <w:r>
        <w:rPr>
          <w:color w:val="000000"/>
          <w:sz w:val="22"/>
          <w:szCs w:val="22"/>
        </w:rPr>
        <w:t xml:space="preserve">Coupled Mamba (already planned, per Mina's ask): linear cost, alignment-free by design.</w:t>
      </w:r>
    </w:p>
    <w:p>
      <w:pPr>
        <w:pStyle w:val="ListParagraph"/>
        <w:numPr>
          <w:ilvl w:val="0"/>
          <w:numId w:val="1"/>
        </w:numPr>
        <w:spacing w:after="80"/>
      </w:pPr>
      <w:r>
        <w:rPr>
          <w:color w:val="000000"/>
          <w:sz w:val="22"/>
          <w:szCs w:val="22"/>
        </w:rPr>
        <w:t xml:space="preserve">Cross-Mamba / BiMamba interaction module: a second Mamba-family option purpose-built for biological sequence interaction, worth benchmarking against vanilla Coupled Mamba directly, and pairs well with the newer Mamba-3 backbone if the original underperforms.</w:t>
      </w:r>
    </w:p>
    <w:p>
      <w:pPr>
        <w:pStyle w:val="ListParagraph"/>
        <w:numPr>
          <w:ilvl w:val="0"/>
          <w:numId w:val="1"/>
        </w:numPr>
        <w:spacing w:after="80"/>
      </w:pPr>
      <w:r>
        <w:rPr>
          <w:color w:val="000000"/>
          <w:sz w:val="22"/>
          <w:szCs w:val="22"/>
        </w:rPr>
        <w:t xml:space="preserve">Perceiver-style asymmetric cross-attention: relevant if DNA ends up in the input set, since it keeps attention cost close to linear over long genomic sequences while still being true attention. Direct precedent on an expression-prediction task specifically.</w:t>
      </w:r>
    </w:p>
    <w:p>
      <w:pPr>
        <w:pStyle w:val="ListParagraph"/>
        <w:numPr>
          <w:ilvl w:val="0"/>
          <w:numId w:val="1"/>
        </w:numPr>
        <w:spacing w:after="80"/>
      </w:pPr>
      <w:r>
        <w:rPr>
          <w:color w:val="000000"/>
          <w:sz w:val="22"/>
          <w:szCs w:val="22"/>
        </w:rPr>
        <w:t xml:space="preserve">Mixture-of-experts fusion (conditional): worth prototyping only if Stage 1 shows the uniqueness and redundancy split varies a lot by example rather than being uniform.</w:t>
      </w:r>
    </w:p>
    <w:p>
      <w:pPr>
        <w:spacing w:after="160"/>
      </w:pPr>
      <w:r>
        <w:rPr>
          <w:b w:val="false"/>
          <w:bCs w:val="false"/>
          <w:i w:val="false"/>
          <w:iCs w:val="false"/>
          <w:color w:val="000000"/>
          <w:sz w:val="22"/>
          <w:szCs w:val="22"/>
        </w:rPr>
        <w:t xml:space="preserve">Mina already asked for both cross-attention and Coupled Mamba benchmarked, so treat that as fixed. The Cross-Mamba and Perceiver options are fallbacks if either underperforms, not a third and fourth thing to build from day one.</w:t>
      </w:r>
    </w:p>
    <w:p>
      <w:pPr>
        <w:pStyle w:val="Heading2"/>
        <w:spacing w:after="120" w:before="240"/>
      </w:pPr>
      <w:r>
        <w:rPr>
          <w:b/>
          <w:bCs/>
          <w:color w:val="000000"/>
          <w:sz w:val="25"/>
          <w:szCs w:val="25"/>
        </w:rPr>
        <w:t xml:space="preserve">3.4 Stage 4: Benchmarking Protocol</w:t>
      </w:r>
    </w:p>
    <w:p>
      <w:pPr>
        <w:pStyle w:val="ListParagraph"/>
        <w:numPr>
          <w:ilvl w:val="0"/>
          <w:numId w:val="1"/>
        </w:numPr>
        <w:spacing w:after="80"/>
      </w:pPr>
      <w:r>
        <w:rPr>
          <w:color w:val="000000"/>
          <w:sz w:val="22"/>
          <w:szCs w:val="22"/>
        </w:rPr>
        <w:t xml:space="preserve">Always include single-modality baselines per modality and the naive concatenation baseline, not just the fusion architectures, so a fusion win can be checked against how much of it is redundant information versus genuine synergy.</w:t>
      </w:r>
    </w:p>
    <w:p>
      <w:pPr>
        <w:pStyle w:val="ListParagraph"/>
        <w:numPr>
          <w:ilvl w:val="0"/>
          <w:numId w:val="1"/>
        </w:numPr>
        <w:spacing w:after="80"/>
      </w:pPr>
      <w:r>
        <w:rPr>
          <w:color w:val="000000"/>
          <w:sz w:val="22"/>
          <w:szCs w:val="22"/>
        </w:rPr>
        <w:t xml:space="preserve">Run the mRFP_Expression control explicitly, a redundancy-dominated, near-zero-uniqueness case by construction. Fusion showing a real gain there is a red flag for leakage, not a win.</w:t>
      </w:r>
    </w:p>
    <w:p>
      <w:pPr>
        <w:pStyle w:val="ListParagraph"/>
        <w:numPr>
          <w:ilvl w:val="0"/>
          <w:numId w:val="1"/>
        </w:numPr>
        <w:spacing w:after="80"/>
      </w:pPr>
      <w:r>
        <w:rPr>
          <w:color w:val="000000"/>
          <w:sz w:val="22"/>
          <w:szCs w:val="22"/>
        </w:rPr>
        <w:t xml:space="preserve">Report a synergy number (fusion versus best single modality) alongside raw performance, not performance alone.</w:t>
      </w:r>
    </w:p>
    <w:p>
      <w:pPr>
        <w:pStyle w:val="ListParagraph"/>
        <w:numPr>
          <w:ilvl w:val="0"/>
          <w:numId w:val="1"/>
        </w:numPr>
        <w:spacing w:after="80"/>
      </w:pPr>
      <w:r>
        <w:rPr>
          <w:color w:val="000000"/>
          <w:sz w:val="22"/>
          <w:szCs w:val="22"/>
        </w:rPr>
        <w:t xml:space="preserve">Cross-check against externally published numbers on the same benchmark datasets, not only against internal baselines. Report results with a real statistical comparison, given the intent to publish this work.</w:t>
      </w:r>
    </w:p>
    <w:p>
      <w:pPr>
        <w:pStyle w:val="Heading2"/>
        <w:spacing w:after="120" w:before="240"/>
      </w:pPr>
      <w:r>
        <w:rPr>
          <w:b/>
          <w:bCs/>
          <w:color w:val="000000"/>
          <w:sz w:val="25"/>
          <w:szCs w:val="25"/>
        </w:rPr>
        <w:t xml:space="preserve">3.5 The Stage 1 Minimum Bar (Met)</w:t>
      </w:r>
    </w:p>
    <w:p>
      <w:pPr>
        <w:spacing w:after="160"/>
      </w:pPr>
      <w:r>
        <w:rPr>
          <w:b w:val="false"/>
          <w:bCs w:val="false"/>
          <w:i w:val="false"/>
          <w:iCs w:val="false"/>
          <w:color w:val="000000"/>
          <w:sz w:val="22"/>
          <w:szCs w:val="22"/>
        </w:rPr>
        <w:t xml:space="preserve">The original plan for what to bring to the September 23 meeting was: pick one small paired dataset with matching RNA and protein sequences, run each through its frozen encoder, run a linear probe and compute a CKA score, and generate one UMAP plot as a supporting visual. Section 9 below shows this bar has been substantially exceeded, not just met.</w:t>
      </w:r>
    </w:p>
    <w:p>
      <w:pPr>
        <w:pStyle w:val="Heading1"/>
        <w:spacing w:after="160" w:before="320"/>
      </w:pPr>
      <w:r>
        <w:rPr>
          <w:b/>
          <w:bCs/>
          <w:color w:val="000000"/>
          <w:sz w:val="30"/>
          <w:szCs w:val="30"/>
        </w:rPr>
        <w:t xml:space="preserve">4. Downstream Task and Dataset Notes</w:t>
      </w:r>
    </w:p>
    <w:p>
      <w:pPr>
        <w:spacing w:after="160"/>
      </w:pPr>
      <w:r>
        <w:rPr>
          <w:b w:val="false"/>
          <w:bCs w:val="false"/>
          <w:i w:val="false"/>
          <w:iCs w:val="false"/>
          <w:color w:val="000000"/>
          <w:sz w:val="22"/>
          <w:szCs w:val="22"/>
        </w:rPr>
        <w:t xml:space="preserve">From Mina's draft document, "DNA, RNA, Protein Models and Downstream Task," summarized here for quick reference; the document itself is left untouched and separate.</w:t>
      </w:r>
    </w:p>
    <w:p>
      <w:pPr>
        <w:pStyle w:val="ListParagraph"/>
        <w:numPr>
          <w:ilvl w:val="0"/>
          <w:numId w:val="1"/>
        </w:numPr>
        <w:spacing w:after="80"/>
      </w:pPr>
      <w:r>
        <w:rPr>
          <w:color w:val="000000"/>
          <w:sz w:val="22"/>
          <w:szCs w:val="22"/>
        </w:rPr>
        <w:t xml:space="preserve">Proposed downstream task: multimodal mRNA stability and expression prediction, Isoformer-style, reusing frozen pretrained encoders per modality and training only a fusion module plus a task head.</w:t>
      </w:r>
    </w:p>
    <w:p>
      <w:pPr>
        <w:pStyle w:val="ListParagraph"/>
        <w:numPr>
          <w:ilvl w:val="0"/>
          <w:numId w:val="1"/>
        </w:numPr>
        <w:spacing w:after="80"/>
      </w:pPr>
      <w:r>
        <w:rPr>
          <w:color w:val="000000"/>
          <w:sz w:val="22"/>
          <w:szCs w:val="22"/>
        </w:rPr>
        <w:t xml:space="preserve">Main dataset: mRNA_Stability (41,123 sequences; human, mouse, frog, fish), plus Fungal_expression and E.Coli_proteins as additional tasks, all from the CodonBERT benchmark repository.</w:t>
      </w:r>
    </w:p>
    <w:p>
      <w:pPr>
        <w:pStyle w:val="ListParagraph"/>
        <w:numPr>
          <w:ilvl w:val="0"/>
          <w:numId w:val="1"/>
        </w:numPr>
        <w:spacing w:after="80"/>
      </w:pPr>
      <w:r>
        <w:rPr>
          <w:color w:val="000000"/>
          <w:sz w:val="22"/>
          <w:szCs w:val="22"/>
        </w:rPr>
        <w:t xml:space="preserve">Control dataset: mRFP_Expression, 1,459 variants from synonymous codon randomization of a single gene, so every variant encodes an identical protein. A protein encoder should add no information here; fusion should show no gain. This is a built-in zero-uniqueness sanity check, and the pilot notebook's control dataset check (Section 9) confirms the pipeline behaves as expected on it.</w:t>
      </w:r>
    </w:p>
    <w:p>
      <w:pPr>
        <w:pStyle w:val="ListParagraph"/>
        <w:numPr>
          <w:ilvl w:val="0"/>
          <w:numId w:val="1"/>
        </w:numPr>
        <w:spacing w:after="80"/>
      </w:pPr>
      <w:r>
        <w:rPr>
          <w:color w:val="000000"/>
          <w:sz w:val="22"/>
          <w:szCs w:val="22"/>
        </w:rPr>
        <w:t xml:space="preserve">DNA is explicitly optional in Mina's own plan: it requires the genomic region around the gene, feasible only for the human and mouse subset, and only if the CSV carries gene or transcript IDs mappable in Ensembl. Neither mRNA_Stability.csv nor mRFP_Expression.csv carries such IDs, only Sequence, Value, Dataset, and Split columns, so Stage 1 has proceeded DNA-optional, consistent with the "RNA-only vs. protein-only vs. RNA+protein vs. all three modalities" experiment her own draft lays out as the eventual Stage 4 comparison.</w:t>
      </w:r>
    </w:p>
    <w:p>
      <w:pPr>
        <w:pStyle w:val="ListParagraph"/>
        <w:numPr>
          <w:ilvl w:val="0"/>
          <w:numId w:val="1"/>
        </w:numPr>
        <w:spacing w:after="80"/>
      </w:pPr>
      <w:r>
        <w:rPr>
          <w:color w:val="000000"/>
          <w:sz w:val="22"/>
          <w:szCs w:val="22"/>
        </w:rPr>
        <w:t xml:space="preserve">Flagged as unsuitable for fusion, single-modality in practice: mRFP_Expression (control only), Tc-Riboswitches, CoV_Vaccine_Degradation, MLOS.</w:t>
      </w:r>
    </w:p>
    <w:p>
      <w:pPr>
        <w:pStyle w:val="ListParagraph"/>
        <w:numPr>
          <w:ilvl w:val="0"/>
          <w:numId w:val="1"/>
        </w:numPr>
        <w:spacing w:after="80"/>
      </w:pPr>
      <w:r>
        <w:rPr>
          <w:color w:val="000000"/>
          <w:sz w:val="22"/>
          <w:szCs w:val="22"/>
        </w:rPr>
        <w:t xml:space="preserve">Checks before starting, both now satisfied in the pilot notebook: confirm sequences start at a start codon and stay in frame (needed for a clean translation to protein), and confirm whether gene/transcript IDs exist (they do not, hence DNA-optional).</w:t>
      </w:r>
    </w:p>
    <w:p>
      <w:pPr>
        <w:pStyle w:val="Heading1"/>
        <w:spacing w:after="160" w:before="320"/>
      </w:pPr>
      <w:r>
        <w:rPr>
          <w:b/>
          <w:bCs/>
          <w:color w:val="000000"/>
          <w:sz w:val="30"/>
          <w:szCs w:val="30"/>
        </w:rPr>
        <w:t xml:space="preserve">5. Extended Toolkit Reference</w:t>
      </w:r>
    </w:p>
    <w:p>
      <w:pPr>
        <w:pStyle w:val="Heading2"/>
        <w:spacing w:after="120" w:before="240"/>
      </w:pPr>
      <w:r>
        <w:rPr>
          <w:b/>
          <w:bCs/>
          <w:color w:val="000000"/>
          <w:sz w:val="25"/>
          <w:szCs w:val="25"/>
        </w:rPr>
        <w:t xml:space="preserve">5.1 Originally Shared Tools</w:t>
      </w:r>
    </w:p>
    <w:p>
      <w:pPr>
        <w:spacing w:after="160"/>
      </w:pPr>
      <w:r>
        <w:rPr>
          <w:b w:val="false"/>
          <w:bCs w:val="false"/>
          <w:i w:val="false"/>
          <w:iCs w:val="false"/>
          <w:color w:val="000000"/>
          <w:sz w:val="22"/>
          <w:szCs w:val="22"/>
        </w:rPr>
        <w:t xml:space="preserve">The five tools Mina found and shared directly, with the expectation of researching additional ones independently.</w:t>
      </w:r>
    </w:p>
    <w:p>
      <w:pPr>
        <w:pStyle w:val="ListParagraph"/>
        <w:numPr>
          <w:ilvl w:val="0"/>
          <w:numId w:val="1"/>
        </w:numPr>
        <w:spacing w:after="80"/>
      </w:pPr>
      <w:r>
        <w:rPr>
          <w:color w:val="000000"/>
          <w:sz w:val="22"/>
          <w:szCs w:val="22"/>
        </w:rPr>
        <w:t xml:space="preserve">Linear probe, for biological information content: a simple classifier or regressor trained on frozen representations to check what biological information is linearly recoverable (sklearn LogisticRegression / RidgeCV).</w:t>
      </w:r>
    </w:p>
    <w:p>
      <w:pPr>
        <w:pStyle w:val="ListParagraph"/>
        <w:numPr>
          <w:ilvl w:val="0"/>
          <w:numId w:val="1"/>
        </w:numPr>
        <w:spacing w:after="80"/>
      </w:pPr>
      <w:r>
        <w:rPr>
          <w:color w:val="000000"/>
          <w:sz w:val="22"/>
          <w:szCs w:val="22"/>
        </w:rPr>
        <w:t xml:space="preserve">CKA (Centered Kernel Alignment), for representational similarity: compares representations layer by layer between two models; a PyTorch implementation supporting Hugging Face models is at github.com/ryusudol/Centered-Kernel-Alignment.</w:t>
      </w:r>
    </w:p>
    <w:p>
      <w:pPr>
        <w:pStyle w:val="ListParagraph"/>
        <w:numPr>
          <w:ilvl w:val="0"/>
          <w:numId w:val="1"/>
        </w:numPr>
        <w:spacing w:after="80"/>
      </w:pPr>
      <w:r>
        <w:rPr>
          <w:color w:val="000000"/>
          <w:sz w:val="22"/>
          <w:szCs w:val="22"/>
        </w:rPr>
        <w:t xml:space="preserve">CCA (Canonical Correlation Analysis), for representational similarity and alignment: sklearn.cross_decomposition.CCA finds correlated directions between two representation spaces.</w:t>
      </w:r>
    </w:p>
    <w:p>
      <w:pPr>
        <w:pStyle w:val="ListParagraph"/>
        <w:numPr>
          <w:ilvl w:val="0"/>
          <w:numId w:val="1"/>
        </w:numPr>
        <w:spacing w:after="80"/>
      </w:pPr>
      <w:r>
        <w:rPr>
          <w:color w:val="000000"/>
          <w:sz w:val="22"/>
          <w:szCs w:val="22"/>
        </w:rPr>
        <w:t xml:space="preserve">Cross-modal retrieval, for correspondence: FAISS or an equivalent nearest-neighbor search between embedding spaces.</w:t>
      </w:r>
    </w:p>
    <w:p>
      <w:pPr>
        <w:pStyle w:val="ListParagraph"/>
        <w:numPr>
          <w:ilvl w:val="0"/>
          <w:numId w:val="1"/>
        </w:numPr>
        <w:spacing w:after="80"/>
      </w:pPr>
      <w:r>
        <w:rPr>
          <w:color w:val="000000"/>
          <w:sz w:val="22"/>
          <w:szCs w:val="22"/>
        </w:rPr>
        <w:t xml:space="preserve">UMAP, for visual geometry: umap-learn projects high-dimensional representations into 2D for visual inspection.</w:t>
      </w:r>
    </w:p>
    <w:p>
      <w:pPr>
        <w:pStyle w:val="Heading2"/>
        <w:spacing w:after="120" w:before="240"/>
      </w:pPr>
      <w:r>
        <w:rPr>
          <w:b/>
          <w:bCs/>
          <w:color w:val="000000"/>
          <w:sz w:val="25"/>
          <w:szCs w:val="25"/>
        </w:rPr>
        <w:t xml:space="preserve">5.2 Representation and Alignment Measurement Methods, Extended</w:t>
      </w:r>
    </w:p>
    <w:tbl>
      <w:tblPr>
        <w:tblW w:type="dxa" w:w="10600"/>
        <w:tblBorders>
          <w:top w:val="single" w:color="000000" w:sz="2"/>
          <w:left w:val="single" w:color="000000" w:sz="2"/>
          <w:bottom w:val="single" w:color="000000" w:sz="2"/>
          <w:right w:val="single" w:color="000000" w:sz="2"/>
          <w:insideH w:val="single" w:color="000000" w:sz="2"/>
          <w:insideV w:val="single" w:color="000000" w:sz="2"/>
        </w:tblBorders>
      </w:tblPr>
      <w:tblGrid>
        <w:gridCol w:w="2400"/>
        <w:gridCol w:w="4800"/>
        <w:gridCol w:w="3400"/>
      </w:tblGrid>
      <w:tr>
        <w:tc>
          <w:tcPr>
            <w:tcW w:type="dxa" w:w="2400"/>
            <w:shd w:fill="D9D9D9" w:val="clear"/>
            <w:tcMar>
              <w:top w:type="dxa" w:w="80"/>
              <w:left w:type="dxa" w:w="100"/>
              <w:bottom w:type="dxa" w:w="80"/>
              <w:right w:type="dxa" w:w="100"/>
            </w:tcMar>
          </w:tcPr>
          <w:p>
            <w:r>
              <w:rPr>
                <w:b/>
                <w:bCs/>
                <w:color w:val="000000"/>
                <w:sz w:val="20"/>
                <w:szCs w:val="20"/>
              </w:rPr>
              <w:t xml:space="preserve">Method</w:t>
            </w:r>
          </w:p>
        </w:tc>
        <w:tc>
          <w:tcPr>
            <w:tcW w:type="dxa" w:w="4800"/>
            <w:shd w:fill="D9D9D9" w:val="clear"/>
            <w:tcMar>
              <w:top w:type="dxa" w:w="80"/>
              <w:left w:type="dxa" w:w="100"/>
              <w:bottom w:type="dxa" w:w="80"/>
              <w:right w:type="dxa" w:w="100"/>
            </w:tcMar>
          </w:tcPr>
          <w:p>
            <w:r>
              <w:rPr>
                <w:b/>
                <w:bCs/>
                <w:color w:val="000000"/>
                <w:sz w:val="20"/>
                <w:szCs w:val="20"/>
              </w:rPr>
              <w:t xml:space="preserve">What It Measures</w:t>
            </w:r>
          </w:p>
        </w:tc>
        <w:tc>
          <w:tcPr>
            <w:tcW w:type="dxa" w:w="3400"/>
            <w:shd w:fill="D9D9D9" w:val="clear"/>
            <w:tcMar>
              <w:top w:type="dxa" w:w="80"/>
              <w:left w:type="dxa" w:w="100"/>
              <w:bottom w:type="dxa" w:w="80"/>
              <w:right w:type="dxa" w:w="100"/>
            </w:tcMar>
          </w:tcPr>
          <w:p>
            <w:r>
              <w:rPr>
                <w:b/>
                <w:bCs/>
                <w:color w:val="000000"/>
                <w:sz w:val="20"/>
                <w:szCs w:val="20"/>
              </w:rPr>
              <w:t xml:space="preserve">Notes</w:t>
            </w:r>
          </w:p>
        </w:tc>
      </w:tr>
      <w:tr>
        <w:tc>
          <w:tcPr>
            <w:tcW w:type="dxa" w:w="2400"/>
            <w:tcMar>
              <w:top w:type="dxa" w:w="80"/>
              <w:left w:type="dxa" w:w="100"/>
              <w:bottom w:type="dxa" w:w="80"/>
              <w:right w:type="dxa" w:w="100"/>
            </w:tcMar>
          </w:tcPr>
          <w:p>
            <w:r>
              <w:rPr>
                <w:b w:val="false"/>
                <w:bCs w:val="false"/>
                <w:color w:val="000000"/>
                <w:sz w:val="20"/>
                <w:szCs w:val="20"/>
              </w:rPr>
              <w:t xml:space="preserve">Linear probing</w:t>
            </w:r>
          </w:p>
        </w:tc>
        <w:tc>
          <w:tcPr>
            <w:tcW w:type="dxa" w:w="4800"/>
            <w:tcMar>
              <w:top w:type="dxa" w:w="80"/>
              <w:left w:type="dxa" w:w="100"/>
              <w:bottom w:type="dxa" w:w="80"/>
              <w:right w:type="dxa" w:w="100"/>
            </w:tcMar>
          </w:tcPr>
          <w:p>
            <w:r>
              <w:rPr>
                <w:b w:val="false"/>
                <w:bCs w:val="false"/>
                <w:color w:val="000000"/>
                <w:sz w:val="20"/>
                <w:szCs w:val="20"/>
              </w:rPr>
              <w:t xml:space="preserve">Whether a known property is linearly decodable from frozen embeddings.</w:t>
            </w:r>
          </w:p>
        </w:tc>
        <w:tc>
          <w:tcPr>
            <w:tcW w:type="dxa" w:w="3400"/>
            <w:tcMar>
              <w:top w:type="dxa" w:w="80"/>
              <w:left w:type="dxa" w:w="100"/>
              <w:bottom w:type="dxa" w:w="80"/>
              <w:right w:type="dxa" w:w="100"/>
            </w:tcMar>
          </w:tcPr>
          <w:p>
            <w:r>
              <w:rPr>
                <w:b w:val="false"/>
                <w:bCs w:val="false"/>
                <w:color w:val="000000"/>
                <w:sz w:val="20"/>
                <w:szCs w:val="20"/>
              </w:rPr>
              <w:t xml:space="preserve">Fast and simple. A negative result only rules out linear decodability, not all encoding.</w:t>
            </w:r>
          </w:p>
        </w:tc>
      </w:tr>
      <w:tr>
        <w:tc>
          <w:tcPr>
            <w:tcW w:type="dxa" w:w="2400"/>
            <w:tcMar>
              <w:top w:type="dxa" w:w="80"/>
              <w:left w:type="dxa" w:w="100"/>
              <w:bottom w:type="dxa" w:w="80"/>
              <w:right w:type="dxa" w:w="100"/>
            </w:tcMar>
          </w:tcPr>
          <w:p>
            <w:r>
              <w:rPr>
                <w:b w:val="false"/>
                <w:bCs w:val="false"/>
                <w:color w:val="000000"/>
                <w:sz w:val="20"/>
                <w:szCs w:val="20"/>
              </w:rPr>
              <w:t xml:space="preserve">CKA</w:t>
            </w:r>
          </w:p>
        </w:tc>
        <w:tc>
          <w:tcPr>
            <w:tcW w:type="dxa" w:w="4800"/>
            <w:tcMar>
              <w:top w:type="dxa" w:w="80"/>
              <w:left w:type="dxa" w:w="100"/>
              <w:bottom w:type="dxa" w:w="80"/>
              <w:right w:type="dxa" w:w="100"/>
            </w:tcMar>
          </w:tcPr>
          <w:p>
            <w:r>
              <w:rPr>
                <w:b w:val="false"/>
                <w:bCs w:val="false"/>
                <w:color w:val="000000"/>
                <w:sz w:val="20"/>
                <w:szCs w:val="20"/>
              </w:rPr>
              <w:t xml:space="preserve">Overall similarity of two representations' geometry, invariant to rotation and scaling.</w:t>
            </w:r>
          </w:p>
        </w:tc>
        <w:tc>
          <w:tcPr>
            <w:tcW w:type="dxa" w:w="3400"/>
            <w:tcMar>
              <w:top w:type="dxa" w:w="80"/>
              <w:left w:type="dxa" w:w="100"/>
              <w:bottom w:type="dxa" w:w="80"/>
              <w:right w:type="dxa" w:w="100"/>
            </w:tcMar>
          </w:tcPr>
          <w:p>
            <w:r>
              <w:rPr>
                <w:b w:val="false"/>
                <w:bCs w:val="false"/>
                <w:color w:val="000000"/>
                <w:sz w:val="20"/>
                <w:szCs w:val="20"/>
              </w:rPr>
              <w:t xml:space="preserve">Standard first check. A linear kernel only captures linear structure. Can show geometric-artifact inflation at high dimensionality; treat alongside mutual-KNN, not alone.</w:t>
            </w:r>
          </w:p>
        </w:tc>
      </w:tr>
      <w:tr>
        <w:tc>
          <w:tcPr>
            <w:tcW w:type="dxa" w:w="2400"/>
            <w:tcMar>
              <w:top w:type="dxa" w:w="80"/>
              <w:left w:type="dxa" w:w="100"/>
              <w:bottom w:type="dxa" w:w="80"/>
              <w:right w:type="dxa" w:w="100"/>
            </w:tcMar>
          </w:tcPr>
          <w:p>
            <w:r>
              <w:rPr>
                <w:b w:val="false"/>
                <w:bCs w:val="false"/>
                <w:color w:val="000000"/>
                <w:sz w:val="20"/>
                <w:szCs w:val="20"/>
              </w:rPr>
              <w:t xml:space="preserve">CCA, SVCCA, PWCCA</w:t>
            </w:r>
          </w:p>
        </w:tc>
        <w:tc>
          <w:tcPr>
            <w:tcW w:type="dxa" w:w="4800"/>
            <w:tcMar>
              <w:top w:type="dxa" w:w="80"/>
              <w:left w:type="dxa" w:w="100"/>
              <w:bottom w:type="dxa" w:w="80"/>
              <w:right w:type="dxa" w:w="100"/>
            </w:tcMar>
          </w:tcPr>
          <w:p>
            <w:r>
              <w:rPr>
                <w:b w:val="false"/>
                <w:bCs w:val="false"/>
                <w:color w:val="000000"/>
                <w:sz w:val="20"/>
                <w:szCs w:val="20"/>
              </w:rPr>
              <w:t xml:space="preserve">The specific correlated subspace shared between two representations.</w:t>
            </w:r>
          </w:p>
        </w:tc>
        <w:tc>
          <w:tcPr>
            <w:tcW w:type="dxa" w:w="3400"/>
            <w:tcMar>
              <w:top w:type="dxa" w:w="80"/>
              <w:left w:type="dxa" w:w="100"/>
              <w:bottom w:type="dxa" w:w="80"/>
              <w:right w:type="dxa" w:w="100"/>
            </w:tcMar>
          </w:tcPr>
          <w:p>
            <w:r>
              <w:rPr>
                <w:b w:val="false"/>
                <w:bCs w:val="false"/>
                <w:color w:val="000000"/>
                <w:sz w:val="20"/>
                <w:szCs w:val="20"/>
              </w:rPr>
              <w:t xml:space="preserve">More specific than CKA. SVCCA and PWCCA remove noisy dimensions first.</w:t>
            </w:r>
          </w:p>
        </w:tc>
      </w:tr>
      <w:tr>
        <w:tc>
          <w:tcPr>
            <w:tcW w:type="dxa" w:w="2400"/>
            <w:tcMar>
              <w:top w:type="dxa" w:w="80"/>
              <w:left w:type="dxa" w:w="100"/>
              <w:bottom w:type="dxa" w:w="80"/>
              <w:right w:type="dxa" w:w="100"/>
            </w:tcMar>
          </w:tcPr>
          <w:p>
            <w:r>
              <w:rPr>
                <w:b w:val="false"/>
                <w:bCs w:val="false"/>
                <w:color w:val="000000"/>
                <w:sz w:val="20"/>
                <w:szCs w:val="20"/>
              </w:rPr>
              <w:t xml:space="preserve">Mutual k-nearest-neighbor alignment</w:t>
            </w:r>
          </w:p>
        </w:tc>
        <w:tc>
          <w:tcPr>
            <w:tcW w:type="dxa" w:w="4800"/>
            <w:tcMar>
              <w:top w:type="dxa" w:w="80"/>
              <w:left w:type="dxa" w:w="100"/>
              <w:bottom w:type="dxa" w:w="80"/>
              <w:right w:type="dxa" w:w="100"/>
            </w:tcMar>
          </w:tcPr>
          <w:p>
            <w:r>
              <w:rPr>
                <w:b w:val="false"/>
                <w:bCs w:val="false"/>
                <w:color w:val="000000"/>
                <w:sz w:val="20"/>
                <w:szCs w:val="20"/>
              </w:rPr>
              <w:t xml:space="preserve">Overlap of nearest-neighbor sets between two embeddings of the same inputs.</w:t>
            </w:r>
          </w:p>
        </w:tc>
        <w:tc>
          <w:tcPr>
            <w:tcW w:type="dxa" w:w="3400"/>
            <w:tcMar>
              <w:top w:type="dxa" w:w="80"/>
              <w:left w:type="dxa" w:w="100"/>
              <w:bottom w:type="dxa" w:w="80"/>
              <w:right w:type="dxa" w:w="100"/>
            </w:tcMar>
          </w:tcPr>
          <w:p>
            <w:r>
              <w:rPr>
                <w:b w:val="false"/>
                <w:bCs w:val="false"/>
                <w:color w:val="000000"/>
                <w:sz w:val="20"/>
                <w:szCs w:val="20"/>
              </w:rPr>
              <w:t xml:space="preserve">Cheaper than CKA at scale. The metric used in the Platonic Representation Hypothesis and the ICML 2025 alignment paper; more robust to high-dimensional geometric artifacts than CKA.</w:t>
            </w:r>
          </w:p>
        </w:tc>
      </w:tr>
      <w:tr>
        <w:tc>
          <w:tcPr>
            <w:tcW w:type="dxa" w:w="2400"/>
            <w:tcMar>
              <w:top w:type="dxa" w:w="80"/>
              <w:left w:type="dxa" w:w="100"/>
              <w:bottom w:type="dxa" w:w="80"/>
              <w:right w:type="dxa" w:w="100"/>
            </w:tcMar>
          </w:tcPr>
          <w:p>
            <w:r>
              <w:rPr>
                <w:b w:val="false"/>
                <w:bCs w:val="false"/>
                <w:color w:val="000000"/>
                <w:sz w:val="20"/>
                <w:szCs w:val="20"/>
              </w:rPr>
              <w:t xml:space="preserve">FAISS / nearest-neighbor cross-modal retrieval</w:t>
            </w:r>
          </w:p>
        </w:tc>
        <w:tc>
          <w:tcPr>
            <w:tcW w:type="dxa" w:w="4800"/>
            <w:tcMar>
              <w:top w:type="dxa" w:w="80"/>
              <w:left w:type="dxa" w:w="100"/>
              <w:bottom w:type="dxa" w:w="80"/>
              <w:right w:type="dxa" w:w="100"/>
            </w:tcMar>
          </w:tcPr>
          <w:p>
            <w:r>
              <w:rPr>
                <w:b w:val="false"/>
                <w:bCs w:val="false"/>
                <w:color w:val="000000"/>
                <w:sz w:val="20"/>
                <w:szCs w:val="20"/>
              </w:rPr>
              <w:t xml:space="preserve">Whether querying with one modality actually retrieves the correct match in another.</w:t>
            </w:r>
          </w:p>
        </w:tc>
        <w:tc>
          <w:tcPr>
            <w:tcW w:type="dxa" w:w="3400"/>
            <w:tcMar>
              <w:top w:type="dxa" w:w="80"/>
              <w:left w:type="dxa" w:w="100"/>
              <w:bottom w:type="dxa" w:w="80"/>
              <w:right w:type="dxa" w:w="100"/>
            </w:tcMar>
          </w:tcPr>
          <w:p>
            <w:r>
              <w:rPr>
                <w:b w:val="false"/>
                <w:bCs w:val="false"/>
                <w:color w:val="000000"/>
                <w:sz w:val="20"/>
                <w:szCs w:val="20"/>
              </w:rPr>
              <w:t xml:space="preserve">A direct, task-grounded test rather than an abstract geometry comparison.</w:t>
            </w:r>
          </w:p>
        </w:tc>
      </w:tr>
      <w:tr>
        <w:tc>
          <w:tcPr>
            <w:tcW w:type="dxa" w:w="2400"/>
            <w:tcMar>
              <w:top w:type="dxa" w:w="80"/>
              <w:left w:type="dxa" w:w="100"/>
              <w:bottom w:type="dxa" w:w="80"/>
              <w:right w:type="dxa" w:w="100"/>
            </w:tcMar>
          </w:tcPr>
          <w:p>
            <w:r>
              <w:rPr>
                <w:b w:val="false"/>
                <w:bCs w:val="false"/>
                <w:color w:val="000000"/>
                <w:sz w:val="20"/>
                <w:szCs w:val="20"/>
              </w:rPr>
              <w:t xml:space="preserve">UMAP</w:t>
            </w:r>
          </w:p>
        </w:tc>
        <w:tc>
          <w:tcPr>
            <w:tcW w:type="dxa" w:w="4800"/>
            <w:tcMar>
              <w:top w:type="dxa" w:w="80"/>
              <w:left w:type="dxa" w:w="100"/>
              <w:bottom w:type="dxa" w:w="80"/>
              <w:right w:type="dxa" w:w="100"/>
            </w:tcMar>
          </w:tcPr>
          <w:p>
            <w:r>
              <w:rPr>
                <w:b w:val="false"/>
                <w:bCs w:val="false"/>
                <w:color w:val="000000"/>
                <w:sz w:val="20"/>
                <w:szCs w:val="20"/>
              </w:rPr>
              <w:t xml:space="preserve">Two-dimensional visualization of embedding structure.</w:t>
            </w:r>
          </w:p>
        </w:tc>
        <w:tc>
          <w:tcPr>
            <w:tcW w:type="dxa" w:w="3400"/>
            <w:tcMar>
              <w:top w:type="dxa" w:w="80"/>
              <w:left w:type="dxa" w:w="100"/>
              <w:bottom w:type="dxa" w:w="80"/>
              <w:right w:type="dxa" w:w="100"/>
            </w:tcMar>
          </w:tcPr>
          <w:p>
            <w:r>
              <w:rPr>
                <w:b w:val="false"/>
                <w:bCs w:val="false"/>
                <w:color w:val="000000"/>
                <w:sz w:val="20"/>
                <w:szCs w:val="20"/>
              </w:rPr>
              <w:t xml:space="preserve">Qualitative only. Never treat as evidence by itself.</w:t>
            </w:r>
          </w:p>
        </w:tc>
      </w:tr>
      <w:tr>
        <w:tc>
          <w:tcPr>
            <w:tcW w:type="dxa" w:w="2400"/>
            <w:tcMar>
              <w:top w:type="dxa" w:w="80"/>
              <w:left w:type="dxa" w:w="100"/>
              <w:bottom w:type="dxa" w:w="80"/>
              <w:right w:type="dxa" w:w="100"/>
            </w:tcMar>
          </w:tcPr>
          <w:p>
            <w:r>
              <w:rPr>
                <w:b w:val="false"/>
                <w:bCs w:val="false"/>
                <w:color w:val="000000"/>
                <w:sz w:val="20"/>
                <w:szCs w:val="20"/>
              </w:rPr>
              <w:t xml:space="preserve">RSA (Representational Similarity Analysis)</w:t>
            </w:r>
          </w:p>
        </w:tc>
        <w:tc>
          <w:tcPr>
            <w:tcW w:type="dxa" w:w="4800"/>
            <w:tcMar>
              <w:top w:type="dxa" w:w="80"/>
              <w:left w:type="dxa" w:w="100"/>
              <w:bottom w:type="dxa" w:w="80"/>
              <w:right w:type="dxa" w:w="100"/>
            </w:tcMar>
          </w:tcPr>
          <w:p>
            <w:r>
              <w:rPr>
                <w:b w:val="false"/>
                <w:bCs w:val="false"/>
                <w:color w:val="000000"/>
                <w:sz w:val="20"/>
                <w:szCs w:val="20"/>
              </w:rPr>
              <w:t xml:space="preserve">Correlation between the relative pairwise-distance structure of two representations.</w:t>
            </w:r>
          </w:p>
        </w:tc>
        <w:tc>
          <w:tcPr>
            <w:tcW w:type="dxa" w:w="3400"/>
            <w:tcMar>
              <w:top w:type="dxa" w:w="80"/>
              <w:left w:type="dxa" w:w="100"/>
              <w:bottom w:type="dxa" w:w="80"/>
              <w:right w:type="dxa" w:w="100"/>
            </w:tcMar>
          </w:tcPr>
          <w:p>
            <w:r>
              <w:rPr>
                <w:b w:val="false"/>
                <w:bCs w:val="false"/>
                <w:color w:val="000000"/>
                <w:sz w:val="20"/>
                <w:szCs w:val="20"/>
              </w:rPr>
              <w:t xml:space="preserve">Borrowed from neuroscience. Cheap to compute, complements CKA well.</w:t>
            </w:r>
          </w:p>
        </w:tc>
      </w:tr>
      <w:tr>
        <w:tc>
          <w:tcPr>
            <w:tcW w:type="dxa" w:w="2400"/>
            <w:tcMar>
              <w:top w:type="dxa" w:w="80"/>
              <w:left w:type="dxa" w:w="100"/>
              <w:bottom w:type="dxa" w:w="80"/>
              <w:right w:type="dxa" w:w="100"/>
            </w:tcMar>
          </w:tcPr>
          <w:p>
            <w:r>
              <w:rPr>
                <w:b w:val="false"/>
                <w:bCs w:val="false"/>
                <w:color w:val="000000"/>
                <w:sz w:val="20"/>
                <w:szCs w:val="20"/>
              </w:rPr>
              <w:t xml:space="preserve">Optimal transport / Gromov-Wasserstein distance</w:t>
            </w:r>
          </w:p>
        </w:tc>
        <w:tc>
          <w:tcPr>
            <w:tcW w:type="dxa" w:w="4800"/>
            <w:tcMar>
              <w:top w:type="dxa" w:w="80"/>
              <w:left w:type="dxa" w:w="100"/>
              <w:bottom w:type="dxa" w:w="80"/>
              <w:right w:type="dxa" w:w="100"/>
            </w:tcMar>
          </w:tcPr>
          <w:p>
            <w:r>
              <w:rPr>
                <w:b w:val="false"/>
                <w:bCs w:val="false"/>
                <w:color w:val="000000"/>
                <w:sz w:val="20"/>
                <w:szCs w:val="20"/>
              </w:rPr>
              <w:t xml:space="preserve">Structural alignment between two spaces without requiring a linear correspondence or paired examples.</w:t>
            </w:r>
          </w:p>
        </w:tc>
        <w:tc>
          <w:tcPr>
            <w:tcW w:type="dxa" w:w="3400"/>
            <w:tcMar>
              <w:top w:type="dxa" w:w="80"/>
              <w:left w:type="dxa" w:w="100"/>
              <w:bottom w:type="dxa" w:w="80"/>
              <w:right w:type="dxa" w:w="100"/>
            </w:tcMar>
          </w:tcPr>
          <w:p>
            <w:r>
              <w:rPr>
                <w:b w:val="false"/>
                <w:bCs w:val="false"/>
                <w:color w:val="000000"/>
                <w:sz w:val="20"/>
                <w:szCs w:val="20"/>
              </w:rPr>
              <w:t xml:space="preserve">Heavier lift; a good future-work direction rather than a Stage 1 deliverable.</w:t>
            </w:r>
          </w:p>
        </w:tc>
      </w:tr>
      <w:tr>
        <w:tc>
          <w:tcPr>
            <w:tcW w:type="dxa" w:w="2400"/>
            <w:tcMar>
              <w:top w:type="dxa" w:w="80"/>
              <w:left w:type="dxa" w:w="100"/>
              <w:bottom w:type="dxa" w:w="80"/>
              <w:right w:type="dxa" w:w="100"/>
            </w:tcMar>
          </w:tcPr>
          <w:p>
            <w:r>
              <w:rPr>
                <w:b w:val="false"/>
                <w:bCs w:val="false"/>
                <w:color w:val="000000"/>
                <w:sz w:val="20"/>
                <w:szCs w:val="20"/>
              </w:rPr>
              <w:t xml:space="preserve">Mutual information / partial information decomposition</w:t>
            </w:r>
          </w:p>
        </w:tc>
        <w:tc>
          <w:tcPr>
            <w:tcW w:type="dxa" w:w="4800"/>
            <w:tcMar>
              <w:top w:type="dxa" w:w="80"/>
              <w:left w:type="dxa" w:w="100"/>
              <w:bottom w:type="dxa" w:w="80"/>
              <w:right w:type="dxa" w:w="100"/>
            </w:tcMar>
          </w:tcPr>
          <w:p>
            <w:r>
              <w:rPr>
                <w:b w:val="false"/>
                <w:bCs w:val="false"/>
                <w:color w:val="000000"/>
                <w:sz w:val="20"/>
                <w:szCs w:val="20"/>
              </w:rPr>
              <w:t xml:space="preserve">How much task-relevant information is shared versus unique to each modality.</w:t>
            </w:r>
          </w:p>
        </w:tc>
        <w:tc>
          <w:tcPr>
            <w:tcW w:type="dxa" w:w="3400"/>
            <w:tcMar>
              <w:top w:type="dxa" w:w="80"/>
              <w:left w:type="dxa" w:w="100"/>
              <w:bottom w:type="dxa" w:w="80"/>
              <w:right w:type="dxa" w:w="100"/>
            </w:tcMar>
          </w:tcPr>
          <w:p>
            <w:r>
              <w:rPr>
                <w:b w:val="false"/>
                <w:bCs w:val="false"/>
                <w:color w:val="000000"/>
                <w:sz w:val="20"/>
                <w:szCs w:val="20"/>
              </w:rPr>
              <w:t xml:space="preserve">More rigorous than an informal synergy check. Ties directly to the alignment theory framework's redundancy/uniqueness split.</w:t>
            </w:r>
          </w:p>
        </w:tc>
      </w:tr>
      <w:tr>
        <w:tc>
          <w:tcPr>
            <w:tcW w:type="dxa" w:w="2400"/>
            <w:tcMar>
              <w:top w:type="dxa" w:w="80"/>
              <w:left w:type="dxa" w:w="100"/>
              <w:bottom w:type="dxa" w:w="80"/>
              <w:right w:type="dxa" w:w="100"/>
            </w:tcMar>
          </w:tcPr>
          <w:p>
            <w:r>
              <w:rPr>
                <w:b w:val="false"/>
                <w:bCs w:val="false"/>
                <w:color w:val="000000"/>
                <w:sz w:val="20"/>
                <w:szCs w:val="20"/>
              </w:rPr>
              <w:t xml:space="preserve">Model stitching</w:t>
            </w:r>
          </w:p>
        </w:tc>
        <w:tc>
          <w:tcPr>
            <w:tcW w:type="dxa" w:w="4800"/>
            <w:tcMar>
              <w:top w:type="dxa" w:w="80"/>
              <w:left w:type="dxa" w:w="100"/>
              <w:bottom w:type="dxa" w:w="80"/>
              <w:right w:type="dxa" w:w="100"/>
            </w:tcMar>
          </w:tcPr>
          <w:p>
            <w:r>
              <w:rPr>
                <w:b w:val="false"/>
                <w:bCs w:val="false"/>
                <w:color w:val="000000"/>
                <w:sz w:val="20"/>
                <w:szCs w:val="20"/>
              </w:rPr>
              <w:t xml:space="preserve">Whether a small trainable layer can splice one encoder into another without losing performance.</w:t>
            </w:r>
          </w:p>
        </w:tc>
        <w:tc>
          <w:tcPr>
            <w:tcW w:type="dxa" w:w="3400"/>
            <w:tcMar>
              <w:top w:type="dxa" w:w="80"/>
              <w:left w:type="dxa" w:w="100"/>
              <w:bottom w:type="dxa" w:w="80"/>
              <w:right w:type="dxa" w:w="100"/>
            </w:tcMar>
          </w:tcPr>
          <w:p>
            <w:r>
              <w:rPr>
                <w:b w:val="false"/>
                <w:bCs w:val="false"/>
                <w:color w:val="000000"/>
                <w:sz w:val="20"/>
                <w:szCs w:val="20"/>
              </w:rPr>
              <w:t xml:space="preserve">The most direct, operational test of alignment; a larger undertaking than the rest of this list.</w:t>
            </w:r>
          </w:p>
        </w:tc>
      </w:tr>
      <w:tr>
        <w:tc>
          <w:tcPr>
            <w:tcW w:type="dxa" w:w="2400"/>
            <w:tcMar>
              <w:top w:type="dxa" w:w="80"/>
              <w:left w:type="dxa" w:w="100"/>
              <w:bottom w:type="dxa" w:w="80"/>
              <w:right w:type="dxa" w:w="100"/>
            </w:tcMar>
          </w:tcPr>
          <w:p>
            <w:r>
              <w:rPr>
                <w:b w:val="false"/>
                <w:bCs w:val="false"/>
                <w:color w:val="000000"/>
                <w:sz w:val="20"/>
                <w:szCs w:val="20"/>
              </w:rPr>
              <w:t xml:space="preserve">Alignment-performance slope</w:t>
            </w:r>
          </w:p>
        </w:tc>
        <w:tc>
          <w:tcPr>
            <w:tcW w:type="dxa" w:w="4800"/>
            <w:tcMar>
              <w:top w:type="dxa" w:w="80"/>
              <w:left w:type="dxa" w:w="100"/>
              <w:bottom w:type="dxa" w:w="80"/>
              <w:right w:type="dxa" w:w="100"/>
            </w:tcMar>
          </w:tcPr>
          <w:p>
            <w:r>
              <w:rPr>
                <w:b w:val="false"/>
                <w:bCs w:val="false"/>
                <w:color w:val="000000"/>
                <w:sz w:val="20"/>
                <w:szCs w:val="20"/>
              </w:rPr>
              <w:t xml:space="preserve">Whether alignment computed on frozen, unaligned encoders predicts if an explicit alignment loss will help or hurt downstream performance.</w:t>
            </w:r>
          </w:p>
        </w:tc>
        <w:tc>
          <w:tcPr>
            <w:tcW w:type="dxa" w:w="3400"/>
            <w:tcMar>
              <w:top w:type="dxa" w:w="80"/>
              <w:left w:type="dxa" w:w="100"/>
              <w:bottom w:type="dxa" w:w="80"/>
              <w:right w:type="dxa" w:w="100"/>
            </w:tcMar>
          </w:tcPr>
          <w:p>
            <w:r>
              <w:rPr>
                <w:b w:val="false"/>
                <w:bCs w:val="false"/>
                <w:color w:val="000000"/>
                <w:sz w:val="20"/>
                <w:szCs w:val="20"/>
              </w:rPr>
              <w:t xml:space="preserve">The ICML 2025 alignment paper's own practical diagnostic. Not yet implemented; directly computable from existing probe results.</w:t>
            </w:r>
          </w:p>
        </w:tc>
      </w:tr>
    </w:tbl>
    <w:p>
      <w:pPr>
        <w:pStyle w:val="Heading2"/>
        <w:spacing w:after="120" w:before="240"/>
      </w:pPr>
      <w:r>
        <w:rPr>
          <w:b/>
          <w:bCs/>
          <w:color w:val="000000"/>
          <w:sz w:val="25"/>
          <w:szCs w:val="25"/>
        </w:rPr>
        <w:t xml:space="preserve">5.3 Fusion Architecture Candidates</w:t>
      </w:r>
    </w:p>
    <w:tbl>
      <w:tblPr>
        <w:tblW w:type="dxa" w:w="10600"/>
        <w:tblBorders>
          <w:top w:val="single" w:color="000000" w:sz="2"/>
          <w:left w:val="single" w:color="000000" w:sz="2"/>
          <w:bottom w:val="single" w:color="000000" w:sz="2"/>
          <w:right w:val="single" w:color="000000" w:sz="2"/>
          <w:insideH w:val="single" w:color="000000" w:sz="2"/>
          <w:insideV w:val="single" w:color="000000" w:sz="2"/>
        </w:tblBorders>
      </w:tblPr>
      <w:tblGrid>
        <w:gridCol w:w="2400"/>
        <w:gridCol w:w="5200"/>
        <w:gridCol w:w="3000"/>
      </w:tblGrid>
      <w:tr>
        <w:tc>
          <w:tcPr>
            <w:tcW w:type="dxa" w:w="2400"/>
            <w:shd w:fill="D9D9D9" w:val="clear"/>
            <w:tcMar>
              <w:top w:type="dxa" w:w="80"/>
              <w:left w:type="dxa" w:w="100"/>
              <w:bottom w:type="dxa" w:w="80"/>
              <w:right w:type="dxa" w:w="100"/>
            </w:tcMar>
          </w:tcPr>
          <w:p>
            <w:r>
              <w:rPr>
                <w:b/>
                <w:bCs/>
                <w:color w:val="000000"/>
                <w:sz w:val="20"/>
                <w:szCs w:val="20"/>
              </w:rPr>
              <w:t xml:space="preserve">Architecture</w:t>
            </w:r>
          </w:p>
        </w:tc>
        <w:tc>
          <w:tcPr>
            <w:tcW w:type="dxa" w:w="5200"/>
            <w:shd w:fill="D9D9D9" w:val="clear"/>
            <w:tcMar>
              <w:top w:type="dxa" w:w="80"/>
              <w:left w:type="dxa" w:w="100"/>
              <w:bottom w:type="dxa" w:w="80"/>
              <w:right w:type="dxa" w:w="100"/>
            </w:tcMar>
          </w:tcPr>
          <w:p>
            <w:r>
              <w:rPr>
                <w:b/>
                <w:bCs/>
                <w:color w:val="000000"/>
                <w:sz w:val="20"/>
                <w:szCs w:val="20"/>
              </w:rPr>
              <w:t xml:space="preserve">Description</w:t>
            </w:r>
          </w:p>
        </w:tc>
        <w:tc>
          <w:tcPr>
            <w:tcW w:type="dxa" w:w="3000"/>
            <w:shd w:fill="D9D9D9" w:val="clear"/>
            <w:tcMar>
              <w:top w:type="dxa" w:w="80"/>
              <w:left w:type="dxa" w:w="100"/>
              <w:bottom w:type="dxa" w:w="80"/>
              <w:right w:type="dxa" w:w="100"/>
            </w:tcMar>
          </w:tcPr>
          <w:p>
            <w:r>
              <w:rPr>
                <w:b/>
                <w:bCs/>
                <w:color w:val="000000"/>
                <w:sz w:val="20"/>
                <w:szCs w:val="20"/>
              </w:rPr>
              <w:t xml:space="preserve">Notes</w:t>
            </w:r>
          </w:p>
        </w:tc>
      </w:tr>
      <w:tr>
        <w:tc>
          <w:tcPr>
            <w:tcW w:type="dxa" w:w="2400"/>
            <w:tcMar>
              <w:top w:type="dxa" w:w="80"/>
              <w:left w:type="dxa" w:w="100"/>
              <w:bottom w:type="dxa" w:w="80"/>
              <w:right w:type="dxa" w:w="100"/>
            </w:tcMar>
          </w:tcPr>
          <w:p>
            <w:r>
              <w:rPr>
                <w:b w:val="false"/>
                <w:bCs w:val="false"/>
                <w:color w:val="000000"/>
                <w:sz w:val="20"/>
                <w:szCs w:val="20"/>
              </w:rPr>
              <w:t xml:space="preserve">Concatenation plus MLP</w:t>
            </w:r>
          </w:p>
        </w:tc>
        <w:tc>
          <w:tcPr>
            <w:tcW w:type="dxa" w:w="5200"/>
            <w:tcMar>
              <w:top w:type="dxa" w:w="80"/>
              <w:left w:type="dxa" w:w="100"/>
              <w:bottom w:type="dxa" w:w="80"/>
              <w:right w:type="dxa" w:w="100"/>
            </w:tcMar>
          </w:tcPr>
          <w:p>
            <w:r>
              <w:rPr>
                <w:b w:val="false"/>
                <w:bCs w:val="false"/>
                <w:color w:val="000000"/>
                <w:sz w:val="20"/>
                <w:szCs w:val="20"/>
              </w:rPr>
              <w:t xml:space="preserve">Simple concatenation of embeddings followed by a small feedforward network.</w:t>
            </w:r>
          </w:p>
        </w:tc>
        <w:tc>
          <w:tcPr>
            <w:tcW w:type="dxa" w:w="3000"/>
            <w:tcMar>
              <w:top w:type="dxa" w:w="80"/>
              <w:left w:type="dxa" w:w="100"/>
              <w:bottom w:type="dxa" w:w="80"/>
              <w:right w:type="dxa" w:w="100"/>
            </w:tcMar>
          </w:tcPr>
          <w:p>
            <w:r>
              <w:rPr>
                <w:b w:val="false"/>
                <w:bCs w:val="false"/>
                <w:color w:val="000000"/>
                <w:sz w:val="20"/>
                <w:szCs w:val="20"/>
              </w:rPr>
              <w:t xml:space="preserve">Mandatory baseline. Every other method must beat this to earn its cost.</w:t>
            </w:r>
          </w:p>
        </w:tc>
      </w:tr>
      <w:tr>
        <w:tc>
          <w:tcPr>
            <w:tcW w:type="dxa" w:w="2400"/>
            <w:tcMar>
              <w:top w:type="dxa" w:w="80"/>
              <w:left w:type="dxa" w:w="100"/>
              <w:bottom w:type="dxa" w:w="80"/>
              <w:right w:type="dxa" w:w="100"/>
            </w:tcMar>
          </w:tcPr>
          <w:p>
            <w:r>
              <w:rPr>
                <w:b w:val="false"/>
                <w:bCs w:val="false"/>
                <w:color w:val="000000"/>
                <w:sz w:val="20"/>
                <w:szCs w:val="20"/>
              </w:rPr>
              <w:t xml:space="preserve">Gated fusion</w:t>
            </w:r>
          </w:p>
        </w:tc>
        <w:tc>
          <w:tcPr>
            <w:tcW w:type="dxa" w:w="5200"/>
            <w:tcMar>
              <w:top w:type="dxa" w:w="80"/>
              <w:left w:type="dxa" w:w="100"/>
              <w:bottom w:type="dxa" w:w="80"/>
              <w:right w:type="dxa" w:w="100"/>
            </w:tcMar>
          </w:tcPr>
          <w:p>
            <w:r>
              <w:rPr>
                <w:b w:val="false"/>
                <w:bCs w:val="false"/>
                <w:color w:val="000000"/>
                <w:sz w:val="20"/>
                <w:szCs w:val="20"/>
              </w:rPr>
              <w:t xml:space="preserve">A learned gate controls how much each modality contributes to the fused representation.</w:t>
            </w:r>
          </w:p>
        </w:tc>
        <w:tc>
          <w:tcPr>
            <w:tcW w:type="dxa" w:w="3000"/>
            <w:tcMar>
              <w:top w:type="dxa" w:w="80"/>
              <w:left w:type="dxa" w:w="100"/>
              <w:bottom w:type="dxa" w:w="80"/>
              <w:right w:type="dxa" w:w="100"/>
            </w:tcMar>
          </w:tcPr>
          <w:p>
            <w:r>
              <w:rPr>
                <w:b w:val="false"/>
                <w:bCs w:val="false"/>
                <w:color w:val="000000"/>
                <w:sz w:val="20"/>
                <w:szCs w:val="20"/>
              </w:rPr>
              <w:t xml:space="preserve">Cheap and interpretable middle ground.</w:t>
            </w:r>
          </w:p>
        </w:tc>
      </w:tr>
      <w:tr>
        <w:tc>
          <w:tcPr>
            <w:tcW w:type="dxa" w:w="2400"/>
            <w:tcMar>
              <w:top w:type="dxa" w:w="80"/>
              <w:left w:type="dxa" w:w="100"/>
              <w:bottom w:type="dxa" w:w="80"/>
              <w:right w:type="dxa" w:w="100"/>
            </w:tcMar>
          </w:tcPr>
          <w:p>
            <w:r>
              <w:rPr>
                <w:b w:val="false"/>
                <w:bCs w:val="false"/>
                <w:color w:val="000000"/>
                <w:sz w:val="20"/>
                <w:szCs w:val="20"/>
              </w:rPr>
              <w:t xml:space="preserve">Bilinear or tensor fusion</w:t>
            </w:r>
          </w:p>
        </w:tc>
        <w:tc>
          <w:tcPr>
            <w:tcW w:type="dxa" w:w="5200"/>
            <w:tcMar>
              <w:top w:type="dxa" w:w="80"/>
              <w:left w:type="dxa" w:w="100"/>
              <w:bottom w:type="dxa" w:w="80"/>
              <w:right w:type="dxa" w:w="100"/>
            </w:tcMar>
          </w:tcPr>
          <w:p>
            <w:r>
              <w:rPr>
                <w:b w:val="false"/>
                <w:bCs w:val="false"/>
                <w:color w:val="000000"/>
                <w:sz w:val="20"/>
                <w:szCs w:val="20"/>
              </w:rPr>
              <w:t xml:space="preserve">Explicitly models multiplicative interactions between modalities.</w:t>
            </w:r>
          </w:p>
        </w:tc>
        <w:tc>
          <w:tcPr>
            <w:tcW w:type="dxa" w:w="3000"/>
            <w:tcMar>
              <w:top w:type="dxa" w:w="80"/>
              <w:left w:type="dxa" w:w="100"/>
              <w:bottom w:type="dxa" w:w="80"/>
              <w:right w:type="dxa" w:w="100"/>
            </w:tcMar>
          </w:tcPr>
          <w:p>
            <w:r>
              <w:rPr>
                <w:b w:val="false"/>
                <w:bCs w:val="false"/>
                <w:color w:val="000000"/>
                <w:sz w:val="20"/>
                <w:szCs w:val="20"/>
              </w:rPr>
              <w:t xml:space="preserve">Tensor fusion is exhaustive across three modalities but expensive.</w:t>
            </w:r>
          </w:p>
        </w:tc>
      </w:tr>
      <w:tr>
        <w:tc>
          <w:tcPr>
            <w:tcW w:type="dxa" w:w="2400"/>
            <w:tcMar>
              <w:top w:type="dxa" w:w="80"/>
              <w:left w:type="dxa" w:w="100"/>
              <w:bottom w:type="dxa" w:w="80"/>
              <w:right w:type="dxa" w:w="100"/>
            </w:tcMar>
          </w:tcPr>
          <w:p>
            <w:r>
              <w:rPr>
                <w:b w:val="false"/>
                <w:bCs w:val="false"/>
                <w:color w:val="000000"/>
                <w:sz w:val="20"/>
                <w:szCs w:val="20"/>
              </w:rPr>
              <w:t xml:space="preserve">Cross-attention, Isoformer-style</w:t>
            </w:r>
          </w:p>
        </w:tc>
        <w:tc>
          <w:tcPr>
            <w:tcW w:type="dxa" w:w="5200"/>
            <w:tcMar>
              <w:top w:type="dxa" w:w="80"/>
              <w:left w:type="dxa" w:w="100"/>
              <w:bottom w:type="dxa" w:w="80"/>
              <w:right w:type="dxa" w:w="100"/>
            </w:tcMar>
          </w:tcPr>
          <w:p>
            <w:r>
              <w:rPr>
                <w:b w:val="false"/>
                <w:bCs w:val="false"/>
                <w:color w:val="000000"/>
                <w:sz w:val="20"/>
                <w:szCs w:val="20"/>
              </w:rPr>
              <w:t xml:space="preserve">Each modality attends to the others through learned attention.</w:t>
            </w:r>
          </w:p>
        </w:tc>
        <w:tc>
          <w:tcPr>
            <w:tcW w:type="dxa" w:w="3000"/>
            <w:tcMar>
              <w:top w:type="dxa" w:w="80"/>
              <w:left w:type="dxa" w:w="100"/>
              <w:bottom w:type="dxa" w:w="80"/>
              <w:right w:type="dxa" w:w="100"/>
            </w:tcMar>
          </w:tcPr>
          <w:p>
            <w:r>
              <w:rPr>
                <w:b w:val="false"/>
                <w:bCs w:val="false"/>
                <w:color w:val="000000"/>
                <w:sz w:val="20"/>
                <w:szCs w:val="20"/>
              </w:rPr>
              <w:t xml:space="preserve">Well studied, but scales poorly with long DNA sequences.</w:t>
            </w:r>
          </w:p>
        </w:tc>
      </w:tr>
      <w:tr>
        <w:tc>
          <w:tcPr>
            <w:tcW w:type="dxa" w:w="2400"/>
            <w:tcMar>
              <w:top w:type="dxa" w:w="80"/>
              <w:left w:type="dxa" w:w="100"/>
              <w:bottom w:type="dxa" w:w="80"/>
              <w:right w:type="dxa" w:w="100"/>
            </w:tcMar>
          </w:tcPr>
          <w:p>
            <w:r>
              <w:rPr>
                <w:b w:val="false"/>
                <w:bCs w:val="false"/>
                <w:color w:val="000000"/>
                <w:sz w:val="20"/>
                <w:szCs w:val="20"/>
              </w:rPr>
              <w:t xml:space="preserve">Perceiver-style attention</w:t>
            </w:r>
          </w:p>
        </w:tc>
        <w:tc>
          <w:tcPr>
            <w:tcW w:type="dxa" w:w="5200"/>
            <w:tcMar>
              <w:top w:type="dxa" w:w="80"/>
              <w:left w:type="dxa" w:w="100"/>
              <w:bottom w:type="dxa" w:w="80"/>
              <w:right w:type="dxa" w:w="100"/>
            </w:tcMar>
          </w:tcPr>
          <w:p>
            <w:r>
              <w:rPr>
                <w:b w:val="false"/>
                <w:bCs w:val="false"/>
                <w:color w:val="000000"/>
                <w:sz w:val="20"/>
                <w:szCs w:val="20"/>
              </w:rPr>
              <w:t xml:space="preserve">Asymmetric cross-attention that compresses long sequences into a smaller latent array first.</w:t>
            </w:r>
          </w:p>
        </w:tc>
        <w:tc>
          <w:tcPr>
            <w:tcW w:type="dxa" w:w="3000"/>
            <w:tcMar>
              <w:top w:type="dxa" w:w="80"/>
              <w:left w:type="dxa" w:w="100"/>
              <w:bottom w:type="dxa" w:w="80"/>
              <w:right w:type="dxa" w:w="100"/>
            </w:tcMar>
          </w:tcPr>
          <w:p>
            <w:r>
              <w:rPr>
                <w:b w:val="false"/>
                <w:bCs w:val="false"/>
                <w:color w:val="000000"/>
                <w:sz w:val="20"/>
                <w:szCs w:val="20"/>
              </w:rPr>
              <w:t xml:space="preserve">Better suited to long DNA sequences than full cross-attention.</w:t>
            </w:r>
          </w:p>
        </w:tc>
      </w:tr>
      <w:tr>
        <w:tc>
          <w:tcPr>
            <w:tcW w:type="dxa" w:w="2400"/>
            <w:tcMar>
              <w:top w:type="dxa" w:w="80"/>
              <w:left w:type="dxa" w:w="100"/>
              <w:bottom w:type="dxa" w:w="80"/>
              <w:right w:type="dxa" w:w="100"/>
            </w:tcMar>
          </w:tcPr>
          <w:p>
            <w:r>
              <w:rPr>
                <w:b w:val="false"/>
                <w:bCs w:val="false"/>
                <w:color w:val="000000"/>
                <w:sz w:val="20"/>
                <w:szCs w:val="20"/>
              </w:rPr>
              <w:t xml:space="preserve">Coupled Mamba, Cross-Mamba</w:t>
            </w:r>
          </w:p>
        </w:tc>
        <w:tc>
          <w:tcPr>
            <w:tcW w:type="dxa" w:w="5200"/>
            <w:tcMar>
              <w:top w:type="dxa" w:w="80"/>
              <w:left w:type="dxa" w:w="100"/>
              <w:bottom w:type="dxa" w:w="80"/>
              <w:right w:type="dxa" w:w="100"/>
            </w:tcMar>
          </w:tcPr>
          <w:p>
            <w:r>
              <w:rPr>
                <w:b w:val="false"/>
                <w:bCs w:val="false"/>
                <w:color w:val="000000"/>
                <w:sz w:val="20"/>
                <w:szCs w:val="20"/>
              </w:rPr>
              <w:t xml:space="preserve">State-space model based fusion.</w:t>
            </w:r>
          </w:p>
        </w:tc>
        <w:tc>
          <w:tcPr>
            <w:tcW w:type="dxa" w:w="3000"/>
            <w:tcMar>
              <w:top w:type="dxa" w:w="80"/>
              <w:left w:type="dxa" w:w="100"/>
              <w:bottom w:type="dxa" w:w="80"/>
              <w:right w:type="dxa" w:w="100"/>
            </w:tcMar>
          </w:tcPr>
          <w:p>
            <w:r>
              <w:rPr>
                <w:b w:val="false"/>
                <w:bCs w:val="false"/>
                <w:color w:val="000000"/>
                <w:sz w:val="20"/>
                <w:szCs w:val="20"/>
              </w:rPr>
              <w:t xml:space="preserve">Efficient on long sequences. Newer and less studied than attention-based fusion.</w:t>
            </w:r>
          </w:p>
        </w:tc>
      </w:tr>
      <w:tr>
        <w:tc>
          <w:tcPr>
            <w:tcW w:type="dxa" w:w="2400"/>
            <w:tcMar>
              <w:top w:type="dxa" w:w="80"/>
              <w:left w:type="dxa" w:w="100"/>
              <w:bottom w:type="dxa" w:w="80"/>
              <w:right w:type="dxa" w:w="100"/>
            </w:tcMar>
          </w:tcPr>
          <w:p>
            <w:r>
              <w:rPr>
                <w:b w:val="false"/>
                <w:bCs w:val="false"/>
                <w:color w:val="000000"/>
                <w:sz w:val="20"/>
                <w:szCs w:val="20"/>
              </w:rPr>
              <w:t xml:space="preserve">Mixture-of-experts fusion</w:t>
            </w:r>
          </w:p>
        </w:tc>
        <w:tc>
          <w:tcPr>
            <w:tcW w:type="dxa" w:w="5200"/>
            <w:tcMar>
              <w:top w:type="dxa" w:w="80"/>
              <w:left w:type="dxa" w:w="100"/>
              <w:bottom w:type="dxa" w:w="80"/>
              <w:right w:type="dxa" w:w="100"/>
            </w:tcMar>
          </w:tcPr>
          <w:p>
            <w:r>
              <w:rPr>
                <w:b w:val="false"/>
                <w:bCs w:val="false"/>
                <w:color w:val="000000"/>
                <w:sz w:val="20"/>
                <w:szCs w:val="20"/>
              </w:rPr>
              <w:t xml:space="preserve">Learns to route different examples through different combination strategies.</w:t>
            </w:r>
          </w:p>
        </w:tc>
        <w:tc>
          <w:tcPr>
            <w:tcW w:type="dxa" w:w="3000"/>
            <w:tcMar>
              <w:top w:type="dxa" w:w="80"/>
              <w:left w:type="dxa" w:w="100"/>
              <w:bottom w:type="dxa" w:w="80"/>
              <w:right w:type="dxa" w:w="100"/>
            </w:tcMar>
          </w:tcPr>
          <w:p>
            <w:r>
              <w:rPr>
                <w:b w:val="false"/>
                <w:bCs w:val="false"/>
                <w:color w:val="000000"/>
                <w:sz w:val="20"/>
                <w:szCs w:val="20"/>
              </w:rPr>
              <w:t xml:space="preserve">Useful if different genes or transcripts call for different fusion strategies.</w:t>
            </w:r>
          </w:p>
        </w:tc>
      </w:tr>
      <w:tr>
        <w:tc>
          <w:tcPr>
            <w:tcW w:type="dxa" w:w="2400"/>
            <w:tcMar>
              <w:top w:type="dxa" w:w="80"/>
              <w:left w:type="dxa" w:w="100"/>
              <w:bottom w:type="dxa" w:w="80"/>
              <w:right w:type="dxa" w:w="100"/>
            </w:tcMar>
          </w:tcPr>
          <w:p>
            <w:r>
              <w:rPr>
                <w:b w:val="false"/>
                <w:bCs w:val="false"/>
                <w:color w:val="000000"/>
                <w:sz w:val="20"/>
                <w:szCs w:val="20"/>
              </w:rPr>
              <w:t xml:space="preserve">CoMM</w:t>
            </w:r>
          </w:p>
        </w:tc>
        <w:tc>
          <w:tcPr>
            <w:tcW w:type="dxa" w:w="5200"/>
            <w:tcMar>
              <w:top w:type="dxa" w:w="80"/>
              <w:left w:type="dxa" w:w="100"/>
              <w:bottom w:type="dxa" w:w="80"/>
              <w:right w:type="dxa" w:w="100"/>
            </w:tcMar>
          </w:tcPr>
          <w:p>
            <w:r>
              <w:rPr>
                <w:b w:val="false"/>
                <w:bCs w:val="false"/>
                <w:color w:val="000000"/>
                <w:sz w:val="20"/>
                <w:szCs w:val="20"/>
              </w:rPr>
              <w:t xml:space="preserve">Nonlinear, synergy-maximizing fusion objective proposed as an alternative to alignment-based fusion.</w:t>
            </w:r>
          </w:p>
        </w:tc>
        <w:tc>
          <w:tcPr>
            <w:tcW w:type="dxa" w:w="3000"/>
            <w:tcMar>
              <w:top w:type="dxa" w:w="80"/>
              <w:left w:type="dxa" w:w="100"/>
              <w:bottom w:type="dxa" w:w="80"/>
              <w:right w:type="dxa" w:w="100"/>
            </w:tcMar>
          </w:tcPr>
          <w:p>
            <w:r>
              <w:rPr>
                <w:b w:val="false"/>
                <w:bCs w:val="false"/>
                <w:color w:val="000000"/>
                <w:sz w:val="20"/>
                <w:szCs w:val="20"/>
              </w:rPr>
              <w:t xml:space="preserve">Directly relevant, since it answers the spectral ceiling critique of CKA and CCA.</w:t>
            </w:r>
          </w:p>
        </w:tc>
      </w:tr>
      <w:tr>
        <w:tc>
          <w:tcPr>
            <w:tcW w:type="dxa" w:w="2400"/>
            <w:tcMar>
              <w:top w:type="dxa" w:w="80"/>
              <w:left w:type="dxa" w:w="100"/>
              <w:bottom w:type="dxa" w:w="80"/>
              <w:right w:type="dxa" w:w="100"/>
            </w:tcMar>
          </w:tcPr>
          <w:p>
            <w:r>
              <w:rPr>
                <w:b w:val="false"/>
                <w:bCs w:val="false"/>
                <w:color w:val="000000"/>
                <w:sz w:val="20"/>
                <w:szCs w:val="20"/>
              </w:rPr>
              <w:t xml:space="preserve">Graph-based fusion</w:t>
            </w:r>
          </w:p>
        </w:tc>
        <w:tc>
          <w:tcPr>
            <w:tcW w:type="dxa" w:w="5200"/>
            <w:tcMar>
              <w:top w:type="dxa" w:w="80"/>
              <w:left w:type="dxa" w:w="100"/>
              <w:bottom w:type="dxa" w:w="80"/>
              <w:right w:type="dxa" w:w="100"/>
            </w:tcMar>
          </w:tcPr>
          <w:p>
            <w:r>
              <w:rPr>
                <w:b w:val="false"/>
                <w:bCs w:val="false"/>
                <w:color w:val="000000"/>
                <w:sz w:val="20"/>
                <w:szCs w:val="20"/>
              </w:rPr>
              <w:t xml:space="preserve">Represents DNA, RNA, and protein as connected nodes and uses message passing to fuse them.</w:t>
            </w:r>
          </w:p>
        </w:tc>
        <w:tc>
          <w:tcPr>
            <w:tcW w:type="dxa" w:w="3000"/>
            <w:tcMar>
              <w:top w:type="dxa" w:w="80"/>
              <w:left w:type="dxa" w:w="100"/>
              <w:bottom w:type="dxa" w:w="80"/>
              <w:right w:type="dxa" w:w="100"/>
            </w:tcMar>
          </w:tcPr>
          <w:p>
            <w:r>
              <w:rPr>
                <w:b w:val="false"/>
                <w:bCs w:val="false"/>
                <w:color w:val="000000"/>
                <w:sz w:val="20"/>
                <w:szCs w:val="20"/>
              </w:rPr>
              <w:t xml:space="preserve">Encodes the central dogma's direction explicitly, rather than learning it purely from attention.</w:t>
            </w:r>
          </w:p>
        </w:tc>
      </w:tr>
    </w:tbl>
    <w:p>
      <w:pPr>
        <w:pStyle w:val="Heading1"/>
        <w:spacing w:after="160" w:before="320"/>
      </w:pPr>
      <w:r>
        <w:rPr>
          <w:b/>
          <w:bCs/>
          <w:color w:val="000000"/>
          <w:sz w:val="30"/>
          <w:szCs w:val="30"/>
        </w:rPr>
        <w:t xml:space="preserve">6. Additional Literature Found</w:t>
      </w:r>
    </w:p>
    <w:p>
      <w:pPr>
        <w:spacing w:after="160"/>
      </w:pPr>
      <w:r>
        <w:rPr>
          <w:b w:val="false"/>
          <w:bCs w:val="false"/>
          <w:i w:val="false"/>
          <w:iCs w:val="false"/>
          <w:color w:val="000000"/>
          <w:sz w:val="22"/>
          <w:szCs w:val="22"/>
        </w:rPr>
        <w:t xml:space="preserve">Beyond the six papers with full reviews, following up on the assigned reading turned up direct sequels, a serious counter-argument, and several concrete fusion architecture options.</w:t>
      </w:r>
    </w:p>
    <w:p>
      <w:pPr>
        <w:pStyle w:val="Heading2"/>
        <w:spacing w:after="120" w:before="240"/>
      </w:pPr>
      <w:r>
        <w:rPr>
          <w:b/>
          <w:bCs/>
          <w:color w:val="000000"/>
          <w:sz w:val="25"/>
          <w:szCs w:val="25"/>
        </w:rPr>
        <w:t xml:space="preserve">6.1 Direct Sequels to Central Dogma Transformer</w:t>
      </w:r>
    </w:p>
    <w:p>
      <w:pPr>
        <w:pStyle w:val="ListParagraph"/>
        <w:numPr>
          <w:ilvl w:val="0"/>
          <w:numId w:val="1"/>
        </w:numPr>
        <w:spacing w:after="80"/>
      </w:pPr>
      <w:r>
        <w:rPr>
          <w:color w:val="000000"/>
          <w:sz w:val="22"/>
          <w:szCs w:val="22"/>
        </w:rPr>
        <w:t xml:space="preserve">CDT-II: adds DNA and RNA self-attention plus cross-attention specifically for transcriptional control, using genomic embeddings and per-cell expression data. Predicts perturbation effects with strong accuracy (per-gene r = 0.84) and recovered a known regulatory network (GFI1B); its cross-attention weights land on real regulatory elements such as CTCF sites.</w:t>
      </w:r>
    </w:p>
    <w:p>
      <w:pPr>
        <w:pStyle w:val="ListParagraph"/>
        <w:numPr>
          <w:ilvl w:val="0"/>
          <w:numId w:val="1"/>
        </w:numPr>
        <w:spacing w:after="80"/>
      </w:pPr>
      <w:r>
        <w:rPr>
          <w:color w:val="000000"/>
          <w:sz w:val="22"/>
          <w:szCs w:val="22"/>
        </w:rPr>
        <w:t xml:space="preserve">CDT-III: extends prediction across the full DNA-RNA-protein chain with a two-stage "Virtual Cell Embedder." Adding protein-level supervision improved both RNA-level predictions and DNA-level interpretability, evidence that multi-task, multi-modality training regularizes each modality's representation rather than adding noise. Found that 66.7% of genes with observable mRNA changes show the opposite direction of change at the protein level, a concrete example of the RNA-to-protein uniqueness the alignment theory framework predicts should exist.</w:t>
      </w:r>
    </w:p>
    <w:p>
      <w:pPr>
        <w:pStyle w:val="Heading2"/>
        <w:spacing w:after="120" w:before="240"/>
      </w:pPr>
      <w:r>
        <w:rPr>
          <w:b/>
          <w:bCs/>
          <w:color w:val="000000"/>
          <w:sz w:val="25"/>
          <w:szCs w:val="25"/>
        </w:rPr>
        <w:t xml:space="preserve">6.2 Two More Joint-Training Approaches, Alongside LucaOne</w:t>
      </w:r>
    </w:p>
    <w:p>
      <w:pPr>
        <w:pStyle w:val="ListParagraph"/>
        <w:numPr>
          <w:ilvl w:val="0"/>
          <w:numId w:val="1"/>
        </w:numPr>
        <w:spacing w:after="80"/>
      </w:pPr>
      <w:r>
        <w:rPr>
          <w:color w:val="000000"/>
          <w:sz w:val="22"/>
          <w:szCs w:val="22"/>
        </w:rPr>
        <w:t xml:space="preserve">Life-Code: unifies DNA, RNA, and protein into one nucleotide-level vocabulary, trained with a codon-aware tokenizer, masked modeling, and knowledge distillation from ESM2. A genuinely different joint-training bet from LucaOne's separate-modules approach.</w:t>
      </w:r>
    </w:p>
    <w:p>
      <w:pPr>
        <w:pStyle w:val="ListParagraph"/>
        <w:numPr>
          <w:ilvl w:val="0"/>
          <w:numId w:val="1"/>
        </w:numPr>
        <w:spacing w:after="80"/>
      </w:pPr>
      <w:r>
        <w:rPr>
          <w:color w:val="000000"/>
          <w:sz w:val="22"/>
          <w:szCs w:val="22"/>
        </w:rPr>
        <w:t xml:space="preserve">CAPTAIN: pretrained directly on co-assayed single-cell RNA and protein data, rather than fusing independently pretrained encoders. A reference point for what is achievable with true paired multi-omic training data.</w:t>
      </w:r>
    </w:p>
    <w:p>
      <w:pPr>
        <w:pStyle w:val="Heading2"/>
        <w:spacing w:after="120" w:before="240"/>
      </w:pPr>
      <w:r>
        <w:rPr>
          <w:b/>
          <w:bCs/>
          <w:color w:val="000000"/>
          <w:sz w:val="25"/>
          <w:szCs w:val="25"/>
        </w:rPr>
        <w:t xml:space="preserve">6.3 A Very Recent Unifying Framework</w:t>
      </w:r>
    </w:p>
    <w:p>
      <w:pPr>
        <w:spacing w:after="160"/>
      </w:pPr>
      <w:r>
        <w:rPr>
          <w:b w:val="false"/>
          <w:bCs w:val="false"/>
          <w:i w:val="false"/>
          <w:iCs w:val="false"/>
          <w:color w:val="000000"/>
          <w:sz w:val="22"/>
          <w:szCs w:val="22"/>
        </w:rPr>
        <w:t xml:space="preserve">"Dependency, Compression, and Synergy: A Unified Information-Theoretic View of Multimodal Learning" appears to unify the redundancy/uniqueness framing from the ICML 2025 alignment paper with the synergy framing from the beyond-alignment critique into one information-theoretic picture. Worth a closer read since it may mean these two diagnostics do not need to be run as two separate, unrelated checks.</w:t>
      </w:r>
    </w:p>
    <w:p>
      <w:pPr>
        <w:pStyle w:val="Heading2"/>
        <w:spacing w:after="120" w:before="240"/>
      </w:pPr>
      <w:r>
        <w:rPr>
          <w:b/>
          <w:bCs/>
          <w:color w:val="000000"/>
          <w:sz w:val="25"/>
          <w:szCs w:val="25"/>
        </w:rPr>
        <w:t xml:space="preserve">6.4 More Fusion Architecture Options</w:t>
      </w:r>
    </w:p>
    <w:p>
      <w:pPr>
        <w:pStyle w:val="ListParagraph"/>
        <w:numPr>
          <w:ilvl w:val="0"/>
          <w:numId w:val="1"/>
        </w:numPr>
        <w:spacing w:after="80"/>
      </w:pPr>
      <w:r>
        <w:rPr>
          <w:color w:val="000000"/>
          <w:sz w:val="22"/>
          <w:szCs w:val="22"/>
        </w:rPr>
        <w:t xml:space="preserve">Cross-Mamba / BiMamba interaction (CrossLLM-Mamba): built for RNA interaction prediction with ESM-2 and RiNALMo; stacks modality representations through a bidirectional Mamba block instead of concatenating.</w:t>
      </w:r>
    </w:p>
    <w:p>
      <w:pPr>
        <w:pStyle w:val="ListParagraph"/>
        <w:numPr>
          <w:ilvl w:val="0"/>
          <w:numId w:val="1"/>
        </w:numPr>
        <w:spacing w:after="80"/>
      </w:pPr>
      <w:r>
        <w:rPr>
          <w:color w:val="000000"/>
          <w:sz w:val="22"/>
          <w:szCs w:val="22"/>
        </w:rPr>
        <w:t xml:space="preserve">Mamba-3 (Princeton): an improved state-space backbone, the natural upgrade path if Coupled Mamba's specific implementation underperforms.</w:t>
      </w:r>
    </w:p>
    <w:p>
      <w:pPr>
        <w:pStyle w:val="ListParagraph"/>
        <w:numPr>
          <w:ilvl w:val="0"/>
          <w:numId w:val="1"/>
        </w:numPr>
        <w:spacing w:after="80"/>
      </w:pPr>
      <w:r>
        <w:rPr>
          <w:color w:val="000000"/>
          <w:sz w:val="22"/>
          <w:szCs w:val="22"/>
        </w:rPr>
        <w:t xml:space="preserve">Perceiver-style asymmetric cross-attention for DNA and protein beat a strong DNA-only baseline on mRNA prediction (r-squared 0.62 versus 0.59), using learnable query vectors so attention cost scales closer to linearly with sequence length.</w:t>
      </w:r>
    </w:p>
    <w:p>
      <w:pPr>
        <w:pStyle w:val="ListParagraph"/>
        <w:numPr>
          <w:ilvl w:val="0"/>
          <w:numId w:val="1"/>
        </w:numPr>
        <w:spacing w:after="80"/>
      </w:pPr>
      <w:r>
        <w:rPr>
          <w:color w:val="000000"/>
          <w:sz w:val="22"/>
          <w:szCs w:val="22"/>
        </w:rPr>
        <w:t xml:space="preserve">Mixture-of-experts fusion: several 2026 papers route different examples to different modality-expert combinations rather than always fusing all modalities equally.</w:t>
      </w:r>
    </w:p>
    <w:p>
      <w:pPr>
        <w:pStyle w:val="Heading2"/>
        <w:spacing w:after="120" w:before="240"/>
      </w:pPr>
      <w:r>
        <w:rPr>
          <w:b/>
          <w:bCs/>
          <w:color w:val="000000"/>
          <w:sz w:val="25"/>
          <w:szCs w:val="25"/>
        </w:rPr>
        <w:t xml:space="preserve">6.5 Practical Tooling</w:t>
      </w:r>
    </w:p>
    <w:p>
      <w:pPr>
        <w:spacing w:after="160"/>
      </w:pPr>
      <w:r>
        <w:rPr>
          <w:b w:val="false"/>
          <w:bCs w:val="false"/>
          <w:i w:val="false"/>
          <w:iCs w:val="false"/>
          <w:color w:val="000000"/>
          <w:sz w:val="22"/>
          <w:szCs w:val="22"/>
        </w:rPr>
        <w:t xml:space="preserve">GenBio AI's AIDO.ModelGenerator is a framework built for fast, reproducible multimodal biological foundation model development. Once past Stage 1 and prototyping fusion, worth checking whether it already wraps the planned encoders.</w:t>
      </w:r>
    </w:p>
    <w:p>
      <w:pPr>
        <w:pStyle w:val="Heading1"/>
        <w:spacing w:after="160" w:before="320"/>
      </w:pPr>
      <w:r>
        <w:rPr>
          <w:b/>
          <w:bCs/>
          <w:color w:val="000000"/>
          <w:sz w:val="30"/>
          <w:szCs w:val="30"/>
        </w:rPr>
        <w:t xml:space="preserve">7. GitHub Repo Notes</w:t>
      </w:r>
    </w:p>
    <w:p>
      <w:pPr>
        <w:pStyle w:val="ListParagraph"/>
        <w:numPr>
          <w:ilvl w:val="0"/>
          <w:numId w:val="1"/>
        </w:numPr>
        <w:spacing w:after="80"/>
      </w:pPr>
      <w:r>
        <w:rPr>
          <w:color w:val="000000"/>
          <w:sz w:val="22"/>
          <w:szCs w:val="22"/>
        </w:rPr>
        <w:t xml:space="preserve">Coupled Mamba (github.com/hustcselwb/coupled-mamba): official NeurIPS 2024 implementation. Installation needs causal-conv1d and mamba-ssm. Includes training and evaluation code for the sentiment-analysis benchmarks discussed in its paper. No released pretrained checkpoints, only training code; would need adaptation from scratch for genomic sequences.</w:t>
      </w:r>
    </w:p>
    <w:p>
      <w:pPr>
        <w:pStyle w:val="ListParagraph"/>
        <w:numPr>
          <w:ilvl w:val="0"/>
          <w:numId w:val="1"/>
        </w:numPr>
        <w:spacing w:after="80"/>
      </w:pPr>
      <w:r>
        <w:rPr>
          <w:color w:val="000000"/>
          <w:sz w:val="22"/>
          <w:szCs w:val="22"/>
        </w:rPr>
        <w:t xml:space="preserve">Isoformer docs (github.com/instadeepai/nucleotide-transformer): documentation and an inference notebook, hosted under InstaDeep's nucleotide-transformer repository. Unlike Coupled Mamba, a trained checkpoint is published on Hugging Face, with an example notebook for running inference to predict transcript isoform expression from DNA, RNA, and protein inputs.</w:t>
      </w:r>
    </w:p>
    <w:p>
      <w:pPr>
        <w:pStyle w:val="Heading1"/>
        <w:spacing w:after="160" w:before="320"/>
      </w:pPr>
      <w:r>
        <w:rPr>
          <w:b/>
          <w:bCs/>
          <w:color w:val="000000"/>
          <w:sz w:val="30"/>
          <w:szCs w:val="30"/>
        </w:rPr>
        <w:t xml:space="preserve">8. Side-by-Side Comparison of the Core Papers</w:t>
      </w:r>
    </w:p>
    <w:tbl>
      <w:tblPr>
        <w:tblW w:type="dxa" w:w="10800"/>
        <w:tblBorders>
          <w:top w:val="single" w:color="000000" w:sz="2"/>
          <w:left w:val="single" w:color="000000" w:sz="2"/>
          <w:bottom w:val="single" w:color="000000" w:sz="2"/>
          <w:right w:val="single" w:color="000000" w:sz="2"/>
          <w:insideH w:val="single" w:color="000000" w:sz="2"/>
          <w:insideV w:val="single" w:color="000000" w:sz="2"/>
        </w:tblBorders>
      </w:tblPr>
      <w:tblGrid>
        <w:gridCol w:w="1800"/>
        <w:gridCol w:w="2400"/>
        <w:gridCol w:w="3600"/>
        <w:gridCol w:w="3000"/>
      </w:tblGrid>
      <w:tr>
        <w:tc>
          <w:tcPr>
            <w:tcW w:type="dxa" w:w="1800"/>
            <w:shd w:fill="D9D9D9" w:val="clear"/>
            <w:tcMar>
              <w:top w:type="dxa" w:w="80"/>
              <w:left w:type="dxa" w:w="100"/>
              <w:bottom w:type="dxa" w:w="80"/>
              <w:right w:type="dxa" w:w="100"/>
            </w:tcMar>
          </w:tcPr>
          <w:p>
            <w:r>
              <w:rPr>
                <w:b/>
                <w:bCs/>
                <w:color w:val="000000"/>
                <w:sz w:val="20"/>
                <w:szCs w:val="20"/>
              </w:rPr>
              <w:t xml:space="preserve">Paper</w:t>
            </w:r>
          </w:p>
        </w:tc>
        <w:tc>
          <w:tcPr>
            <w:tcW w:type="dxa" w:w="2400"/>
            <w:shd w:fill="D9D9D9" w:val="clear"/>
            <w:tcMar>
              <w:top w:type="dxa" w:w="80"/>
              <w:left w:type="dxa" w:w="100"/>
              <w:bottom w:type="dxa" w:w="80"/>
              <w:right w:type="dxa" w:w="100"/>
            </w:tcMar>
          </w:tcPr>
          <w:p>
            <w:r>
              <w:rPr>
                <w:b/>
                <w:bCs/>
                <w:color w:val="000000"/>
                <w:sz w:val="20"/>
                <w:szCs w:val="20"/>
              </w:rPr>
              <w:t xml:space="preserve">Strategy</w:t>
            </w:r>
          </w:p>
        </w:tc>
        <w:tc>
          <w:tcPr>
            <w:tcW w:type="dxa" w:w="3600"/>
            <w:shd w:fill="D9D9D9" w:val="clear"/>
            <w:tcMar>
              <w:top w:type="dxa" w:w="80"/>
              <w:left w:type="dxa" w:w="100"/>
              <w:bottom w:type="dxa" w:w="80"/>
              <w:right w:type="dxa" w:w="100"/>
            </w:tcMar>
          </w:tcPr>
          <w:p>
            <w:r>
              <w:rPr>
                <w:b/>
                <w:bCs/>
                <w:color w:val="000000"/>
                <w:sz w:val="20"/>
                <w:szCs w:val="20"/>
              </w:rPr>
              <w:t xml:space="preserve">Fusion / Alignment Mechanism</w:t>
            </w:r>
          </w:p>
        </w:tc>
        <w:tc>
          <w:tcPr>
            <w:tcW w:type="dxa" w:w="3000"/>
            <w:shd w:fill="D9D9D9" w:val="clear"/>
            <w:tcMar>
              <w:top w:type="dxa" w:w="80"/>
              <w:left w:type="dxa" w:w="100"/>
              <w:bottom w:type="dxa" w:w="80"/>
              <w:right w:type="dxa" w:w="100"/>
            </w:tcMar>
          </w:tcPr>
          <w:p>
            <w:r>
              <w:rPr>
                <w:b/>
                <w:bCs/>
                <w:color w:val="000000"/>
                <w:sz w:val="20"/>
                <w:szCs w:val="20"/>
              </w:rPr>
              <w:t xml:space="preserve">Best For</w:t>
            </w:r>
          </w:p>
        </w:tc>
      </w:tr>
      <w:tr>
        <w:tc>
          <w:tcPr>
            <w:tcW w:type="dxa" w:w="1800"/>
            <w:tcMar>
              <w:top w:type="dxa" w:w="80"/>
              <w:left w:type="dxa" w:w="100"/>
              <w:bottom w:type="dxa" w:w="80"/>
              <w:right w:type="dxa" w:w="100"/>
            </w:tcMar>
          </w:tcPr>
          <w:p>
            <w:r>
              <w:rPr>
                <w:b w:val="false"/>
                <w:bCs w:val="false"/>
                <w:color w:val="000000"/>
                <w:sz w:val="20"/>
                <w:szCs w:val="20"/>
              </w:rPr>
              <w:t xml:space="preserve">BioLangFusion</w:t>
            </w:r>
          </w:p>
        </w:tc>
        <w:tc>
          <w:tcPr>
            <w:tcW w:type="dxa" w:w="2400"/>
            <w:tcMar>
              <w:top w:type="dxa" w:w="80"/>
              <w:left w:type="dxa" w:w="100"/>
              <w:bottom w:type="dxa" w:w="80"/>
              <w:right w:type="dxa" w:w="100"/>
            </w:tcMar>
          </w:tcPr>
          <w:p>
            <w:r>
              <w:rPr>
                <w:b w:val="false"/>
                <w:bCs w:val="false"/>
                <w:color w:val="000000"/>
                <w:sz w:val="20"/>
                <w:szCs w:val="20"/>
              </w:rPr>
              <w:t xml:space="preserve">Fuse frozen pretrained encoders</w:t>
            </w:r>
          </w:p>
        </w:tc>
        <w:tc>
          <w:tcPr>
            <w:tcW w:type="dxa" w:w="3600"/>
            <w:tcMar>
              <w:top w:type="dxa" w:w="80"/>
              <w:left w:type="dxa" w:w="100"/>
              <w:bottom w:type="dxa" w:w="80"/>
              <w:right w:type="dxa" w:w="100"/>
            </w:tcMar>
          </w:tcPr>
          <w:p>
            <w:r>
              <w:rPr>
                <w:b w:val="false"/>
                <w:bCs w:val="false"/>
                <w:color w:val="000000"/>
                <w:sz w:val="20"/>
                <w:szCs w:val="20"/>
              </w:rPr>
              <w:t xml:space="preserve">Resample all modalities to codon resolution, then concatenation, entropy-regularized attention pooling, or cross-attention</w:t>
            </w:r>
          </w:p>
        </w:tc>
        <w:tc>
          <w:tcPr>
            <w:tcW w:type="dxa" w:w="3000"/>
            <w:tcMar>
              <w:top w:type="dxa" w:w="80"/>
              <w:left w:type="dxa" w:w="100"/>
              <w:bottom w:type="dxa" w:w="80"/>
              <w:right w:type="dxa" w:w="100"/>
            </w:tcMar>
          </w:tcPr>
          <w:p>
            <w:r>
              <w:rPr>
                <w:b w:val="false"/>
                <w:bCs w:val="false"/>
                <w:color w:val="000000"/>
                <w:sz w:val="20"/>
                <w:szCs w:val="20"/>
              </w:rPr>
              <w:t xml:space="preserve">Cheap, modular fusion when sequences are cleanly codon-aligned</w:t>
            </w:r>
          </w:p>
        </w:tc>
      </w:tr>
      <w:tr>
        <w:tc>
          <w:tcPr>
            <w:tcW w:type="dxa" w:w="1800"/>
            <w:tcMar>
              <w:top w:type="dxa" w:w="80"/>
              <w:left w:type="dxa" w:w="100"/>
              <w:bottom w:type="dxa" w:w="80"/>
              <w:right w:type="dxa" w:w="100"/>
            </w:tcMar>
          </w:tcPr>
          <w:p>
            <w:r>
              <w:rPr>
                <w:b w:val="false"/>
                <w:bCs w:val="false"/>
                <w:color w:val="000000"/>
                <w:sz w:val="20"/>
                <w:szCs w:val="20"/>
              </w:rPr>
              <w:t xml:space="preserve">Isoformer</w:t>
            </w:r>
          </w:p>
        </w:tc>
        <w:tc>
          <w:tcPr>
            <w:tcW w:type="dxa" w:w="2400"/>
            <w:tcMar>
              <w:top w:type="dxa" w:w="80"/>
              <w:left w:type="dxa" w:w="100"/>
              <w:bottom w:type="dxa" w:w="80"/>
              <w:right w:type="dxa" w:w="100"/>
            </w:tcMar>
          </w:tcPr>
          <w:p>
            <w:r>
              <w:rPr>
                <w:b w:val="false"/>
                <w:bCs w:val="false"/>
                <w:color w:val="000000"/>
                <w:sz w:val="20"/>
                <w:szCs w:val="20"/>
              </w:rPr>
              <w:t xml:space="preserve">Fuse frozen pretrained encoders</w:t>
            </w:r>
          </w:p>
        </w:tc>
        <w:tc>
          <w:tcPr>
            <w:tcW w:type="dxa" w:w="3600"/>
            <w:tcMar>
              <w:top w:type="dxa" w:w="80"/>
              <w:left w:type="dxa" w:w="100"/>
              <w:bottom w:type="dxa" w:w="80"/>
              <w:right w:type="dxa" w:w="100"/>
            </w:tcMar>
          </w:tcPr>
          <w:p>
            <w:r>
              <w:rPr>
                <w:b w:val="false"/>
                <w:bCs w:val="false"/>
                <w:color w:val="000000"/>
                <w:sz w:val="20"/>
                <w:szCs w:val="20"/>
              </w:rPr>
              <w:t xml:space="preserve">Successive cross-attention with residual connections across DNA, RNA, protein embeddings</w:t>
            </w:r>
          </w:p>
        </w:tc>
        <w:tc>
          <w:tcPr>
            <w:tcW w:type="dxa" w:w="3000"/>
            <w:tcMar>
              <w:top w:type="dxa" w:w="80"/>
              <w:left w:type="dxa" w:w="100"/>
              <w:bottom w:type="dxa" w:w="80"/>
              <w:right w:type="dxa" w:w="100"/>
            </w:tcMar>
          </w:tcPr>
          <w:p>
            <w:r>
              <w:rPr>
                <w:b w:val="false"/>
                <w:bCs w:val="false"/>
                <w:color w:val="000000"/>
                <w:sz w:val="20"/>
                <w:szCs w:val="20"/>
              </w:rPr>
              <w:t xml:space="preserve">Tasks where no single modality is sufficient on its own</w:t>
            </w:r>
          </w:p>
        </w:tc>
      </w:tr>
      <w:tr>
        <w:tc>
          <w:tcPr>
            <w:tcW w:type="dxa" w:w="1800"/>
            <w:tcMar>
              <w:top w:type="dxa" w:w="80"/>
              <w:left w:type="dxa" w:w="100"/>
              <w:bottom w:type="dxa" w:w="80"/>
              <w:right w:type="dxa" w:w="100"/>
            </w:tcMar>
          </w:tcPr>
          <w:p>
            <w:r>
              <w:rPr>
                <w:b w:val="false"/>
                <w:bCs w:val="false"/>
                <w:color w:val="000000"/>
                <w:sz w:val="20"/>
                <w:szCs w:val="20"/>
              </w:rPr>
              <w:t xml:space="preserve">Central Dogma Transformer</w:t>
            </w:r>
          </w:p>
        </w:tc>
        <w:tc>
          <w:tcPr>
            <w:tcW w:type="dxa" w:w="2400"/>
            <w:tcMar>
              <w:top w:type="dxa" w:w="80"/>
              <w:left w:type="dxa" w:w="100"/>
              <w:bottom w:type="dxa" w:w="80"/>
              <w:right w:type="dxa" w:w="100"/>
            </w:tcMar>
          </w:tcPr>
          <w:p>
            <w:r>
              <w:rPr>
                <w:b w:val="false"/>
                <w:bCs w:val="false"/>
                <w:color w:val="000000"/>
                <w:sz w:val="20"/>
                <w:szCs w:val="20"/>
              </w:rPr>
              <w:t xml:space="preserve">Fuse frozen pretrained encoders</w:t>
            </w:r>
          </w:p>
        </w:tc>
        <w:tc>
          <w:tcPr>
            <w:tcW w:type="dxa" w:w="3600"/>
            <w:tcMar>
              <w:top w:type="dxa" w:w="80"/>
              <w:left w:type="dxa" w:w="100"/>
              <w:bottom w:type="dxa" w:w="80"/>
              <w:right w:type="dxa" w:w="100"/>
            </w:tcMar>
          </w:tcPr>
          <w:p>
            <w:r>
              <w:rPr>
                <w:b w:val="false"/>
                <w:bCs w:val="false"/>
                <w:color w:val="000000"/>
                <w:sz w:val="20"/>
                <w:szCs w:val="20"/>
              </w:rPr>
              <w:t xml:space="preserve">One-directional cross-attention (DNA to RNA to protein), mirroring transcription/translation</w:t>
            </w:r>
          </w:p>
        </w:tc>
        <w:tc>
          <w:tcPr>
            <w:tcW w:type="dxa" w:w="3000"/>
            <w:tcMar>
              <w:top w:type="dxa" w:w="80"/>
              <w:left w:type="dxa" w:w="100"/>
              <w:bottom w:type="dxa" w:w="80"/>
              <w:right w:type="dxa" w:w="100"/>
            </w:tcMar>
          </w:tcPr>
          <w:p>
            <w:r>
              <w:rPr>
                <w:b w:val="false"/>
                <w:bCs w:val="false"/>
                <w:color w:val="000000"/>
                <w:sz w:val="20"/>
                <w:szCs w:val="20"/>
              </w:rPr>
              <w:t xml:space="preserve">Cases where interpretability matters as much as accuracy</w:t>
            </w:r>
          </w:p>
        </w:tc>
      </w:tr>
      <w:tr>
        <w:tc>
          <w:tcPr>
            <w:tcW w:type="dxa" w:w="1800"/>
            <w:tcMar>
              <w:top w:type="dxa" w:w="80"/>
              <w:left w:type="dxa" w:w="100"/>
              <w:bottom w:type="dxa" w:w="80"/>
              <w:right w:type="dxa" w:w="100"/>
            </w:tcMar>
          </w:tcPr>
          <w:p>
            <w:r>
              <w:rPr>
                <w:b w:val="false"/>
                <w:bCs w:val="false"/>
                <w:color w:val="000000"/>
                <w:sz w:val="20"/>
                <w:szCs w:val="20"/>
              </w:rPr>
              <w:t xml:space="preserve">LucaOne</w:t>
            </w:r>
          </w:p>
        </w:tc>
        <w:tc>
          <w:tcPr>
            <w:tcW w:type="dxa" w:w="2400"/>
            <w:tcMar>
              <w:top w:type="dxa" w:w="80"/>
              <w:left w:type="dxa" w:w="100"/>
              <w:bottom w:type="dxa" w:w="80"/>
              <w:right w:type="dxa" w:w="100"/>
            </w:tcMar>
          </w:tcPr>
          <w:p>
            <w:r>
              <w:rPr>
                <w:b w:val="false"/>
                <w:bCs w:val="false"/>
                <w:color w:val="000000"/>
                <w:sz w:val="20"/>
                <w:szCs w:val="20"/>
              </w:rPr>
              <w:t xml:space="preserve">Single joint model, trained from scratch</w:t>
            </w:r>
          </w:p>
        </w:tc>
        <w:tc>
          <w:tcPr>
            <w:tcW w:type="dxa" w:w="3600"/>
            <w:tcMar>
              <w:top w:type="dxa" w:w="80"/>
              <w:left w:type="dxa" w:w="100"/>
              <w:bottom w:type="dxa" w:w="80"/>
              <w:right w:type="dxa" w:w="100"/>
            </w:tcMar>
          </w:tcPr>
          <w:p>
            <w:r>
              <w:rPr>
                <w:b w:val="false"/>
                <w:bCs w:val="false"/>
                <w:color w:val="000000"/>
                <w:sz w:val="20"/>
                <w:szCs w:val="20"/>
              </w:rPr>
              <w:t xml:space="preserve">Shared 39-token vocabulary (nucleotides and amino acids) with a token-type embedding; no explicit fusion step</w:t>
            </w:r>
          </w:p>
        </w:tc>
        <w:tc>
          <w:tcPr>
            <w:tcW w:type="dxa" w:w="3000"/>
            <w:tcMar>
              <w:top w:type="dxa" w:w="80"/>
              <w:left w:type="dxa" w:w="100"/>
              <w:bottom w:type="dxa" w:w="80"/>
              <w:right w:type="dxa" w:w="100"/>
            </w:tcMar>
          </w:tcPr>
          <w:p>
            <w:r>
              <w:rPr>
                <w:b w:val="false"/>
                <w:bCs w:val="false"/>
                <w:color w:val="000000"/>
                <w:sz w:val="20"/>
                <w:szCs w:val="20"/>
              </w:rPr>
              <w:t xml:space="preserve">Learning cross-modal structure implicitly, without an alignment scheme</w:t>
            </w:r>
          </w:p>
        </w:tc>
      </w:tr>
      <w:tr>
        <w:tc>
          <w:tcPr>
            <w:tcW w:type="dxa" w:w="1800"/>
            <w:tcMar>
              <w:top w:type="dxa" w:w="80"/>
              <w:left w:type="dxa" w:w="100"/>
              <w:bottom w:type="dxa" w:w="80"/>
              <w:right w:type="dxa" w:w="100"/>
            </w:tcMar>
          </w:tcPr>
          <w:p>
            <w:r>
              <w:rPr>
                <w:b w:val="false"/>
                <w:bCs w:val="false"/>
                <w:color w:val="000000"/>
                <w:sz w:val="20"/>
                <w:szCs w:val="20"/>
              </w:rPr>
              <w:t xml:space="preserve">Coupled Mamba (supplementary)</w:t>
            </w:r>
          </w:p>
        </w:tc>
        <w:tc>
          <w:tcPr>
            <w:tcW w:type="dxa" w:w="2400"/>
            <w:tcMar>
              <w:top w:type="dxa" w:w="80"/>
              <w:left w:type="dxa" w:w="100"/>
              <w:bottom w:type="dxa" w:w="80"/>
              <w:right w:type="dxa" w:w="100"/>
            </w:tcMar>
          </w:tcPr>
          <w:p>
            <w:r>
              <w:rPr>
                <w:b w:val="false"/>
                <w:bCs w:val="false"/>
                <w:color w:val="000000"/>
                <w:sz w:val="20"/>
                <w:szCs w:val="20"/>
              </w:rPr>
              <w:t xml:space="preserve">General-purpose fusion mechanism</w:t>
            </w:r>
          </w:p>
        </w:tc>
        <w:tc>
          <w:tcPr>
            <w:tcW w:type="dxa" w:w="3600"/>
            <w:tcMar>
              <w:top w:type="dxa" w:w="80"/>
              <w:left w:type="dxa" w:w="100"/>
              <w:bottom w:type="dxa" w:w="80"/>
              <w:right w:type="dxa" w:w="100"/>
            </w:tcMar>
          </w:tcPr>
          <w:p>
            <w:r>
              <w:rPr>
                <w:b w:val="false"/>
                <w:bCs w:val="false"/>
                <w:color w:val="000000"/>
                <w:sz w:val="20"/>
                <w:szCs w:val="20"/>
              </w:rPr>
              <w:t xml:space="preserve">State-space model where each modality's hidden state depends on a summation of all modalities' prior states</w:t>
            </w:r>
          </w:p>
        </w:tc>
        <w:tc>
          <w:tcPr>
            <w:tcW w:type="dxa" w:w="3000"/>
            <w:tcMar>
              <w:top w:type="dxa" w:w="80"/>
              <w:left w:type="dxa" w:w="100"/>
              <w:bottom w:type="dxa" w:w="80"/>
              <w:right w:type="dxa" w:w="100"/>
            </w:tcMar>
          </w:tcPr>
          <w:p>
            <w:r>
              <w:rPr>
                <w:b w:val="false"/>
                <w:bCs w:val="false"/>
                <w:color w:val="000000"/>
                <w:sz w:val="20"/>
                <w:szCs w:val="20"/>
              </w:rPr>
              <w:t xml:space="preserve">Fusing modalities not resampled to a shared resolution</w:t>
            </w:r>
          </w:p>
        </w:tc>
      </w:tr>
      <w:tr>
        <w:tc>
          <w:tcPr>
            <w:tcW w:type="dxa" w:w="1800"/>
            <w:tcMar>
              <w:top w:type="dxa" w:w="80"/>
              <w:left w:type="dxa" w:w="100"/>
              <w:bottom w:type="dxa" w:w="80"/>
              <w:right w:type="dxa" w:w="100"/>
            </w:tcMar>
          </w:tcPr>
          <w:p>
            <w:r>
              <w:rPr>
                <w:b w:val="false"/>
                <w:bCs w:val="false"/>
                <w:color w:val="000000"/>
                <w:sz w:val="20"/>
                <w:szCs w:val="20"/>
              </w:rPr>
              <w:t xml:space="preserve">Alignment Theory (ICML 2025)</w:t>
            </w:r>
          </w:p>
        </w:tc>
        <w:tc>
          <w:tcPr>
            <w:tcW w:type="dxa" w:w="2400"/>
            <w:tcMar>
              <w:top w:type="dxa" w:w="80"/>
              <w:left w:type="dxa" w:w="100"/>
              <w:bottom w:type="dxa" w:w="80"/>
              <w:right w:type="dxa" w:w="100"/>
            </w:tcMar>
          </w:tcPr>
          <w:p>
            <w:r>
              <w:rPr>
                <w:b w:val="false"/>
                <w:bCs w:val="false"/>
                <w:color w:val="000000"/>
                <w:sz w:val="20"/>
                <w:szCs w:val="20"/>
              </w:rPr>
              <w:t xml:space="preserve">Empirical analysis, no architecture proposed</w:t>
            </w:r>
          </w:p>
        </w:tc>
        <w:tc>
          <w:tcPr>
            <w:tcW w:type="dxa" w:w="3600"/>
            <w:tcMar>
              <w:top w:type="dxa" w:w="80"/>
              <w:left w:type="dxa" w:w="100"/>
              <w:bottom w:type="dxa" w:w="80"/>
              <w:right w:type="dxa" w:w="100"/>
            </w:tcMar>
          </w:tcPr>
          <w:p>
            <w:r>
              <w:rPr>
                <w:b w:val="false"/>
                <w:bCs w:val="false"/>
                <w:color w:val="000000"/>
                <w:sz w:val="20"/>
                <w:szCs w:val="20"/>
              </w:rPr>
              <w:t xml:space="preserve">Post-hoc CKA / mutual-KNN measurement between independently trained frozen encoders</w:t>
            </w:r>
          </w:p>
        </w:tc>
        <w:tc>
          <w:tcPr>
            <w:tcW w:type="dxa" w:w="3000"/>
            <w:tcMar>
              <w:top w:type="dxa" w:w="80"/>
              <w:left w:type="dxa" w:w="100"/>
              <w:bottom w:type="dxa" w:w="80"/>
              <w:right w:type="dxa" w:w="100"/>
            </w:tcMar>
          </w:tcPr>
          <w:p>
            <w:r>
              <w:rPr>
                <w:b w:val="false"/>
                <w:bCs w:val="false"/>
                <w:color w:val="000000"/>
                <w:sz w:val="20"/>
                <w:szCs w:val="20"/>
              </w:rPr>
              <w:t xml:space="preserve">Deciding whether alignment is worth pursuing at all for a given modality pair</w:t>
            </w:r>
          </w:p>
        </w:tc>
      </w:tr>
    </w:tbl>
    <w:p>
      <w:pPr>
        <w:pStyle w:val="Heading1"/>
        <w:spacing w:after="160" w:before="320"/>
      </w:pPr>
      <w:r>
        <w:rPr>
          <w:b/>
          <w:bCs/>
          <w:color w:val="000000"/>
          <w:sz w:val="30"/>
          <w:szCs w:val="30"/>
        </w:rPr>
        <w:t xml:space="preserve">9. Progress So Far</w:t>
      </w:r>
    </w:p>
    <w:p>
      <w:pPr>
        <w:spacing w:after="160"/>
      </w:pPr>
      <w:r>
        <w:rPr>
          <w:b w:val="false"/>
          <w:bCs w:val="false"/>
          <w:i w:val="false"/>
          <w:iCs w:val="false"/>
          <w:color w:val="000000"/>
          <w:sz w:val="22"/>
          <w:szCs w:val="22"/>
        </w:rPr>
        <w:t xml:space="preserve">This section replaces the earlier "not yet started, no code or experiments run" status. Stage 1 has substantially progressed since that was written.</w:t>
      </w:r>
    </w:p>
    <w:p>
      <w:pPr>
        <w:pStyle w:val="Heading2"/>
        <w:spacing w:after="120" w:before="240"/>
      </w:pPr>
      <w:r>
        <w:rPr>
          <w:b/>
          <w:bCs/>
          <w:color w:val="000000"/>
          <w:sz w:val="25"/>
          <w:szCs w:val="25"/>
        </w:rPr>
        <w:t xml:space="preserve">9.1 What Has Been Built and Run</w:t>
      </w:r>
    </w:p>
    <w:p>
      <w:pPr>
        <w:pStyle w:val="ListParagraph"/>
        <w:numPr>
          <w:ilvl w:val="0"/>
          <w:numId w:val="1"/>
        </w:numPr>
        <w:spacing w:after="80"/>
      </w:pPr>
      <w:r>
        <w:rPr>
          <w:color w:val="000000"/>
          <w:sz w:val="22"/>
          <w:szCs w:val="22"/>
        </w:rPr>
        <w:t xml:space="preserve">A working pilot notebook that loads the mRNA_Stability dataset, filters for valid, in-frame, start-codon sequences, translates each kept sequence to its real protein via the genetic code, and embeds both the RNA (Nucleotide Transformer) and protein (ESM-2) sequences with frozen, off-the-shelf encoders. Of 1,000 sampled sequences, 981 survived the biological validity filter, a 98 percent retention rate.</w:t>
      </w:r>
    </w:p>
    <w:p>
      <w:pPr>
        <w:pStyle w:val="ListParagraph"/>
        <w:numPr>
          <w:ilvl w:val="0"/>
          <w:numId w:val="1"/>
        </w:numPr>
        <w:spacing w:after="80"/>
      </w:pPr>
      <w:r>
        <w:rPr>
          <w:color w:val="000000"/>
          <w:sz w:val="22"/>
          <w:szCs w:val="22"/>
        </w:rPr>
        <w:t xml:space="preserve">A pipeline-correctness control using mRFP_Expression: all 1,000 synonymous-recoding variants translate to one identical protein, exactly as expected; protein embeddings for these variants collapse almost to a single point (average distance to centroid of 0.00003) while RNA embeddings, which see the codon-level differences, spread out clearly (4.72). This confirms the translation, frame-checking, and embedding pipeline behave correctly, and is what makes the results below trustworthy rather than artifacts of a broken pipeline.</w:t>
      </w:r>
    </w:p>
    <w:p>
      <w:pPr>
        <w:pStyle w:val="Heading2"/>
        <w:spacing w:after="120" w:before="240"/>
      </w:pPr>
      <w:r>
        <w:rPr>
          <w:b/>
          <w:bCs/>
          <w:color w:val="000000"/>
          <w:sz w:val="25"/>
          <w:szCs w:val="25"/>
        </w:rPr>
        <w:t xml:space="preserve">9.2 Track B Results (Task-Relevant Decodability)</w:t>
      </w:r>
    </w:p>
    <w:p>
      <w:pPr>
        <w:pStyle w:val="ListParagraph"/>
        <w:numPr>
          <w:ilvl w:val="0"/>
          <w:numId w:val="1"/>
        </w:numPr>
        <w:spacing w:after="80"/>
      </w:pPr>
      <w:r>
        <w:rPr>
          <w:color w:val="000000"/>
          <w:sz w:val="22"/>
          <w:szCs w:val="22"/>
        </w:rPr>
        <w:t xml:space="preserve">Linear probing for mRNA stability: RNA embeddings reach R-squared 0.059 plus or minus 0.007 (5-fold cross-validation), protein embeddings reach R-squared 0.113 plus or minus 0.066. Both are real, positive signal, not zero, though the difference between them is not cleanly significant given protein's wider variability.</w:t>
      </w:r>
    </w:p>
    <w:p>
      <w:pPr>
        <w:pStyle w:val="ListParagraph"/>
        <w:numPr>
          <w:ilvl w:val="0"/>
          <w:numId w:val="1"/>
        </w:numPr>
        <w:spacing w:after="80"/>
      </w:pPr>
      <w:r>
        <w:rPr>
          <w:color w:val="000000"/>
          <w:sz w:val="22"/>
          <w:szCs w:val="22"/>
        </w:rPr>
        <w:t xml:space="preserve">Sequence-length baseline: R-squared 0.007, ruling out the concern that the probe scores above are secretly a length proxy rather than real embedding content.</w:t>
      </w:r>
    </w:p>
    <w:p>
      <w:pPr>
        <w:pStyle w:val="ListParagraph"/>
        <w:numPr>
          <w:ilvl w:val="0"/>
          <w:numId w:val="1"/>
        </w:numPr>
        <w:spacing w:after="80"/>
      </w:pPr>
      <w:r>
        <w:rPr>
          <w:color w:val="000000"/>
          <w:sz w:val="22"/>
          <w:szCs w:val="22"/>
        </w:rPr>
        <w:t xml:space="preserve">GC content probe, a known-property validity check: RNA embeddings recover GC content nearly perfectly (R-squared 0.986), expected since it is a direct compositional property of the sequence. Protein embeddings recover 0.681 of that same signal, a genuinely interesting result attributable to genetic code redundancy: certain amino acids are preferentially encoded by GC-rich versus AT-rich codons, so protein composition carries a real, indirect signature of the source gene's GC content.</w:t>
      </w:r>
    </w:p>
    <w:p>
      <w:pPr>
        <w:pStyle w:val="ListParagraph"/>
        <w:numPr>
          <w:ilvl w:val="0"/>
          <w:numId w:val="1"/>
        </w:numPr>
        <w:spacing w:after="80"/>
      </w:pPr>
      <w:r>
        <w:rPr>
          <w:color w:val="000000"/>
          <w:sz w:val="22"/>
          <w:szCs w:val="22"/>
        </w:rPr>
        <w:t xml:space="preserve">Synergy check: naive concatenation of RNA and protein embeddings scores R-squared 0.115 versus 0.113 for protein alone, a difference entirely within noise. At the level of simple concatenation, there is no measurable synergy, consistent with the beyond-alignment critique's warning that concatenation cannot access synergistic information even if it exists.</w:t>
      </w:r>
    </w:p>
    <w:p>
      <w:pPr>
        <w:pStyle w:val="Heading2"/>
        <w:spacing w:after="120" w:before="240"/>
      </w:pPr>
      <w:r>
        <w:rPr>
          <w:b/>
          <w:bCs/>
          <w:color w:val="000000"/>
          <w:sz w:val="25"/>
          <w:szCs w:val="25"/>
        </w:rPr>
        <w:t xml:space="preserve">9.3 Track A Results (Cross-Modal Comparability)</w:t>
      </w:r>
    </w:p>
    <w:p>
      <w:pPr>
        <w:pStyle w:val="ListParagraph"/>
        <w:numPr>
          <w:ilvl w:val="0"/>
          <w:numId w:val="1"/>
        </w:numPr>
        <w:spacing w:after="80"/>
      </w:pPr>
      <w:r>
        <w:rPr>
          <w:color w:val="000000"/>
          <w:sz w:val="22"/>
          <w:szCs w:val="22"/>
        </w:rPr>
        <w:t xml:space="preserve">Final-layer linear CKA between RNA and protein embeddings: 0.128, indicating the two full embedding spaces are structured quite differently from each other as wholes.</w:t>
      </w:r>
    </w:p>
    <w:p>
      <w:pPr>
        <w:pStyle w:val="ListParagraph"/>
        <w:numPr>
          <w:ilvl w:val="0"/>
          <w:numId w:val="1"/>
        </w:numPr>
        <w:spacing w:after="80"/>
      </w:pPr>
      <w:r>
        <w:rPr>
          <w:color w:val="000000"/>
          <w:sz w:val="22"/>
          <w:szCs w:val="22"/>
        </w:rPr>
        <w:t xml:space="preserve">Layer-wise CKA, extending the single final-layer number across every internal layer of both encoders (25 hidden-state outputs for the 24-layer RNA encoder, 13 for the 12-layer protein encoder): the overall peak is 0.400, at RNA layer 16 against protein layer 0, the protein encoder's embedding layer, before self-attention has mixed in any context. Restricting to protein's contextualized layers only, the peak drops to 0.359, at RNA layer 0 against protein layer 1. Both of the strongest alignment points in the matrix involve one encoder sitting at or immediately next to its own embedding layer, which is consistent with the GC content probe result: a compositional signal on each side, tied to genetic code redundancy, looks like the more likely driver of most of the measured cross-modal alignment here, rather than deep functional overlap between the two encoders' learned representations. This tempers, without undoing, the case for fusion: the shared structure looks real but more modest than deep semantic convergence.</w:t>
      </w:r>
    </w:p>
    <w:p>
      <w:pPr>
        <w:pStyle w:val="ListParagraph"/>
        <w:numPr>
          <w:ilvl w:val="0"/>
          <w:numId w:val="1"/>
        </w:numPr>
        <w:spacing w:after="80"/>
      </w:pPr>
      <w:r>
        <w:rPr>
          <w:color w:val="000000"/>
          <w:sz w:val="22"/>
          <w:szCs w:val="22"/>
        </w:rPr>
        <w:t xml:space="preserve">Mutual k-nearest-neighbor alignment (k=10): 0.070, against a chance level of roughly 0.010, about seven times above random, corroborating CKA's read of modest but real global alignment.</w:t>
      </w:r>
    </w:p>
    <w:p>
      <w:pPr>
        <w:pStyle w:val="ListParagraph"/>
        <w:numPr>
          <w:ilvl w:val="0"/>
          <w:numId w:val="1"/>
        </w:numPr>
        <w:spacing w:after="80"/>
      </w:pPr>
      <w:r>
        <w:rPr>
          <w:color w:val="000000"/>
          <w:sz w:val="22"/>
          <w:szCs w:val="22"/>
        </w:rPr>
        <w:t xml:space="preserve">CCA (PCA-reduced to 50 dimensions per modality, then 10 canonical components, evaluated on a held-out 30 percent test split): canonical correlations reach as high as 0.955 in the top component. Cross-modal retrieval built on that learned subspace finds the correct matching protein embedding as the top candidate 36.6 percent of the time (chance: 0.3 percent), 61.4 percent within the top 5, and 75.9 percent within the top 10.</w:t>
      </w:r>
    </w:p>
    <w:p>
      <w:pPr>
        <w:pStyle w:val="ListParagraph"/>
        <w:numPr>
          <w:ilvl w:val="0"/>
          <w:numId w:val="1"/>
        </w:numPr>
        <w:spacing w:after="80"/>
      </w:pPr>
      <w:r>
        <w:rPr>
          <w:color w:val="000000"/>
          <w:sz w:val="22"/>
          <w:szCs w:val="22"/>
        </w:rPr>
        <w:t xml:space="preserve">Reading Track A together: CKA and mutual-KNN say the two full spaces mostly disagree; CCA and retrieval say a specific, strong, learnable shared subspace exists within them, plausibly the same compositional signal the GC content and layer-wise CKA results point to. This is the strongest evidence so far for why a trained fusion mechanism, rather than naive concatenation, is worth building: real cross-modal structure exists, but it is not accessible without a method that can learn where to look for it.</w:t>
      </w:r>
    </w:p>
    <w:p>
      <w:pPr>
        <w:pStyle w:val="ListParagraph"/>
        <w:numPr>
          <w:ilvl w:val="0"/>
          <w:numId w:val="1"/>
        </w:numPr>
        <w:spacing w:after="80"/>
      </w:pPr>
      <w:r>
        <w:rPr>
          <w:color w:val="000000"/>
          <w:sz w:val="22"/>
          <w:szCs w:val="22"/>
        </w:rPr>
        <w:t xml:space="preserve">UMAP: both RNA and protein embeddings show one large main cluster plus a small separate subgroup. Two independently trained encoders isolating a similar small subgroup is unlikely to be coincidental and may reflect a species subpopulation within this multi-species dataset; worth checking against the dataset's species information if time allows. Illustrative, not evidence on its own.</w:t>
      </w:r>
    </w:p>
    <w:p>
      <w:pPr>
        <w:pStyle w:val="Heading2"/>
        <w:spacing w:after="120" w:before="240"/>
      </w:pPr>
      <w:r>
        <w:rPr>
          <w:b/>
          <w:bCs/>
          <w:color w:val="000000"/>
          <w:sz w:val="25"/>
          <w:szCs w:val="25"/>
        </w:rPr>
        <w:t xml:space="preserve">9.4 Track C (Biological Validation)</w:t>
      </w:r>
    </w:p>
    <w:p>
      <w:pPr>
        <w:spacing w:after="160"/>
      </w:pPr>
      <w:r>
        <w:rPr>
          <w:b w:val="false"/>
          <w:bCs w:val="false"/>
          <w:i w:val="false"/>
          <w:iCs w:val="false"/>
          <w:color w:val="000000"/>
          <w:sz w:val="22"/>
          <w:szCs w:val="22"/>
        </w:rPr>
        <w:t xml:space="preserve">Not yet implemented. DNABERT-viz's Figure 4 approach, attention-map visualization plus PWM and JASPAR motif matching, has been read and understood, and attention weight extraction (mirroring the layer-wise CKA extraction pattern already built) is designed as the next concrete step. This remains reading-only for the current meeting, which is a reasonable place to be honest about rather than implying it is further along.</w:t>
      </w:r>
    </w:p>
    <w:p>
      <w:pPr>
        <w:pStyle w:val="Heading2"/>
        <w:spacing w:after="120" w:before="240"/>
      </w:pPr>
      <w:r>
        <w:rPr>
          <w:b/>
          <w:bCs/>
          <w:color w:val="000000"/>
          <w:sz w:val="25"/>
          <w:szCs w:val="25"/>
        </w:rPr>
        <w:t xml:space="preserve">9.5 Toolkit and Literature Status</w:t>
      </w:r>
    </w:p>
    <w:p>
      <w:pPr>
        <w:pStyle w:val="ListParagraph"/>
        <w:numPr>
          <w:ilvl w:val="0"/>
          <w:numId w:val="1"/>
        </w:numPr>
        <w:spacing w:after="80"/>
      </w:pPr>
      <w:r>
        <w:rPr>
          <w:color w:val="000000"/>
          <w:sz w:val="22"/>
          <w:szCs w:val="22"/>
        </w:rPr>
        <w:t xml:space="preserve">Papers reviewed with full standalone reviews: BioLangFusion, Isoformer, Central Dogma Transformer, LucaOne, Coupled Mamba, and the alignment theory paper (ICML 2025).</w:t>
      </w:r>
    </w:p>
    <w:p>
      <w:pPr>
        <w:pStyle w:val="ListParagraph"/>
        <w:numPr>
          <w:ilvl w:val="0"/>
          <w:numId w:val="1"/>
        </w:numPr>
        <w:spacing w:after="80"/>
      </w:pPr>
      <w:r>
        <w:rPr>
          <w:color w:val="000000"/>
          <w:sz w:val="22"/>
          <w:szCs w:val="22"/>
        </w:rPr>
        <w:t xml:space="preserve">Additional literature surveyed at a lighter level: CDT-II, CDT-III, Life-Code, CAPTAIN, the beyond-alignment / Synergistic Information Score critique, the dependency-compression-synergy preprint, CrossLLM-Mamba, Mamba-3, the DNA-protein Perceiver paper, and DNABERT-viz.</w:t>
      </w:r>
    </w:p>
    <w:p>
      <w:pPr>
        <w:pStyle w:val="ListParagraph"/>
        <w:numPr>
          <w:ilvl w:val="0"/>
          <w:numId w:val="1"/>
        </w:numPr>
        <w:spacing w:after="80"/>
      </w:pPr>
      <w:r>
        <w:rPr>
          <w:color w:val="000000"/>
          <w:sz w:val="22"/>
          <w:szCs w:val="22"/>
        </w:rPr>
        <w:t xml:space="preserve">Toolkit implemented and run: linear probing (RidgeCV, 5-fold cross-validation), CKA (final-layer and full layer-wise breakdown), mutual k-NN alignment, CCA with held-out cross-modal retrieval, UMAP, a GC content validity probe, a sequence-length confound check, a synergy check, and a full pipeline-correctness control dataset.</w:t>
      </w:r>
    </w:p>
    <w:p>
      <w:pPr>
        <w:pStyle w:val="ListParagraph"/>
        <w:numPr>
          <w:ilvl w:val="0"/>
          <w:numId w:val="1"/>
        </w:numPr>
        <w:spacing w:after="80"/>
      </w:pPr>
      <w:r>
        <w:rPr>
          <w:color w:val="000000"/>
          <w:sz w:val="22"/>
          <w:szCs w:val="22"/>
        </w:rPr>
        <w:t xml:space="preserve">Toolkit designed but not yet implemented: the alignment-performance slope diagnostic from the ICML 2025 paper, attention visualization plus PWM/JASPAR motif matching (Track C), codon usage bias and secondary structure probes, and RSA as a fourth alignment metric.</w:t>
      </w:r>
    </w:p>
    <w:p>
      <w:pPr>
        <w:pStyle w:val="Heading2"/>
        <w:spacing w:after="120" w:before="240"/>
      </w:pPr>
      <w:r>
        <w:rPr>
          <w:b/>
          <w:bCs/>
          <w:color w:val="000000"/>
          <w:sz w:val="25"/>
          <w:szCs w:val="25"/>
        </w:rPr>
        <w:t xml:space="preserve">9.6 Honest Summary for Wednesday</w:t>
      </w:r>
    </w:p>
    <w:p>
      <w:pPr>
        <w:spacing w:after="160"/>
      </w:pPr>
      <w:r>
        <w:rPr>
          <w:b w:val="false"/>
          <w:bCs w:val="false"/>
          <w:i w:val="false"/>
          <w:iCs w:val="false"/>
          <w:color w:val="000000"/>
          <w:sz w:val="22"/>
          <w:szCs w:val="22"/>
        </w:rPr>
        <w:t xml:space="preserve">Frozen RNA and protein embeddings each carry real, modest, non-length-driven signal about mRNA stability. The pipeline itself is verified correct via the synonymous-recoding control. The two embedding spaces mostly disagree as whole spaces (CKA, mutual-KNN) but share one specific strong subspace (CCA, retrieval), and layer-wise analysis suggests that shared subspace is likely driven by a compositional, genetic-code-linked signal rather than deep functional overlap. Naive fusion does not exploit that shared subspace, but a properly designed fusion mechanism plausibly could. This is a substantially completed, honestly interpreted Stage 1, not a preliminary pass, and it already goes beyond the original minimum bar of one probe, one CKA score, and one UMAP plot.</w:t>
      </w:r>
    </w:p>
    <w:p>
      <w:pPr>
        <w:pStyle w:val="Heading1"/>
        <w:spacing w:after="160" w:before="320"/>
      </w:pPr>
      <w:r>
        <w:rPr>
          <w:b/>
          <w:bCs/>
          <w:color w:val="000000"/>
          <w:sz w:val="30"/>
          <w:szCs w:val="30"/>
        </w:rPr>
        <w:t xml:space="preserve">10. Open Questions for Wednesday</w:t>
      </w:r>
    </w:p>
    <w:p>
      <w:pPr>
        <w:pStyle w:val="ListParagraph"/>
        <w:numPr>
          <w:ilvl w:val="0"/>
          <w:numId w:val="1"/>
        </w:numPr>
        <w:spacing w:after="80"/>
      </w:pPr>
      <w:r>
        <w:rPr>
          <w:color w:val="000000"/>
          <w:sz w:val="22"/>
          <w:szCs w:val="22"/>
        </w:rPr>
        <w:t xml:space="preserve">Whether the codon-level positional alignment in BioLangFusion is a limitation to design around, or whether Mina already has a learned or contrastive alignment approach in mind.</w:t>
      </w:r>
    </w:p>
    <w:p>
      <w:pPr>
        <w:pStyle w:val="ListParagraph"/>
        <w:numPr>
          <w:ilvl w:val="0"/>
          <w:numId w:val="1"/>
        </w:numPr>
        <w:spacing w:after="80"/>
      </w:pPr>
      <w:r>
        <w:rPr>
          <w:color w:val="000000"/>
          <w:sz w:val="22"/>
          <w:szCs w:val="22"/>
        </w:rPr>
        <w:t xml:space="preserve">Whether the project leans toward reusing frozen pretrained encoders (BioLangFusion / Isoformer style) or joint training from scratch (LucaOne style).</w:t>
      </w:r>
    </w:p>
    <w:p>
      <w:pPr>
        <w:pStyle w:val="ListParagraph"/>
        <w:numPr>
          <w:ilvl w:val="0"/>
          <w:numId w:val="1"/>
        </w:numPr>
        <w:spacing w:after="80"/>
      </w:pPr>
      <w:r>
        <w:rPr>
          <w:color w:val="000000"/>
          <w:sz w:val="22"/>
          <w:szCs w:val="22"/>
        </w:rPr>
        <w:t xml:space="preserve">How much interpretability, versus raw performance, should matter as a project goal.</w:t>
      </w:r>
    </w:p>
    <w:p>
      <w:pPr>
        <w:pStyle w:val="ListParagraph"/>
        <w:numPr>
          <w:ilvl w:val="0"/>
          <w:numId w:val="1"/>
        </w:numPr>
        <w:spacing w:after="80"/>
      </w:pPr>
      <w:r>
        <w:rPr>
          <w:color w:val="000000"/>
          <w:sz w:val="22"/>
          <w:szCs w:val="22"/>
        </w:rPr>
        <w:t xml:space="preserve">Whether Coupled Mamba is a serious architecture candidate to prototype or a pointer to alignment-free fusion generally, and whether Cross-Mamba or Mamba-3 are worth adding as fallback options.</w:t>
      </w:r>
    </w:p>
    <w:p>
      <w:pPr>
        <w:pStyle w:val="ListParagraph"/>
        <w:numPr>
          <w:ilvl w:val="0"/>
          <w:numId w:val="1"/>
        </w:numPr>
        <w:spacing w:after="80"/>
      </w:pPr>
      <w:r>
        <w:rPr>
          <w:color w:val="000000"/>
          <w:sz w:val="22"/>
          <w:szCs w:val="22"/>
        </w:rPr>
        <w:t xml:space="preserve">Whether this project is meant to stay separate from the RNA tokenization project with Jahid and Zeynep, or feed into it later.</w:t>
      </w:r>
    </w:p>
    <w:p>
      <w:pPr>
        <w:pStyle w:val="ListParagraph"/>
        <w:numPr>
          <w:ilvl w:val="0"/>
          <w:numId w:val="1"/>
        </w:numPr>
        <w:spacing w:after="80"/>
      </w:pPr>
      <w:r>
        <w:rPr>
          <w:color w:val="000000"/>
          <w:sz w:val="22"/>
          <w:szCs w:val="22"/>
        </w:rPr>
        <w:t xml:space="preserve">What counts as a "biologically meaningful" pattern when interpreting probing, CKA, or UMAP results, and whether specific known signals (codon usage, GC content, structural motifs) are worth checking against first, given that the GC content and layer-wise CKA results already point toward a compositional explanation.</w:t>
      </w:r>
    </w:p>
    <w:p>
      <w:pPr>
        <w:pStyle w:val="ListParagraph"/>
        <w:numPr>
          <w:ilvl w:val="0"/>
          <w:numId w:val="1"/>
        </w:numPr>
        <w:spacing w:after="80"/>
      </w:pPr>
      <w:r>
        <w:rPr>
          <w:color w:val="000000"/>
          <w:sz w:val="22"/>
          <w:szCs w:val="22"/>
        </w:rPr>
        <w:t xml:space="preserve">What Mina's own lab alignment study looks like, and whether this analysis should feed into it or run as a separate check.</w:t>
      </w:r>
    </w:p>
    <w:p>
      <w:pPr>
        <w:pStyle w:val="ListParagraph"/>
        <w:numPr>
          <w:ilvl w:val="0"/>
          <w:numId w:val="1"/>
        </w:numPr>
        <w:spacing w:after="80"/>
      </w:pPr>
      <w:r>
        <w:rPr>
          <w:color w:val="000000"/>
          <w:sz w:val="22"/>
          <w:szCs w:val="22"/>
        </w:rPr>
        <w:t xml:space="preserve">Whether the synergy check should be a formal Stage 1 deliverable alongside CKA and mutual-KNN, given the results already computed, or whether alignment metrics alone are considered sufficient.</w:t>
      </w:r>
    </w:p>
    <w:p>
      <w:pPr>
        <w:pStyle w:val="ListParagraph"/>
        <w:numPr>
          <w:ilvl w:val="0"/>
          <w:numId w:val="1"/>
        </w:numPr>
        <w:spacing w:after="80"/>
      </w:pPr>
      <w:r>
        <w:rPr>
          <w:color w:val="000000"/>
          <w:sz w:val="22"/>
          <w:szCs w:val="22"/>
        </w:rPr>
        <w:t xml:space="preserve">Given Central Dogma Transformer's sequel finding that RNA and protein changes often move in opposite directions, should Stage 2 plan from the start for asymmetric, per-pair alignment decisions rather than one method applied uniformly.</w:t>
      </w:r>
    </w:p>
    <w:p>
      <w:pPr>
        <w:pStyle w:val="ListParagraph"/>
        <w:numPr>
          <w:ilvl w:val="0"/>
          <w:numId w:val="1"/>
        </w:numPr>
        <w:spacing w:after="80"/>
      </w:pPr>
      <w:r>
        <w:rPr>
          <w:color w:val="000000"/>
          <w:sz w:val="22"/>
          <w:szCs w:val="22"/>
        </w:rPr>
        <w:t xml:space="preserve">Does the mRNA-stability task become the confirmed Stage 4 benchmark, or is it one of several candidates? The DNA-optional scoping (Section 4) has been necessary given the dataset's missing gene and transcript IDs; worth confirming this is an acceptable path forward rather than a gap.</w:t>
      </w:r>
    </w:p>
    <w:p>
      <w:pPr>
        <w:pStyle w:val="ListParagraph"/>
        <w:numPr>
          <w:ilvl w:val="0"/>
          <w:numId w:val="1"/>
        </w:numPr>
        <w:spacing w:after="80"/>
      </w:pPr>
      <w:r>
        <w:rPr>
          <w:color w:val="000000"/>
          <w:sz w:val="22"/>
          <w:szCs w:val="22"/>
        </w:rPr>
        <w:t xml:space="preserve">Should the alignment-performance slope diagnostic from the ICML 2025 paper be added as a formal Stage 1 deliverable, computed on the existing probe results, before Stage 2 decisions are finalized?</w:t>
      </w:r>
    </w:p>
    <w:p>
      <w:pPr>
        <w:pStyle w:val="ListParagraph"/>
        <w:numPr>
          <w:ilvl w:val="0"/>
          <w:numId w:val="1"/>
        </w:numPr>
        <w:spacing w:after="80"/>
      </w:pPr>
      <w:r>
        <w:rPr>
          <w:color w:val="000000"/>
          <w:sz w:val="22"/>
          <w:szCs w:val="22"/>
        </w:rPr>
        <w:t xml:space="preserve">Should DNABERT-viz's attention-visualization and motif-matching code be adapted directly as a starting point for Track C, or reimplemented against the project's own encoders from scratch?</w:t>
      </w:r>
    </w:p>
    <w:p>
      <w:pPr>
        <w:pStyle w:val="ListParagraph"/>
        <w:numPr>
          <w:ilvl w:val="0"/>
          <w:numId w:val="1"/>
        </w:numPr>
        <w:spacing w:after="80"/>
      </w:pPr>
      <w:r>
        <w:rPr>
          <w:color w:val="000000"/>
          <w:sz w:val="22"/>
          <w:szCs w:val="22"/>
        </w:rPr>
        <w:t xml:space="preserve">Who else is joining the Wednesday meeting, referenced as "both of you" in Mina's earlier 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2026-09-20T04:07:14.089Z</dcterms:created>
  <dcterms:modified xsi:type="dcterms:W3CDTF">2026-09-20T04:07:14.098Z</dcterms:modified>
</cp:coreProperties>
</file>

<file path=docProps/custom.xml><?xml version="1.0" encoding="utf-8"?>
<Properties xmlns="http://schemas.openxmlformats.org/officeDocument/2006/custom-properties" xmlns:vt="http://schemas.openxmlformats.org/officeDocument/2006/docPropsVTypes"/>
</file>