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Multimodal Biology</w:t>
      </w:r>
    </w:p>
    <w:p>
      <w:pPr>
        <w:spacing w:after="80"/>
        <w:jc w:val="center"/>
      </w:pPr>
      <w:r>
        <w:rPr>
          <w:sz w:val="28"/>
          <w:szCs w:val="28"/>
        </w:rPr>
        <w:t xml:space="preserve">Shared Project Notes</w:t>
      </w:r>
    </w:p>
    <w:p>
      <w:pPr>
        <w:spacing w:after="320"/>
        <w:jc w:val="center"/>
      </w:pPr>
      <w:r>
        <w:rPr>
          <w:sz w:val="22"/>
          <w:szCs w:val="22"/>
        </w:rPr>
        <w:t xml:space="preserve">Complex Adaptive Systems Laboratory, University of Central Florida</w:t>
      </w:r>
    </w:p>
    <w:p>
      <w:pPr>
        <w:pStyle w:val="Heading1"/>
      </w:pPr>
      <w:r>
        <w:t xml:space="preserve">About These Notes</w:t>
      </w:r>
    </w:p>
    <w:p>
      <w:pPr>
        <w:spacing w:after="160"/>
      </w:pPr>
      <w:r>
        <w:t xml:space="preserve">These notes bring the project's goal, research framing, literature, methods, current results, and next steps together in one place, so that everyone working on the project can follow the reasoning behind each decision without needing earlier conversations.</w:t>
      </w:r>
    </w:p>
    <w:p>
      <w:pPr>
        <w:pStyle w:val="ListParagraph"/>
        <w:numPr>
          <w:ilvl w:val="0"/>
          <w:numId w:val="2"/>
        </w:numPr>
        <w:spacing w:after="100"/>
      </w:pPr>
      <w:r>
        <w:rPr>
          <w:b/>
          <w:bCs/>
        </w:rPr>
        <w:t xml:space="preserve">Team:</w:t>
      </w:r>
      <w:r>
        <w:t xml:space="preserve"> Julian McKinley and Chase Di Maria Breisinger, advised by Mina Basirat.</w:t>
      </w:r>
    </w:p>
    <w:p>
      <w:pPr>
        <w:pStyle w:val="ListParagraph"/>
        <w:numPr>
          <w:ilvl w:val="0"/>
          <w:numId w:val="2"/>
        </w:numPr>
        <w:spacing w:after="100"/>
      </w:pPr>
      <w:r>
        <w:rPr>
          <w:b/>
          <w:bCs/>
        </w:rPr>
        <w:t xml:space="preserve">Source of results:</w:t>
      </w:r>
      <w:r>
        <w:t xml:space="preserve"> every Stage 1 number reported here comes from the saved outputs of Code/Stage1_refactor.ipynb in the project repository (multimodal-bio-fusion on GitHub).</w:t>
      </w:r>
    </w:p>
    <w:p>
      <w:pPr>
        <w:pStyle w:val="ListParagraph"/>
        <w:numPr>
          <w:ilvl w:val="0"/>
          <w:numId w:val="2"/>
        </w:numPr>
        <w:spacing w:after="100"/>
      </w:pPr>
      <w:r>
        <w:rPr>
          <w:b/>
          <w:bCs/>
        </w:rPr>
        <w:t xml:space="preserve">Manuscript:</w:t>
      </w:r>
      <w:r>
        <w:t xml:space="preserve"> the project paper is written in the Overleaf project “Multimodal Biology” at https://www.overleaf.com/project/6ab8535fb63c8540bed7e56f, which also records the Stage 1 methods and what each metric means.</w:t>
      </w:r>
    </w:p>
    <w:p>
      <w:pPr>
        <w:pStyle w:val="ListParagraph"/>
        <w:numPr>
          <w:ilvl w:val="0"/>
          <w:numId w:val="2"/>
        </w:numPr>
        <w:spacing w:after="100"/>
      </w:pPr>
      <w:r>
        <w:rPr>
          <w:b/>
          <w:bCs/>
        </w:rPr>
        <w:t xml:space="preserve">Related material:</w:t>
      </w:r>
      <w:r>
        <w:t xml:space="preserve"> individual paper reviews are in Reviews/, reference papers in Papers/, and the repository README and docs/ folder cover setup, data, and navigation.</w:t>
      </w:r>
    </w:p>
    <w:p>
      <w:pPr>
        <w:pStyle w:val="Heading1"/>
      </w:pPr>
      <w:r>
        <w:t xml:space="preserve">Summary</w:t>
      </w:r>
    </w:p>
    <w:p>
      <w:pPr>
        <w:pStyle w:val="Heading2"/>
      </w:pPr>
      <w:r>
        <w:t xml:space="preserve">Where the Project Stands</w:t>
      </w:r>
    </w:p>
    <w:p>
      <w:pPr>
        <w:spacing w:after="160"/>
      </w:pPr>
      <w:r>
        <w:t>Stage 1 (Representation Analysis) is complete for one frozen encoder per modality: Nucleotide Transformer 500M human-ref reads each coding sequence in DNA letters, RNA-FM reads it in RNA letters, and ESM-2 35M reads its translation. The next step adds more than one model per modality and compares against BioLangFusion and IsoFormer on the same inputs (Sections 4 and 10). Stage 2 (Define Alignment) follows.</w:t>
      </w:r>
    </w:p>
    <w:p>
      <w:pPr>
        <w:pStyle w:val="Heading2"/>
      </w:pPr>
      <w:r>
        <w:t xml:space="preserve">Main Stage 1 Findings</w:t>
      </w:r>
    </w:p>
    <w:p>
      <w:pPr>
        <w:pStyle w:val="ListParagraph"/>
        <w:numPr>
          <w:ilvl w:val="0"/>
          <w:numId w:val="2"/>
        </w:numPr>
        <w:spacing w:after="100"/>
      </w:pPr>
      <w:r>
        <w:t>Frozen protein embeddings carry a modest but reliable linear signal about mRNA stability (R² = 0.103). The DNA (0.015) and RNA (0.028) embeddings show no reliable linear signal; their fold standard deviations exceed their means.</w:t>
      </w:r>
    </w:p>
    <w:p>
      <w:pPr>
        <w:pStyle w:val="ListParagraph"/>
        <w:numPr>
          <w:ilvl w:val="0"/>
          <w:numId w:val="2"/>
        </w:numPr>
        <w:spacing w:after="100"/>
      </w:pPr>
      <w:r>
        <w:t>The DNA and RNA embeddings agree most with each other (final-layer CKA 0.530), and both agree less with protein (0.128 and 0.199). After fitting linear projections, each modality still finds its matched partner far above chance (CCA Recall@1 0.549, 0.366, and 0.224 against 0.0034). Removing letter, codon, and amino-acid composition cuts CKA by 72% to 81% and Recall@1 to between 0.02 and 0.11, so most cross-modal agreement is compositional.</w:t>
      </w:r>
    </w:p>
    <w:p>
      <w:pPr>
        <w:pStyle w:val="ListParagraph"/>
        <w:numPr>
          <w:ilvl w:val="0"/>
          <w:numId w:val="2"/>
        </w:numPr>
        <w:spacing w:after="100"/>
      </w:pPr>
      <w:r>
        <w:t>Simple linear concatenation shows no synergy: the best combination (RNA plus protein) reaches R² 0.103, the same as protein alone, and all three modalities together reach 0.098.</w:t>
      </w:r>
    </w:p>
    <w:p>
      <w:pPr>
        <w:pStyle w:val="ListParagraph"/>
        <w:numPr>
          <w:ilvl w:val="0"/>
          <w:numId w:val="2"/>
        </w:numPr>
        <w:spacing w:after="100"/>
      </w:pPr>
      <w:r>
        <w:t>Neither the DNA nor the RNA encoder's final-layer attention concentrates at known mRNA stability motifs (AU-rich elements and m6A sites) within coding sequence.</w:t>
      </w:r>
    </w:p>
    <w:p>
      <w:pPr>
        <w:pStyle w:val="Heading2"/>
      </w:pPr>
      <w:r>
        <w:t xml:space="preserve">Proposed Alignment Reading</w:t>
      </w:r>
    </w:p>
    <w:p>
      <w:pPr>
        <w:spacing w:after="160"/>
      </w:pPr>
      <w:r>
        <w:t>Mapped onto the alignment theory framework (Section 3.2), these results point to the "low alignment, high uniqueness" branch for the pairs involving protein: the modalities agree weakly, and most of that agreement is reproduced by sequence composition alone. The DNA and RNA encoders are more aligned, as expected for two models reading the same letters, but their agreement is also mostly compositional. Synergy is not demonstrated by linear concatenation and remains untested until Stage 3's fusion models. The implied Stage 2 direction is to skip an explicit alignment loss and let the fusion architecture learn any useful interaction during training. This is a proposed interpretation of the evidence, not yet a confirmed conclusion.</w:t>
      </w:r>
    </w:p>
    <w:p>
      <w:pPr>
        <w:pStyle w:val="Heading2"/>
      </w:pPr>
      <w:r>
        <w:t xml:space="preserve">Fusion Architecture Priorities</w:t>
      </w:r>
    </w:p>
    <w:p>
      <w:pPr>
        <w:spacing w:after="160"/>
      </w:pPr>
      <w:r>
        <w:t xml:space="preserve">Coupled Mamba's first priority was agreed at the September 23, 2026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Priority</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Architecture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1</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2</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Isoformer-style cross-attention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Baseline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Concatenation plus an MLP head; every candidate must beat it</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Fallbacks</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Cross-Mamba / BiMamba interaction module; mixture-of-experts fusion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Upgrade path</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Mamba-3, if Coupled Mamba's specific implementation, rather than the coupling idea, is the bottleneck</w:t>
            </w:r>
          </w:p>
        </w:tc>
      </w:tr>
    </w:tbl>
    <w:p>
      <w:pPr>
        <w:spacing w:after="120"/>
      </w:pPr>
    </w:p>
    <w:p>
      <w:pPr>
        <w:pStyle w:val="Heading1"/>
      </w:pPr>
      <w:r>
        <w:t xml:space="preserve">1. Project Context and Goal</w:t>
      </w:r>
    </w:p>
    <w:p>
      <w:pPr>
        <w:spacing w:after="160"/>
      </w:pPr>
      <w:r>
        <w:t>Living things run on connected layers of information: DNA holds the instructions, RNA is the working copy of those instructions, and protein is what actually carries out the work in the cell. Each layer is read today by separately trained foundation models even though the layers are directly, causally linked. The project goal, set with Mina Basirat, is to fuse several separately pretrained DNA, RNA, and protein foundation models, with more than one model per modality, and to test when combining them captures real biological signal that no single model sees, versus adding complexity for no real benefit. Stage 1 so far compared two encoders: Nucleotide Transformer, a DNA-pretrained model reading the coding sequence, and ESM-2 for protein. Section 4 explains how the DNA modality enters with the current data.</w:t>
      </w:r>
    </w:p>
    <w:p>
      <w:pPr>
        <w:spacing w:after="160"/>
      </w:pPr>
      <w:r>
        <w:t xml:space="preserve">The goal splits into two pieces: </w:t>
      </w:r>
      <w:r>
        <w:rPr>
          <w:b/>
          <w:bCs/>
        </w:rPr>
        <w:t xml:space="preserve">fusion</w:t>
      </w:r>
      <w:r>
        <w:t xml:space="preserve">, how the modalities actually get combined, and </w:t>
      </w:r>
      <w:r>
        <w:rPr>
          <w:b/>
          <w:bCs/>
        </w:rPr>
        <w:t xml:space="preserve">alignment</w:t>
      </w:r>
      <w:r>
        <w:t xml:space="preserve">, what has to be true about their representations before they can be combined at all. The four-stage pipeline (Section 3) is built to answer both rigorously: first check what is already related between the models, then decide how to connect them, then actually connect them, then test whether the connected version does something a single model could not.</w:t>
      </w:r>
    </w:p>
    <w:p>
      <w:pPr>
        <w:pStyle w:val="Heading2"/>
      </w:pPr>
      <w:r>
        <w:t xml:space="preserve">Why This Project, Given Work Like BioLangFusion Already Exists</w:t>
      </w:r>
    </w:p>
    <w:p>
      <w:pPr>
        <w:spacing w:after="160"/>
      </w:pPr>
      <w:r>
        <w:t xml:space="preserve">BioLangFusion shows that combining existing DNA, RNA, and protein models can help on certain tasks. That is useful, but it does not explain when fusion helps, why it helps, or whether an improvement reflects real biological synergy versus the model reshuffling information it already had in redundant form. This project targets that gap directly, using the alignment theory framework from recent multimodal research, plus a newer critique of that framework showing that common alignment metrics can miss real nonlinear synergy entirely.</w:t>
      </w:r>
    </w:p>
    <w:p>
      <w:pPr>
        <w:spacing w:after="160"/>
      </w:pPr>
      <w:r>
        <w:t xml:space="preserve">The contribution is not a better fusion model than BioLangFusion. It is a principled method for deciding whether and how fusion should be done for a given multimodal biological sequence task, and for reporting honestly when the answer is that fusion adds little.</w:t>
      </w:r>
    </w:p>
    <w:p>
      <w:pPr>
        <w:pStyle w:val="Heading2"/>
      </w:pPr>
      <w:r>
        <w:t xml:space="preserve">Landscape of the Core Literature</w:t>
      </w:r>
    </w:p>
    <w:p>
      <w:pPr>
        <w:spacing w:after="160"/>
      </w:pPr>
      <w:r>
        <w:t xml:space="preserve">Five papers plus one general-purpose fusion mechanism make up the core reading; individual reviews of each are in Reviews/Julian/, so only the landscape is summarized here. Two broad strategies show up across the papers.</w:t>
      </w:r>
    </w:p>
    <w:p>
      <w:pPr>
        <w:pStyle w:val="ListParagraph"/>
        <w:numPr>
          <w:ilvl w:val="0"/>
          <w:numId w:val="2"/>
        </w:numPr>
        <w:spacing w:after="100"/>
      </w:pPr>
      <w:r>
        <w:rPr>
          <w:b/>
          <w:bCs/>
        </w:rPr>
        <w:t xml:space="preserve">Fuse frozen encoders.</w:t>
      </w:r>
      <w:r>
        <w:t xml:space="preserve"> Keep existing single-modality models frozen and add a lightweight fusion module on top (BioLangFusion, Isoformer, Central Dogma Transformer). This is cheap and reuses existing pretraining, but it requires solving an alignment problem first, since the different models tokenize sequences at different resolutions.</w:t>
      </w:r>
    </w:p>
    <w:p>
      <w:pPr>
        <w:pStyle w:val="ListParagraph"/>
        <w:numPr>
          <w:ilvl w:val="0"/>
          <w:numId w:val="2"/>
        </w:numPr>
        <w:spacing w:after="100"/>
      </w:pPr>
      <w:r>
        <w:rPr>
          <w:b/>
          <w:bCs/>
        </w:rPr>
        <w:t xml:space="preserve">Train jointly from scratch.</w:t>
      </w:r>
      <w:r>
        <w:t xml:space="preserve"> Train one model on a shared vocabulary spanning both nucleotides and amino acids, so cross-modal structure has to emerge from pretraining itself (LucaOne).</w:t>
      </w:r>
    </w:p>
    <w:p>
      <w:pPr>
        <w:spacing w:after="160"/>
      </w:pPr>
      <w:r>
        <w:t xml:space="preserve">Coupled Mamba does not fit cleanly into either category. It is a general-purpose fusion mechanism rather than a biology paper, and it offers an alternative to attention-based fusion that needs no alignment loss.</w:t>
      </w:r>
    </w:p>
    <w:p>
      <w:pPr>
        <w:pStyle w:val="Heading1"/>
      </w:pPr>
      <w:r>
        <w:t xml:space="preserve">2. What Alignment Means in This Project</w:t>
      </w:r>
    </w:p>
    <w:p>
      <w:pPr>
        <w:spacing w:after="160"/>
      </w:pPr>
      <w:r>
        <w:t xml:space="preserve">Alignment is not treated as solved by resampling sequences to a shared resolution. The project first defines what alignment should mean in the context of biological foundation models, rather than assuming it just means matching sequence lengths. BioLangFusion frames alignment as cross-modal representation alignment, and the lab is running its own study on this question.</w:t>
      </w:r>
    </w:p>
    <w:p>
      <w:pPr>
        <w:spacing w:after="160"/>
      </w:pPr>
      <w:r>
        <w:t xml:space="preserve">The approach is to analyze the internal representations of the frozen foundation models directly before designing any alignment method, using visualization and interpretability tools (embedding projections, attention analysis, and probing) to see what each model's representations actually capture. The tools alone will not be enough to interpret the results: biological knowledge and priors are needed to judge whether the patterns the models capture are biologically meaningful. This is where the project's contribution is meant to matter most, and it is why Stage 1 is a dedicated stage rather than a quick check before jumping to fusion.</w:t>
      </w:r>
    </w:p>
    <w:p>
      <w:pPr>
        <w:pStyle w:val="Heading2"/>
      </w:pPr>
      <w:r>
        <w:t xml:space="preserve">The Formal Alignment Theory (ICML 2025)</w:t>
      </w:r>
    </w:p>
    <w:p>
      <w:pPr>
        <w:spacing w:after="160"/>
      </w:pPr>
      <w:r>
        <w:t xml:space="preserve">"Understanding the Emergence of Multimodal Representation Alignment" (Tjandrasuwita, Ekbote, Ziyin, and Liang, MIT, ICML 2025) is the theoretical, non-biology-specific alignment paper behind the project's framing; a full review is in Reviews/Julian/Alignment_Theory_Paper_Review.md. It describes alignment along two axes:</w:t>
      </w:r>
    </w:p>
    <w:p>
      <w:pPr>
        <w:pStyle w:val="ListParagraph"/>
        <w:numPr>
          <w:ilvl w:val="0"/>
          <w:numId w:val="2"/>
        </w:numPr>
        <w:spacing w:after="100"/>
      </w:pPr>
      <w:r>
        <w:rPr>
          <w:b/>
          <w:bCs/>
        </w:rPr>
        <w:t xml:space="preserve">Heterogeneity:</w:t>
      </w:r>
      <w:r>
        <w:t xml:space="preserve"> how dissimilar two modalities are, independent of the task.</w:t>
      </w:r>
    </w:p>
    <w:p>
      <w:pPr>
        <w:pStyle w:val="ListParagraph"/>
        <w:numPr>
          <w:ilvl w:val="0"/>
          <w:numId w:val="2"/>
        </w:numPr>
        <w:spacing w:after="100"/>
      </w:pPr>
      <w:r>
        <w:rPr>
          <w:b/>
          <w:bCs/>
        </w:rPr>
        <w:t xml:space="preserve">Interactions:</w:t>
      </w:r>
      <w:r>
        <w:t xml:space="preserve"> split into </w:t>
      </w:r>
      <w:r>
        <w:rPr>
          <w:b/>
          <w:bCs/>
        </w:rPr>
        <w:t xml:space="preserve">redundancy</w:t>
      </w:r>
      <w:r>
        <w:t xml:space="preserve"> (task-relevant information shared by both modalities) and </w:t>
      </w:r>
      <w:r>
        <w:rPr>
          <w:b/>
          <w:bCs/>
        </w:rPr>
        <w:t xml:space="preserve">uniqueness</w:t>
      </w:r>
      <w:r>
        <w:t xml:space="preserve"> (task-relevant information only one modality has).</w:t>
      </w:r>
    </w:p>
    <w:p>
      <w:pPr>
        <w:spacing w:after="160"/>
      </w:pPr>
      <w:r>
        <w:t xml:space="preserve">Its central finding is that alignment reliably predicts downstream performance only when redundancy dominates. As uniqueness increases, that relationship weakens and can turn negative, while model capacity keeps helping performance regardless of alignment. Its most directly reusable contribution is the alignment-performance slope, a diagnostic computed from frozen, unaligned encoders that predicts whether adding an explicit alignment loss will help or hurt on a given task. An exploratory sample-level adaptation of it (the alignment-error association) has been run on this project's data (Section 9.4).</w:t>
      </w:r>
    </w:p>
    <w:p>
      <w:pPr>
        <w:spacing w:after="160"/>
      </w:pPr>
      <w:r>
        <w:t xml:space="preserve">DNA, RNA, and protein form a triplet with real, built-in uniqueness: each stage of the central dogma loses information in both directions. The paper gives a concrete diagnostic to run before committing to a fusion architecture, which is exactly the define-alignment-first analysis this project calls for.</w:t>
      </w:r>
    </w:p>
    <w:p>
      <w:pPr>
        <w:pStyle w:val="Heading2"/>
      </w:pPr>
      <w:r>
        <w:t xml:space="preserve">The Counter-Argument: Beyond Alignment and the Synergistic Information Score</w:t>
      </w:r>
    </w:p>
    <w:p>
      <w:pPr>
        <w:spacing w:after="160"/>
      </w:pPr>
      <w:r>
        <w:t xml:space="preserve">A bioRxiv paper, "Beyond alignment: synergistic integration is required for multimodal cell foundation models," argues that alignment metrics like CKA have a hard theoretical ceiling. With frozen encoders and linear fusion, alignment objectives can only recover linear redundancy between modalities and cannot see synergistic information, meaning signal that only shows up when both modalities are considered jointly. An alignment objective can even suppress the modality-specific signal a task needs.</w:t>
      </w:r>
    </w:p>
    <w:p>
      <w:pPr>
        <w:spacing w:after="160"/>
      </w:pPr>
      <w:r>
        <w:t xml:space="preserve">The paper proposes the Synergistic Information Score (SIS): does fusion beat the best single-modality baseline, yes or no. Read together with the ICML 2025 paper, the two give a stronger Stage 1 than either alone. The alignment paper says when alignment is achievable and likely to help; this one says that even where alignment looks clean, task-relevant information might still be getting thrown away. The project's synergy check (Section 3.1, Track A) puts this idea into practice.</w:t>
      </w:r>
    </w:p>
    <w:p>
      <w:pPr>
        <w:pStyle w:val="Heading1"/>
      </w:pPr>
      <w:r>
        <w:t xml:space="preserve">3. The Four-Stage Pipeline</w:t>
      </w:r>
    </w:p>
    <w:p>
      <w:pPr>
        <w:spacing w:after="160"/>
      </w:pPr>
      <w:r>
        <w:t xml:space="preserve">The pipeline moves through four stages in order. Each stage's output feeds directly into the next stage's design decisions, so the order matters: the fusion architecture should not be chosen before Stage 1's representation analysis has something to say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Stage</w:t>
            </w:r>
          </w:p>
        </w:tc>
        <w:tc>
          <w:tcPr>
            <w:tcW w:type="dxa" w:w="3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Goal</w:t>
            </w:r>
          </w:p>
        </w:tc>
        <w:tc>
          <w:tcPr>
            <w:tcW w:type="dxa" w:w="36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Key Deliverable</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1:</w:t>
            </w:r>
            <w:r>
              <w:rPr>
                <w:sz w:val="21"/>
                <w:szCs w:val="21"/>
              </w:rPr>
              <w:t xml:space="preserve"> Representation Analysis (complete)</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Determine what the frozen encoders already know, and how related their representations are.</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Probe accuracies, CKA and CCA scores, retrieval accuracy, and visualizations for one pilot dataset.</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2:</w:t>
            </w:r>
            <w:r>
              <w:rPr>
                <w:sz w:val="21"/>
                <w:szCs w:val="21"/>
              </w:rPr>
              <w:t xml:space="preserve"> Define Alignment (next)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Decide, based on Stage 1 findings, what a meaningful alignment target looks like for this modality pair and task.</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chosen alignment metric and target, plus a judgment on heterogeneity and modality uniqueness.</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3:</w:t>
            </w:r>
            <w:r>
              <w:rPr>
                <w:sz w:val="21"/>
                <w:szCs w:val="21"/>
              </w:rPr>
              <w:t xml:space="preserve"> Fusion</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Build the architecture that combines the modalities, starting cheap and adding complexity only where Stages 1 and 2 justify it.</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trained fusion model, or a small set of fusion candidates ready for benchmarking.</w:t>
            </w:r>
          </w:p>
        </w:tc>
      </w:tr>
      <w:tr>
        <w:trPr>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Stage 4:</w:t>
            </w:r>
            <w:r>
              <w:rPr>
                <w:sz w:val="21"/>
                <w:szCs w:val="21"/>
              </w:rPr>
              <w:t xml:space="preserve"> Benchmarking</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Test whether the fused model outperforms the best single-modality model on a real downstream task, with a control built in.</w:t>
            </w:r>
          </w:p>
        </w:tc>
        <w:tc>
          <w:tcPr>
            <w:tcW w:type="dxa" w:w="3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Benchmark results, a statistical comparison, and a written conclusion on whether fusion earned its added complexity.</w:t>
            </w:r>
          </w:p>
        </w:tc>
      </w:tr>
    </w:tbl>
    <w:p>
      <w:pPr>
        <w:spacing w:after="120"/>
      </w:pPr>
    </w:p>
    <w:p>
      <w:pPr>
        <w:pStyle w:val="Heading2"/>
      </w:pPr>
      <w:r>
        <w:t xml:space="preserve">3.1 Stage 1: Representation Analysis, Three Parallel Tracks</w:t>
      </w:r>
    </w:p>
    <w:p>
      <w:pPr>
        <w:spacing w:after="160"/>
      </w:pPr>
      <w:r>
        <w:t xml:space="preserve">Stage 1 is split into three tracks that answer three different questions.</w:t>
      </w:r>
    </w:p>
    <w:p>
      <w:pPr>
        <w:pStyle w:val="ListParagraph"/>
        <w:numPr>
          <w:ilvl w:val="0"/>
          <w:numId w:val="2"/>
        </w:numPr>
        <w:spacing w:after="100"/>
      </w:pPr>
      <w:r>
        <w:rPr>
          <w:b/>
          <w:bCs/>
        </w:rPr>
        <w:t xml:space="preserve">Track A, Task-Relevant Decodability:</w:t>
      </w:r>
      <w:r>
        <w:t xml:space="preserve"> linear probing per modality for known biological properties (GC content, sequence length as a confound check, codon usage bias, and secondary structure) establishes what each encoder demonstrably knows on its own. A synergy check (does naive concatenation beat the best single-modality baseline?) gives a cheap early signal of whether combining the modalities adds anything, in the spirit of the Synergistic Information Score.</w:t>
      </w:r>
    </w:p>
    <w:p>
      <w:pPr>
        <w:pStyle w:val="ListParagraph"/>
        <w:numPr>
          <w:ilvl w:val="0"/>
          <w:numId w:val="2"/>
        </w:numPr>
        <w:spacing w:after="100"/>
      </w:pPr>
      <w:r>
        <w:rPr>
          <w:b/>
          <w:bCs/>
        </w:rPr>
        <w:t>Track B, Cross-Modal Comparability:</w:t>
      </w:r>
      <w:r>
        <w:t xml:space="preserve"> CKA and mutual k-NN between each pair of the three encoders at multiple layers, not only the final one, since alignment often peaks mid-network. CCA on genuinely paired data (a coding sequence and its own translated protein) as a direct correspondence check. Cross-modal retrieval as a task-grounded sanity check: query with one modality's embedding and see whether the true matching embedding in the other modality comes back above chance. A composition control that repeats CKA and retrieval after removing sequence composition. UMAP last, for communicating results, not as evidence on its own.</w:t>
      </w:r>
    </w:p>
    <w:p>
      <w:pPr>
        <w:pStyle w:val="ListParagraph"/>
        <w:numPr>
          <w:ilvl w:val="0"/>
          <w:numId w:val="2"/>
        </w:numPr>
        <w:spacing w:after="100"/>
      </w:pPr>
      <w:r>
        <w:rPr>
          <w:b/>
          <w:bCs/>
        </w:rPr>
        <w:t>Track C, Interpretability:</w:t>
      </w:r>
      <w:r>
        <w:t xml:space="preserve"> DNA-encoder and RNA-encoder attention compared against known RNA stability motifs (AU-rich elements and m6A DRACH sites), as a check on whether the representation tracks real regulatory biology rather than an artifact of the probe itself.</w:t>
      </w:r>
    </w:p>
    <w:p>
      <w:pPr>
        <w:spacing w:after="160"/>
      </w:pPr>
      <w:r>
        <w:t>The exit criterion for Stage 1 is not a table of CKA scores. It is a placement of each modality pair on the redundancy, uniqueness, and heterogeneity map from the alignment theory paper, plus a synergy reading from Track A. That placement drives Stage 2's decision.</w:t>
      </w:r>
    </w:p>
    <w:p>
      <w:pPr>
        <w:pStyle w:val="Heading2"/>
      </w:pPr>
      <w:r>
        <w:t xml:space="preserve">3.2 Stage 2: Define Alignment, as a Decision Tree</w:t>
      </w:r>
    </w:p>
    <w:p>
      <w:pPr>
        <w:pStyle w:val="ListParagraph"/>
        <w:numPr>
          <w:ilvl w:val="0"/>
          <w:numId w:val="2"/>
        </w:numPr>
        <w:spacing w:after="100"/>
      </w:pPr>
      <w:r>
        <w:rPr>
          <w:b/>
          <w:bCs/>
        </w:rPr>
        <w:t xml:space="preserve">High alignment, redundancy-dominated:</w:t>
      </w:r>
      <w:r>
        <w:t xml:space="preserve"> resampling-based alignment (BioLangFusion's approach) is probably good enough. No need to over-engineer this pair.</w:t>
      </w:r>
    </w:p>
    <w:p>
      <w:pPr>
        <w:pStyle w:val="ListParagraph"/>
        <w:numPr>
          <w:ilvl w:val="0"/>
          <w:numId w:val="2"/>
        </w:numPr>
        <w:spacing w:after="100"/>
      </w:pPr>
      <w:r>
        <w:rPr>
          <w:b/>
          <w:bCs/>
        </w:rPr>
        <w:t xml:space="preserve">Low alignment, high uniqueness or synergy:</w:t>
      </w:r>
      <w:r>
        <w:t xml:space="preserve"> per the alignment theory paper and the beyond-alignment critique, an explicit contrastive alignment loss may actively hurt here by suppressing modality-specific signal. Skip explicit alignment and let the fusion architecture handle the interaction directly (nonlinear cross-attention, Coupled Mamba, mixture-of-experts).</w:t>
      </w:r>
    </w:p>
    <w:p>
      <w:pPr>
        <w:pStyle w:val="ListParagraph"/>
        <w:numPr>
          <w:ilvl w:val="0"/>
          <w:numId w:val="2"/>
        </w:numPr>
        <w:spacing w:after="100"/>
      </w:pPr>
      <w:r>
        <w:rPr>
          <w:b/>
          <w:bCs/>
        </w:rPr>
        <w:t xml:space="preserve">Moderate alignment with a positive alignment-performance slope</w:t>
      </w:r>
      <w:r>
        <w:t xml:space="preserve"> (the ICML 2025 paper's own diagnostic): worth prototyping a lightweight contrastive or CCA-based alignment layer, since the paper's evidence says it should help in that regime.</w:t>
      </w:r>
    </w:p>
    <w:p>
      <w:pPr>
        <w:pStyle w:val="ListParagraph"/>
        <w:numPr>
          <w:ilvl w:val="0"/>
          <w:numId w:val="2"/>
        </w:numPr>
        <w:spacing w:after="100"/>
      </w:pPr>
      <w:r>
        <w:rPr>
          <w:b/>
          <w:bCs/>
        </w:rPr>
        <w:t xml:space="preserve">Mixed across pairs:</w:t>
      </w:r>
      <w:r>
        <w:t xml:space="preserve"> plausible given the Central Dogma Transformer sequel finding that RNA and protein changes often move in opposite directions. Test each pairwise relationship on its own terms rather than assuming DNA, RNA, and protein need one uniform alignment method.</w:t>
      </w:r>
    </w:p>
    <w:p>
      <w:pPr>
        <w:spacing w:after="160"/>
      </w:pPr>
      <w:r>
        <w:t xml:space="preserve">Stage 1 may conclude that formal alignment is not the right target for one or more modality pairs at all. That would be a real finding, not a failure to find one.</w:t>
      </w:r>
    </w:p>
    <w:p>
      <w:pPr>
        <w:pStyle w:val="Heading2"/>
      </w:pPr>
      <w:r>
        <w:t xml:space="preserve">3.3 Stage 3: Fusion, Staged by Risk</w:t>
      </w:r>
    </w:p>
    <w:p>
      <w:pPr>
        <w:pStyle w:val="ListParagraph"/>
        <w:numPr>
          <w:ilvl w:val="0"/>
          <w:numId w:val="2"/>
        </w:numPr>
        <w:spacing w:after="100"/>
      </w:pPr>
      <w:r>
        <w:rPr>
          <w:b/>
          <w:bCs/>
        </w:rPr>
        <w:t xml:space="preserve">Baseline (always run):</w:t>
      </w:r>
      <w:r>
        <w:t xml:space="preserve"> naive concatenation plus an MLP head. Beyond serving as a baseline, it is the reference point the synergy checks need.</w:t>
      </w:r>
    </w:p>
    <w:p>
      <w:pPr>
        <w:pStyle w:val="ListParagraph"/>
        <w:numPr>
          <w:ilvl w:val="0"/>
          <w:numId w:val="2"/>
        </w:numPr>
        <w:spacing w:after="100"/>
      </w:pPr>
      <w:r>
        <w:rPr>
          <w:b/>
          <w:bCs/>
        </w:rPr>
        <w:t xml:space="preserve">Coupled Mamba (priority 1):</w:t>
      </w:r>
      <w:r>
        <w:t xml:space="preserve"> linear cost, and no alignment loss needed by design, though both streams must share a step grid (the codon grid here).</w:t>
      </w:r>
    </w:p>
    <w:p>
      <w:pPr>
        <w:pStyle w:val="ListParagraph"/>
        <w:numPr>
          <w:ilvl w:val="0"/>
          <w:numId w:val="2"/>
        </w:numPr>
        <w:spacing w:after="100"/>
      </w:pPr>
      <w:r>
        <w:rPr>
          <w:b/>
          <w:bCs/>
        </w:rPr>
        <w:t xml:space="preserve">Cross-attention, Isoformer-style (priority 2):</w:t>
      </w:r>
      <w:r>
        <w:t xml:space="preserve"> the most validated option in the literature, with quadratic cost.</w:t>
      </w:r>
    </w:p>
    <w:p>
      <w:pPr>
        <w:pStyle w:val="ListParagraph"/>
        <w:numPr>
          <w:ilvl w:val="0"/>
          <w:numId w:val="2"/>
        </w:numPr>
        <w:spacing w:after="100"/>
      </w:pPr>
      <w:r>
        <w:rPr>
          <w:b/>
          <w:bCs/>
        </w:rPr>
        <w:t xml:space="preserve">Cross-Mamba / BiMamba interaction module (fallback):</w:t>
      </w:r>
      <w:r>
        <w:t xml:space="preserve"> a second Mamba-family option purpose-built for biological sequence interaction, worth benchmarking against vanilla Coupled Mamba, and it pairs well with the newer Mamba-3 backbone if the original underperforms.</w:t>
      </w:r>
    </w:p>
    <w:p>
      <w:pPr>
        <w:pStyle w:val="ListParagraph"/>
        <w:numPr>
          <w:ilvl w:val="0"/>
          <w:numId w:val="2"/>
        </w:numPr>
        <w:spacing w:after="100"/>
      </w:pPr>
      <w:r>
        <w:rPr>
          <w:b/>
          <w:bCs/>
        </w:rPr>
        <w:t xml:space="preserve">Perceiver-style asymmetric cross-attention (fallback):</w:t>
      </w:r>
      <w:r>
        <w:t xml:space="preserve"> relevant now that DNA is in the input set, especially for long genomic sequences such as IsoFormer's, since it keeps attention cost close to linear over long genomic sequences while still being true attention. It has direct precedent on an expression-prediction task.</w:t>
      </w:r>
    </w:p>
    <w:p>
      <w:pPr>
        <w:pStyle w:val="ListParagraph"/>
        <w:numPr>
          <w:ilvl w:val="0"/>
          <w:numId w:val="2"/>
        </w:numPr>
        <w:spacing w:after="100"/>
      </w:pPr>
      <w:r>
        <w:rPr>
          <w:b/>
          <w:bCs/>
        </w:rPr>
        <w:t xml:space="preserve">Mixture-of-experts fusion (conditional fallback):</w:t>
      </w:r>
      <w:r>
        <w:t xml:space="preserve"> worth prototyping only if the uniqueness and redundancy split turns out to vary a lot by example rather than being uniform.</w:t>
      </w:r>
    </w:p>
    <w:p>
      <w:pPr>
        <w:spacing w:after="160"/>
      </w:pPr>
      <w:r>
        <w:t xml:space="preserve">Coupled Mamba and cross-attention are both built and benchmarked, with Coupled Mamba first. The remaining options are fallbacks if either underperforms, not additional models to build from the start.</w:t>
      </w:r>
    </w:p>
    <w:p>
      <w:pPr>
        <w:pStyle w:val="Heading2"/>
      </w:pPr>
      <w:r>
        <w:t xml:space="preserve">3.4 Stage 4: Benchmarking Protocol</w:t>
      </w:r>
    </w:p>
    <w:p>
      <w:pPr>
        <w:pStyle w:val="ListParagraph"/>
        <w:numPr>
          <w:ilvl w:val="0"/>
          <w:numId w:val="2"/>
        </w:numPr>
        <w:spacing w:after="100"/>
      </w:pPr>
      <w:r>
        <w:t xml:space="preserve">Always include single-modality baselines and the naive concatenation baseline, not just the fusion architectures, so a fusion win can be checked for how much comes from redundant information versus genuine synergy.</w:t>
      </w:r>
    </w:p>
    <w:p>
      <w:pPr>
        <w:pStyle w:val="ListParagraph"/>
        <w:numPr>
          <w:ilvl w:val="0"/>
          <w:numId w:val="2"/>
        </w:numPr>
        <w:spacing w:after="100"/>
      </w:pPr>
      <w:r>
        <w:t xml:space="preserve">Run the mRFP_Expression control explicitly. It is redundancy-dominated with near-zero uniqueness by construction, so fusion showing a real gain there is a red flag for leakage, not a win.</w:t>
      </w:r>
    </w:p>
    <w:p>
      <w:pPr>
        <w:pStyle w:val="ListParagraph"/>
        <w:numPr>
          <w:ilvl w:val="0"/>
          <w:numId w:val="2"/>
        </w:numPr>
        <w:spacing w:after="100"/>
      </w:pPr>
      <w:r>
        <w:t xml:space="preserve">Report a synergy number (fusion versus best single modality) alongside raw performance, not performance alone.</w:t>
      </w:r>
    </w:p>
    <w:p>
      <w:pPr>
        <w:pStyle w:val="ListParagraph"/>
        <w:numPr>
          <w:ilvl w:val="0"/>
          <w:numId w:val="2"/>
        </w:numPr>
        <w:spacing w:after="100"/>
      </w:pPr>
      <w:r>
        <w:t xml:space="preserve">Cross-check against externally published numbers on the same benchmark datasets, not only internal baselines, and report results with a real statistical comparison, given the intent to publish.</w:t>
      </w:r>
    </w:p>
    <w:p>
      <w:pPr>
        <w:pStyle w:val="Heading1"/>
      </w:pPr>
      <w:r>
        <w:t xml:space="preserve">4. Downstream Task and Dataset</w:t>
      </w:r>
    </w:p>
    <w:p>
      <w:pPr>
        <w:spacing w:after="160"/>
      </w:pPr>
      <w:r>
        <w:t xml:space="preserve">Summarized from the project planning document "DNA, RNA, Protein Models and Downstream Task" (in Notes/).</w:t>
      </w:r>
    </w:p>
    <w:p>
      <w:pPr>
        <w:pStyle w:val="ListParagraph"/>
        <w:numPr>
          <w:ilvl w:val="0"/>
          <w:numId w:val="2"/>
        </w:numPr>
        <w:spacing w:after="100"/>
      </w:pPr>
      <w:r>
        <w:rPr>
          <w:b/>
          <w:bCs/>
        </w:rPr>
        <w:t xml:space="preserve">Downstream task:</w:t>
      </w:r>
      <w:r>
        <w:t xml:space="preserve"> multimodal mRNA stability and expression prediction, Isoformer-style, reusing frozen pretrained encoders per modality and training only a fusion module plus a task head.</w:t>
      </w:r>
    </w:p>
    <w:p>
      <w:pPr>
        <w:pStyle w:val="ListParagraph"/>
        <w:numPr>
          <w:ilvl w:val="0"/>
          <w:numId w:val="2"/>
        </w:numPr>
        <w:spacing w:after="100"/>
      </w:pPr>
      <w:r>
        <w:rPr>
          <w:b/>
          <w:bCs/>
        </w:rPr>
        <w:t xml:space="preserve">Main dataset:</w:t>
      </w:r>
      <w:r>
        <w:t xml:space="preserve"> mRNA_Stability (41,123 sequences in the CodonBERT benchmark description; human, mouse, frog, fish), plus Fungal_expression and E.Coli_proteins as additional tasks, all from the CodonBERT benchmark repository. The copy of mRNA_Stability.csv in the repository has 65,356 rows but only 29,949 distinct sequences, so duplicates must be handled during evaluation (Section 9.2).</w:t>
      </w:r>
    </w:p>
    <w:p>
      <w:pPr>
        <w:pStyle w:val="ListParagraph"/>
        <w:numPr>
          <w:ilvl w:val="0"/>
          <w:numId w:val="2"/>
        </w:numPr>
        <w:spacing w:after="100"/>
      </w:pPr>
      <w:r>
        <w:rPr>
          <w:b/>
          <w:bCs/>
        </w:rPr>
        <w:t xml:space="preserve">Control dataset:</w:t>
      </w:r>
      <w:r>
        <w:t xml:space="preserve"> mRFP_Expression, 1,459 variants from synonymous codon randomization of a single gene, so every variant encodes an identical protein. A protein encoder should add no information here and fusion should show no gain. This is a built-in zero-uniqueness check, and the Stage 1 control check (Section 9.1) confirms the pipeline behaves as expected on it.</w:t>
      </w:r>
    </w:p>
    <w:p>
      <w:pPr>
        <w:pStyle w:val="ListParagraph"/>
        <w:numPr>
          <w:ilvl w:val="0"/>
          <w:numId w:val="2"/>
        </w:numPr>
        <w:spacing w:after="100"/>
      </w:pPr>
      <w:r>
        <w:rPr>
          <w:b/>
          <w:bCs/>
        </w:rPr>
        <w:t>DNA modality:</w:t>
      </w:r>
      <w:r>
        <w:t xml:space="preserve"> the stability data carry only the coding sequence, with no gene or transcript IDs (only Sequence, Value, Dataset, and Split columns), so genomic context around each gene is not available without a separate mapping step. As in BioLangFusion, a modality is therefore defined by the encoder: DNA encoders read the coding sequence in DNA letters, RNA encoders read it in RNA letters, and protein encoders read its translation. Stage 1 uses Nucleotide Transformer 500M human-ref for DNA, RNA-FM for RNA, and ESM-2 35M for protein. Because all three inputs derive from one coding sequence, differences between encoders reflect pretraining corpora and tokenization rather than new biological information.</w:t>
      </w:r>
    </w:p>
    <w:p>
      <w:pPr>
        <w:pStyle w:val="ListParagraph"/>
        <w:numPr>
          <w:ilvl w:val="0"/>
          <w:numId w:val="2"/>
        </w:numPr>
        <w:spacing w:after="100"/>
      </w:pPr>
      <w:r>
        <w:rPr>
          <w:b/>
          <w:bCs/>
        </w:rPr>
        <w:t xml:space="preserve">Unsuitable for fusion (single-modality in practice):</w:t>
      </w:r>
      <w:r>
        <w:t xml:space="preserve"> mRFP_Expression (control only), Tc-Riboswitches, CoV_Vaccine_Degradation, and MLOS.</w:t>
      </w:r>
    </w:p>
    <w:p>
      <w:pPr>
        <w:pStyle w:val="ListParagraph"/>
        <w:numPr>
          <w:ilvl w:val="0"/>
          <w:numId w:val="2"/>
        </w:numPr>
        <w:spacing w:after="100"/>
      </w:pPr>
      <w:r>
        <w:rPr>
          <w:b/>
          <w:bCs/>
        </w:rPr>
        <w:t xml:space="preserve">Pre-checks, both satisfied in the Stage 1 notebook:</w:t>
      </w:r>
      <w:r>
        <w:t xml:space="preserve"> sequences start at a start codon and stay in frame (needed for a clean translation to protein), and gene or transcript IDs are absent (so genomic context is not available from this file).</w:t>
      </w:r>
    </w:p>
    <w:p>
      <w:pPr>
        <w:pStyle w:val="ListParagraph"/>
        <w:numPr>
          <w:ilvl w:val="0"/>
          <w:numId w:val="2"/>
        </w:numPr>
        <w:spacing w:after="100"/>
      </w:pPr>
      <w:r>
        <w:rPr>
          <w:b/>
          <w:bCs/>
        </w:rPr>
        <w:t xml:space="preserve">Second dataset with genomic DNA: </w:t>
      </w:r>
      <w:r>
        <w:t>IsoFormer's GTEx transcript-expression dataset (InstaDeepAI/multi_omics_transcript_expression on Hugging Face) provides, per transcript, genomic DNA centered on the transcription start site, the full transcript with UTRs, the protein, and expression across tissues, with a fixed gene-level split. There, DNA carries promoter and regulatory context the protein lacks. It is the planned second dataset, so the Stage 1 measurements can be compared between derived modalities (stability) and genuinely distinct ones (GTEx).</w:t>
      </w:r>
    </w:p>
    <w:p>
      <w:pPr>
        <w:pStyle w:val="ListParagraph"/>
        <w:numPr>
          <w:ilvl w:val="0"/>
          <w:numId w:val="2"/>
        </w:numPr>
        <w:spacing w:after="100"/>
      </w:pPr>
      <w:r>
        <w:rPr>
          <w:b/>
          <w:bCs/>
        </w:rPr>
        <w:t xml:space="preserve">Dataset audit (September 29, 2026): </w:t>
      </w:r>
      <w:r>
        <w:t>the Split column assigns 45,749 rows to train, 9,803 to validation, and 9,804 to test, and 5,392 of the 8,283 distinct test sequences also occur in training. 12,775 repeated sequences carry differing labels (median within-sequence standard deviation 0.49), which caps achievable performance. Only 37% of rows are at most 1,000 nucleotides, so encoders with a limit near 1,000 tokens see truncated input for most sequences. BioLangFusion reports 41,123 raw and 23,929 used sequences; whether the repository file is the same version is unresolved. Results should be reported on the official split for comparison with published numbers and on a deduplicated, sequence-disjoint split for leakage-free estimates.</w:t>
      </w:r>
    </w:p>
    <w:p>
      <w:pPr>
        <w:pStyle w:val="Heading1"/>
      </w:pPr>
      <w:r>
        <w:t xml:space="preserve">5. Toolkit Reference</w:t>
      </w:r>
    </w:p>
    <w:p>
      <w:pPr>
        <w:pStyle w:val="Heading2"/>
      </w:pPr>
      <w:r>
        <w:t xml:space="preserve">5.1 Core Stage 1 Tools</w:t>
      </w:r>
    </w:p>
    <w:p>
      <w:pPr>
        <w:pStyle w:val="ListParagraph"/>
        <w:numPr>
          <w:ilvl w:val="0"/>
          <w:numId w:val="2"/>
        </w:numPr>
        <w:spacing w:after="100"/>
      </w:pPr>
      <w:r>
        <w:rPr>
          <w:b/>
          <w:bCs/>
        </w:rPr>
        <w:t xml:space="preserve">Linear probe</w:t>
      </w:r>
      <w:r>
        <w:t xml:space="preserve"> (biological information content): a simple regressor or classifier trained on frozen representations to check what biological information is linearly recoverable (scikit-learn RidgeCV or LogisticRegression).</w:t>
      </w:r>
    </w:p>
    <w:p>
      <w:pPr>
        <w:pStyle w:val="ListParagraph"/>
        <w:numPr>
          <w:ilvl w:val="0"/>
          <w:numId w:val="2"/>
        </w:numPr>
        <w:spacing w:after="100"/>
      </w:pPr>
      <w:r>
        <w:rPr>
          <w:b/>
          <w:bCs/>
        </w:rPr>
        <w:t xml:space="preserve">CKA, Centered Kernel Alignment</w:t>
      </w:r>
      <w:r>
        <w:t xml:space="preserve"> (representational similarity): compares representations layer by layer between two models. A PyTorch implementation supporting Hugging Face models is at github.com/ryusudol/Centered-Kernel-Alignment.</w:t>
      </w:r>
    </w:p>
    <w:p>
      <w:pPr>
        <w:pStyle w:val="ListParagraph"/>
        <w:numPr>
          <w:ilvl w:val="0"/>
          <w:numId w:val="2"/>
        </w:numPr>
        <w:spacing w:after="100"/>
      </w:pPr>
      <w:r>
        <w:rPr>
          <w:b/>
          <w:bCs/>
        </w:rPr>
        <w:t xml:space="preserve">CCA, Canonical Correlation Analysis</w:t>
      </w:r>
      <w:r>
        <w:t xml:space="preserve"> (similarity and alignment): sklearn.cross_decomposition.CCA finds correlated directions between two representation spaces.</w:t>
      </w:r>
    </w:p>
    <w:p>
      <w:pPr>
        <w:pStyle w:val="ListParagraph"/>
        <w:numPr>
          <w:ilvl w:val="0"/>
          <w:numId w:val="2"/>
        </w:numPr>
        <w:spacing w:after="100"/>
      </w:pPr>
      <w:r>
        <w:rPr>
          <w:b/>
          <w:bCs/>
        </w:rPr>
        <w:t xml:space="preserve">Cross-modal retrieval</w:t>
      </w:r>
      <w:r>
        <w:t xml:space="preserve"> (correspondence): FAISS or an equivalent nearest-neighbor search between embedding spaces.</w:t>
      </w:r>
    </w:p>
    <w:p>
      <w:pPr>
        <w:pStyle w:val="ListParagraph"/>
        <w:numPr>
          <w:ilvl w:val="0"/>
          <w:numId w:val="2"/>
        </w:numPr>
        <w:spacing w:after="100"/>
      </w:pPr>
      <w:r>
        <w:rPr>
          <w:b/>
          <w:bCs/>
        </w:rPr>
        <w:t xml:space="preserve">UMAP</w:t>
      </w:r>
      <w:r>
        <w:t xml:space="preserve"> (visual geometry): umap-learn projects high-dimensional representations into 2D for visual inspection.</w:t>
      </w:r>
    </w:p>
    <w:p>
      <w:pPr>
        <w:pStyle w:val="Heading2"/>
      </w:pPr>
      <w:r>
        <w:t xml:space="preserve">5.2 Representation and Alignment Measurement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Method</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What It Measures</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Notes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Linear probing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 known property is linearly decodable from frozen embeddings.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Fast and simple. A negative result only rules out linear decodability, not all encoding.</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CKA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Overall similarity of two representations' geometry, invariant to rotation and scaling.</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Standard first check. A linear kernel only captures linear structure. Can be inflated by geometric artifacts at high dimensionality, so read it alongside mutual k-NN, not alone.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CCA, SVCCA, PWCCA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The specific correlated subspace shared between two representations.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More specific than CKA. SVCCA and PWCCA remove noisy dimensions first.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Mutual k-nearest-neighbor alignment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Overlap of nearest-neighbor sets between two embeddings of the same inputs.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Cheaper than CKA at scale. The metric used in the Platonic Representation Hypothesis and the ICML 2025 alignment paper; more robust to high-dimensional artifacts than CKA.</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FAISS / nearest-neighbor cross-modal retrieval</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querying with one modality retrieves the correct match in the other.</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direct, task-grounded test rather than an abstract geometry comparison.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UMAP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Two-dimensional visualization of embedding structure.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Qualitative only. Never treat it as evidence by itself.</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RSA (Representational Similarity Analysis)</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Correlation between the pairwise-distance structures of two representations.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Borrowed from neuroscience. Cheap to compute and complements CKA well.</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Optimal transport / Gromov-Wasserstein distance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Structural alignment between two spaces without requiring a linear correspondence or paired examples.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Heavier lift; a future-work direction rather than a Stage 1 deliverable.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Mutual information / partial information decomposition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How much task-relevant information is shared versus unique to each modality.</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More rigorous than an informal synergy check. Ties directly to the redundancy and uniqueness split in the alignment theory framework.</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Model stitching</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 small trainable layer can splice one encoder into another without losing performance.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The most direct, operational test of alignment; a larger undertaking than the rest of this list.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Alignment-performance slope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Whether alignment on frozen, unaligned encoders predicts if an explicit alignment loss will help or hurt downstream performance.</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The ICML 2025 paper's own diagnostic. Run in Stage 1 as an exploratory sample-level adaptation (alignment-error association for each modality pair: 0.010, -0.013, and -0.131, none surviving correction); the paper's across-model version is not replicated.</w:t>
            </w:r>
          </w:p>
        </w:tc>
      </w:tr>
    </w:tbl>
    <w:p>
      <w:pPr>
        <w:spacing w:after="120"/>
      </w:pPr>
    </w:p>
    <w:p>
      <w:pPr>
        <w:pStyle w:val="Heading2"/>
      </w:pPr>
      <w:r>
        <w:t xml:space="preserve">5.3 Fusion Architecture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Architecture</w:t>
            </w:r>
          </w:p>
        </w:tc>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Description</w:t>
            </w:r>
          </w:p>
        </w:tc>
        <w:tc>
          <w:tcPr>
            <w:tcW w:type="dxa" w:w="3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Notes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Concatenation plus MLP</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Concatenated embeddings followed by a small feedforward network.</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Mandatory baseline. Every other method must beat it to earn its cost.</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Gated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 learned gate controls how much each modality contributes to the fused representation.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 interpretable middle ground.</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Bilinear or tensor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Explicitly models multiplicative interactions between modalities.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Tensor fusion is exhaustive across three modalities but expensive.</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Cross-attention, Isoformer-style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Each modality attends to the others through learned attention.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Well studied, but scales poorly with long DNA sequences.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Perceiver-style attention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Asymmetric cross-attention that first compresses long sequences into a smaller latent array.</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Better suited to long DNA sequences than full cross-attention.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 Cross-Mamba</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State-space-model-based fusion.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Efficient on long sequences. Newer and less studied than attention-based fusion.</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Mixture-of-experts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Learns to route different examples through different combination strategies.</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Useful if different genes or transcripts call for different fusion strategies.</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CoMM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Nonlinear, synergy-maximizing fusion objective proposed as an alternative to alignment-based fusion.</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Directly relevant, since it answers the spectral-ceiling critique of CKA and CCA.</w:t>
            </w:r>
          </w:p>
        </w:tc>
      </w:tr>
      <w:tr>
        <w:trPr>
          <w:tblHeader w:val="false"/>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Graph-based fusion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Represents DNA, RNA, and protein as connected nodes and fuses them with message passing.</w:t>
            </w:r>
          </w:p>
        </w:tc>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Encodes the central dogma's direction explicitly rather than learning it purely from attention.</w:t>
            </w:r>
          </w:p>
        </w:tc>
      </w:tr>
    </w:tbl>
    <w:p>
      <w:pPr>
        <w:spacing w:after="120"/>
      </w:pPr>
    </w:p>
    <w:p>
      <w:pPr>
        <w:pStyle w:val="Heading1"/>
      </w:pPr>
      <w:r>
        <w:t xml:space="preserve">6. Additional Literature</w:t>
      </w:r>
    </w:p>
    <w:p>
      <w:pPr>
        <w:spacing w:after="160"/>
      </w:pPr>
      <w:r>
        <w:t xml:space="preserve">Beyond the six papers with full reviews, following up on the core reading turned up direct sequels, a serious counter-argument, and several concrete fusion architecture options.</w:t>
      </w:r>
    </w:p>
    <w:p>
      <w:pPr>
        <w:pStyle w:val="Heading2"/>
      </w:pPr>
      <w:r>
        <w:t xml:space="preserve">6.1 Direct Sequels to Central Dogma Transformer</w:t>
      </w:r>
    </w:p>
    <w:p>
      <w:pPr>
        <w:pStyle w:val="ListParagraph"/>
        <w:numPr>
          <w:ilvl w:val="0"/>
          <w:numId w:val="2"/>
        </w:numPr>
        <w:spacing w:after="100"/>
      </w:pPr>
      <w:r>
        <w:rPr>
          <w:b/>
          <w:bCs/>
        </w:rPr>
        <w:t xml:space="preserve">CDT-II:</w:t>
      </w:r>
      <w:r>
        <w:t xml:space="preserve"> adds DNA and RNA self-attention plus cross-attention specifically for transcriptional control, using genomic embeddings and per-cell expression data. Predicts perturbation effects with strong accuracy (per-gene r = 0.84) and recovers a known regulatory network (GFI1B); its cross-attention weights land on real regulatory elements such as CTCF sites.</w:t>
      </w:r>
    </w:p>
    <w:p>
      <w:pPr>
        <w:pStyle w:val="ListParagraph"/>
        <w:numPr>
          <w:ilvl w:val="0"/>
          <w:numId w:val="2"/>
        </w:numPr>
        <w:spacing w:after="100"/>
      </w:pPr>
      <w:r>
        <w:rPr>
          <w:b/>
          <w:bCs/>
        </w:rPr>
        <w:t xml:space="preserve">CDT-III:</w:t>
      </w:r>
      <w:r>
        <w:t xml:space="preserve"> extends prediction across the full DNA-RNA-protein chain with a two-stage "Virtual Cell Embedder." Adding protein-level supervision improved both RNA-level predictions and DNA-level interpretability, evidence that multi-task, multi-modality training regularizes each modality's representation rather than adding noise. It found that 66.7% of genes with observable mRNA changes show the opposite direction of change at the protein level, a concrete example of the RNA-to-protein uniqueness the alignment theory framework predicts.</w:t>
      </w:r>
    </w:p>
    <w:p>
      <w:pPr>
        <w:pStyle w:val="Heading2"/>
      </w:pPr>
      <w:r>
        <w:t xml:space="preserve">6.2 Two More Joint-Training Approaches, Alongside LucaOne</w:t>
      </w:r>
    </w:p>
    <w:p>
      <w:pPr>
        <w:pStyle w:val="ListParagraph"/>
        <w:numPr>
          <w:ilvl w:val="0"/>
          <w:numId w:val="2"/>
        </w:numPr>
        <w:spacing w:after="100"/>
      </w:pPr>
      <w:r>
        <w:rPr>
          <w:b/>
          <w:bCs/>
        </w:rPr>
        <w:t xml:space="preserve">Life-Code:</w:t>
      </w:r>
      <w:r>
        <w:t xml:space="preserve"> unifies DNA, RNA, and protein into one nucleotide-level vocabulary, trained with a codon-aware tokenizer, masked modeling, and knowledge distillation from ESM-2. A genuinely different joint-training bet from LucaOne's separate-modules approach.</w:t>
      </w:r>
    </w:p>
    <w:p>
      <w:pPr>
        <w:pStyle w:val="ListParagraph"/>
        <w:numPr>
          <w:ilvl w:val="0"/>
          <w:numId w:val="2"/>
        </w:numPr>
        <w:spacing w:after="100"/>
      </w:pPr>
      <w:r>
        <w:rPr>
          <w:b/>
          <w:bCs/>
        </w:rPr>
        <w:t xml:space="preserve">CAPTAIN:</w:t>
      </w:r>
      <w:r>
        <w:t xml:space="preserve"> pretrained directly on co-assayed single-cell RNA and protein data rather than fusing independently pretrained encoders. A reference point for what is achievable with true paired multi-omic training data.</w:t>
      </w:r>
    </w:p>
    <w:p>
      <w:pPr>
        <w:pStyle w:val="Heading2"/>
      </w:pPr>
      <w:r>
        <w:t xml:space="preserve">6.3 A Recent Unifying Framework</w:t>
      </w:r>
    </w:p>
    <w:p>
      <w:pPr>
        <w:spacing w:after="160"/>
      </w:pPr>
      <w:r>
        <w:t xml:space="preserve">"Dependency, Compression, and Synergy: A Unified Information-Theoretic View of Multimodal Learning" appears to unify the redundancy and uniqueness framing of the ICML 2025 alignment paper with the synergy framing of the beyond-alignment critique. Worth a closer read, since it may mean the two diagnostics do not need to be run as separate, unrelated checks.</w:t>
      </w:r>
    </w:p>
    <w:p>
      <w:pPr>
        <w:pStyle w:val="Heading2"/>
      </w:pPr>
      <w:r>
        <w:t xml:space="preserve">6.4 More Fusion Architecture Options</w:t>
      </w:r>
    </w:p>
    <w:p>
      <w:pPr>
        <w:pStyle w:val="ListParagraph"/>
        <w:numPr>
          <w:ilvl w:val="0"/>
          <w:numId w:val="2"/>
        </w:numPr>
        <w:spacing w:after="100"/>
      </w:pPr>
      <w:r>
        <w:rPr>
          <w:b/>
          <w:bCs/>
        </w:rPr>
        <w:t xml:space="preserve">Cross-Mamba / BiMamba interaction (CrossLLM-Mamba):</w:t>
      </w:r>
      <w:r>
        <w:t xml:space="preserve"> built for RNA interaction prediction with ESM-2 and RiNALMo; stacks modality representations through a bidirectional Mamba block instead of concatenating.</w:t>
      </w:r>
    </w:p>
    <w:p>
      <w:pPr>
        <w:pStyle w:val="ListParagraph"/>
        <w:numPr>
          <w:ilvl w:val="0"/>
          <w:numId w:val="2"/>
        </w:numPr>
        <w:spacing w:after="100"/>
      </w:pPr>
      <w:r>
        <w:rPr>
          <w:b/>
          <w:bCs/>
        </w:rPr>
        <w:t xml:space="preserve">Mamba-3 (Princeton):</w:t>
      </w:r>
      <w:r>
        <w:t xml:space="preserve"> an improved state-space backbone and the natural upgrade path if Coupled Mamba's specific implementation underperforms.</w:t>
      </w:r>
    </w:p>
    <w:p>
      <w:pPr>
        <w:pStyle w:val="ListParagraph"/>
        <w:numPr>
          <w:ilvl w:val="0"/>
          <w:numId w:val="2"/>
        </w:numPr>
        <w:spacing w:after="100"/>
      </w:pPr>
      <w:r>
        <w:rPr>
          <w:b/>
          <w:bCs/>
        </w:rPr>
        <w:t xml:space="preserve">Perceiver-style asymmetric cross-attention for DNA and protein:</w:t>
      </w:r>
      <w:r>
        <w:t xml:space="preserve"> beat a strong DNA-only baseline on mRNA prediction (R² 0.62 versus 0.59), using learnable query vectors so attention cost scales closer to linearly with sequence length.</w:t>
      </w:r>
    </w:p>
    <w:p>
      <w:pPr>
        <w:pStyle w:val="ListParagraph"/>
        <w:numPr>
          <w:ilvl w:val="0"/>
          <w:numId w:val="2"/>
        </w:numPr>
        <w:spacing w:after="100"/>
      </w:pPr>
      <w:r>
        <w:rPr>
          <w:b/>
          <w:bCs/>
        </w:rPr>
        <w:t xml:space="preserve">Mixture-of-experts fusion:</w:t>
      </w:r>
      <w:r>
        <w:t xml:space="preserve"> several 2026 papers route different examples to different modality-expert combinations rather than always fusing all modalities equally.</w:t>
      </w:r>
    </w:p>
    <w:p>
      <w:pPr>
        <w:pStyle w:val="Heading2"/>
      </w:pPr>
      <w:r>
        <w:t xml:space="preserve">6.5 Practical Tooling</w:t>
      </w:r>
    </w:p>
    <w:p>
      <w:pPr>
        <w:spacing w:after="160"/>
      </w:pPr>
      <w:r>
        <w:t xml:space="preserve">GenBio AI's AIDO.ModelGenerator is a framework built for fast, reproducible multimodal biological foundation model development. Once fusion prototyping starts, it is worth checking whether it already wraps the planned encoders.</w:t>
      </w:r>
    </w:p>
    <w:p>
      <w:pPr>
        <w:pStyle w:val="Heading1"/>
      </w:pPr>
      <w:r>
        <w:t xml:space="preserve">7. Code Repositories</w:t>
      </w:r>
    </w:p>
    <w:p>
      <w:pPr>
        <w:pStyle w:val="ListParagraph"/>
        <w:numPr>
          <w:ilvl w:val="0"/>
          <w:numId w:val="2"/>
        </w:numPr>
        <w:spacing w:after="100"/>
      </w:pPr>
      <w:r>
        <w:rPr>
          <w:b/>
          <w:bCs/>
        </w:rPr>
        <w:t xml:space="preserve">Coupled Mamba</w:t>
      </w:r>
      <w:r>
        <w:t xml:space="preserve"> (github.com/hustcselwb/coupled-mamba): the official NeurIPS 2024 implementation. Installation needs causal-conv1d and mamba-ssm. It includes training and evaluation code for the sentiment-analysis benchmarks in its paper, but no pretrained checkpoints, so it would need adapting from scratch for genomic sequences.</w:t>
      </w:r>
    </w:p>
    <w:p>
      <w:pPr>
        <w:pStyle w:val="ListParagraph"/>
        <w:numPr>
          <w:ilvl w:val="0"/>
          <w:numId w:val="2"/>
        </w:numPr>
        <w:spacing w:after="100"/>
      </w:pPr>
      <w:r>
        <w:rPr>
          <w:b/>
          <w:bCs/>
        </w:rPr>
        <w:t xml:space="preserve">Isoformer</w:t>
      </w:r>
      <w:r>
        <w:t xml:space="preserve"> (github.com/instadeepai/nucleotide-transformer): documentation and an inference notebook, hosted in InstaDeep's nucleotide-transformer repository. Unlike Coupled Mamba, a trained checkpoint is published on Hugging Face, with an example notebook for predicting transcript isoform expression from DNA, RNA, and protein inputs.</w:t>
      </w:r>
    </w:p>
    <w:p>
      <w:pPr>
        <w:pStyle w:val="Heading1"/>
      </w:pPr>
      <w:r>
        <w:t xml:space="preserve">8. Side-by-Side Comparison of the Core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3130"/>
        <w:gridCol w:w="2730"/>
      </w:tblGrid>
      <w:tr>
        <w:trPr>
          <w:tblHeader/>
        </w:trPr>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Paper</w:t>
            </w:r>
          </w:p>
        </w:tc>
        <w:tc>
          <w:tcPr>
            <w:tcW w:type="dxa" w:w="17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Strategy</w:t>
            </w:r>
          </w:p>
        </w:tc>
        <w:tc>
          <w:tcPr>
            <w:tcW w:type="dxa" w:w="31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Fusion / Alignment Mechanism</w:t>
            </w:r>
          </w:p>
        </w:tc>
        <w:tc>
          <w:tcPr>
            <w:tcW w:type="dxa" w:w="27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b/>
                <w:bCs/>
                <w:sz w:val="21"/>
                <w:szCs w:val="21"/>
              </w:rPr>
              <w:t xml:space="preserve">Best For</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BioLangFusion</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Resample all modalities to codon resolution, then concatenation, entropy-regularized attention pooling, or cross-attention</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Cheap, modular fusion when sequences are cleanly codon-aligned</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Isoformer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Successive cross-attention with residual connections across DNA, RNA, and protein embeddings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Tasks where no single modality is sufficient on its own</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Central Dogma Transformer</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Fuse frozen pretrained encoders</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One-directional cross-attention (DNA to RNA to protein), mirroring transcription and translation</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Cases where interpretability matters as much as accuracy</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LucaOne</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Single joint model, trained from scratch</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Shared 39-token vocabulary (nucleotides and amino acids) with a token-type embedding; no explicit fusion step</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Learning cross-modal structure implicitly, without an alignment scheme</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Coupled Mamba (supplementary)</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General-purpose fusion mechanism</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State-space model where each modality's hidden state depends on a summation of all modalities' prior states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Linear-cost fusion with no alignment loss, once both streams share a step grid (the codon grid here)</w:t>
            </w:r>
          </w:p>
        </w:tc>
      </w:tr>
      <w:tr>
        <w:trPr>
          <w:tblHeader w:val="false"/>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Alignment Theory (ICML 2025)</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Empirical analysis; no architecture proposed</w:t>
            </w:r>
          </w:p>
        </w:tc>
        <w:tc>
          <w:tcPr>
            <w:tcW w:type="dxa" w:w="31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Post-hoc CKA and mutual k-NN measurement between independently trained frozen encoders</w:t>
            </w:r>
          </w:p>
        </w:tc>
        <w:tc>
          <w:tcPr>
            <w:tcW w:type="dxa" w:w="273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sz w:val="21"/>
                <w:szCs w:val="21"/>
              </w:rPr>
              <w:t xml:space="preserve">Deciding whether alignment is worth pursuing at all for a given modality pair</w:t>
            </w:r>
          </w:p>
        </w:tc>
      </w:tr>
    </w:tbl>
    <w:p>
      <w:pPr>
        <w:spacing w:after="120"/>
      </w:pPr>
    </w:p>
    <w:p>
      <w:pPr>
        <w:pStyle w:val="Heading1"/>
      </w:pPr>
      <w:r>
        <w:t xml:space="preserve">9. Stage 1 Results</w:t>
      </w:r>
    </w:p>
    <w:p>
      <w:pPr>
        <w:spacing w:after="160"/>
      </w:pPr>
      <w:r>
        <w:t>All results come from the saved outputs of Code/Stage1_refactor.ipynb (CPU run, Python 3.12, transformers 5.15.1, multimolecule 0.2.1) on 1,000 sequences sampled from mRNA_Stability. The notebook gives a results table and interpretation after each output.</w:t>
      </w:r>
    </w:p>
    <w:p>
      <w:pPr>
        <w:pStyle w:val="Heading2"/>
      </w:pPr>
      <w:r>
        <w:t xml:space="preserve">9.1 Pipeline and Correctness Control</w:t>
      </w:r>
    </w:p>
    <w:p>
      <w:pPr>
        <w:pStyle w:val="ListParagraph"/>
        <w:numPr>
          <w:ilvl w:val="0"/>
          <w:numId w:val="2"/>
        </w:numPr>
        <w:spacing w:after="100"/>
      </w:pPr>
      <w:r>
        <w:rPr>
          <w:b/>
          <w:bCs/>
        </w:rPr>
        <w:t>Pipeline:</w:t>
      </w:r>
      <w:r>
        <w:t xml:space="preserve"> the notebook loads mRNA_Stability, keeps valid, in-frame sequences that start with a start codon, and translates each kept sequence to its protein via the genetic code. Each kept sequence is embedded three ways with frozen, off-the-shelf encoders: in DNA letters by Nucleotide Transformer 500M human-ref (1,280 dimensions), in RNA letters by RNA-FM (640 dimensions, reading at most the first 1,022 nucleotides), and as its translated protein by ESM-2 35M (480 dimensions). Of 1,000 sampled sequences, 981 pass the validity filter (98% retention).</w:t>
      </w:r>
    </w:p>
    <w:p>
      <w:pPr>
        <w:pStyle w:val="ListParagraph"/>
        <w:numPr>
          <w:ilvl w:val="0"/>
          <w:numId w:val="2"/>
        </w:numPr>
        <w:spacing w:after="100"/>
      </w:pPr>
      <w:r>
        <w:rPr>
          <w:b/>
          <w:bCs/>
        </w:rPr>
        <w:t>Correctness control (mRFP_Expression):</w:t>
      </w:r>
      <w:r>
        <w:t xml:space="preserve"> all 1,000 synonymous-recoding variants translate to one identical protein, as expected. Protein embeddings for these variants collapse almost to a single point (average distance to centroid 0.00003), while the DNA (4.72) and RNA (0.82) embeddings, which see the codon-level differences, spread out clearly. This confirms that translation, frame checking, and embedding behave correctly, so the results below are not artifacts of a broken pipeline.</w:t>
      </w:r>
    </w:p>
    <w:p>
      <w:pPr>
        <w:pStyle w:val="Heading2"/>
      </w:pPr>
      <w:r>
        <w:t xml:space="preserve">9.2 Track A: Task-Relevant Decodability</w:t>
      </w:r>
    </w:p>
    <w:p>
      <w:pPr>
        <w:pStyle w:val="ListParagraph"/>
        <w:numPr>
          <w:ilvl w:val="0"/>
          <w:numId w:val="2"/>
        </w:numPr>
        <w:spacing w:after="100"/>
      </w:pPr>
      <w:r>
        <w:rPr>
          <w:b/>
          <w:bCs/>
        </w:rPr>
        <w:t>mRNA stability probe:</w:t>
      </w:r>
      <w:r>
        <w:t xml:space="preserve"> DNA embeddings reach R² 0.015 ± 0.072, RNA embeddings 0.028 ± 0.065, and protein embeddings 0.103 ± 0.034. Protein carries a modest, reliable signal, about three fold standard deviations above zero; the DNA and RNA means are smaller than their fold standard deviations, so neither shows a reliable linear signal. Both nucleotide encoders read the same letters, so their low scores are not caused by missing input; their pooled embeddings are dominated by composition (see GC below), and RNA-FM sees only the first 1,022 nucleotides.</w:t>
      </w:r>
    </w:p>
    <w:p>
      <w:pPr>
        <w:pStyle w:val="ListParagraph"/>
        <w:numPr>
          <w:ilvl w:val="0"/>
          <w:numId w:val="2"/>
        </w:numPr>
        <w:spacing w:after="100"/>
      </w:pPr>
      <w:r>
        <w:rPr>
          <w:b/>
          <w:bCs/>
        </w:rPr>
        <w:t>Sequence-length baseline:</w:t>
      </w:r>
      <w:r>
        <w:t xml:space="preserve"> R² -0.006 ± 0.013, indistinguishable from zero. This rules out the concern that the probe scores above are just a proxy for sequence length.</w:t>
      </w:r>
    </w:p>
    <w:p>
      <w:pPr>
        <w:pStyle w:val="ListParagraph"/>
        <w:numPr>
          <w:ilvl w:val="0"/>
          <w:numId w:val="2"/>
        </w:numPr>
        <w:spacing w:after="100"/>
      </w:pPr>
      <w:r>
        <w:rPr>
          <w:b/>
          <w:bCs/>
        </w:rPr>
        <w:t>GC content probe (known-property validity check):</w:t>
      </w:r>
      <w:r>
        <w:t xml:space="preserve"> DNA embeddings recover GC content almost perfectly (R² 0.986) and RNA embeddings nearly so (0.950), as expected for a direct compositional property. Protein embeddings recover 0.678 of it, which follows from genetic code redundancy: certain amino acids are preferentially encoded by GC-rich or AT-rich codons, so protein composition carries an indirect signature of the source gene's GC content.</w:t>
      </w:r>
    </w:p>
    <w:p>
      <w:pPr>
        <w:pStyle w:val="ListParagraph"/>
        <w:numPr>
          <w:ilvl w:val="0"/>
          <w:numId w:val="2"/>
        </w:numPr>
        <w:spacing w:after="100"/>
      </w:pPr>
      <w:r>
        <w:rPr>
          <w:b/>
          <w:bCs/>
        </w:rPr>
        <w:t>Synergy check:</w:t>
      </w:r>
      <w:r>
        <w:t xml:space="preserve"> DNA plus RNA reaches R² 0.032 ± 0.073, DNA plus protein 0.100 ± 0.048, RNA plus protein 0.103 ± 0.045, and all three 0.098 ± 0.060, against 0.103 ± 0.034 for protein alone. Every difference from the best member is under 0.01 and well within noise. At the level of simple concatenation there is no measurable synergy, consistent with the beyond-alignment critique's point that concatenation cannot access synergistic information even if it exists.</w:t>
      </w:r>
    </w:p>
    <w:p>
      <w:pPr>
        <w:pStyle w:val="ListParagraph"/>
        <w:numPr>
          <w:ilvl w:val="0"/>
          <w:numId w:val="2"/>
        </w:numPr>
        <w:spacing w:after="100"/>
      </w:pPr>
      <w:r>
        <w:rPr>
          <w:b/>
          <w:bCs/>
        </w:rPr>
        <w:t>Codon usage bias probe (GC3):</w:t>
      </w:r>
      <w:r>
        <w:t xml:space="preserve"> DNA and RNA embeddings recover GC3 (the GC fraction at each codon's third position, the classical proxy for codon usage bias) at R² 0.969 and 0.919, protein embeddings at 0.380. GC3 correlates 0.922 with overall GC content. The nucleotide encoders lose almost nothing from GC to GC3, while protein falls from 0.678 to 0.380, consistent with translation collapsing synonymous codons to the same amino acid. This is the clearest evidence that the DNA and RNA embeddings carry information the protein embedding cannot: synonymous codon usage.</w:t>
      </w:r>
    </w:p>
    <w:p>
      <w:pPr>
        <w:pStyle w:val="ListParagraph"/>
        <w:numPr>
          <w:ilvl w:val="0"/>
          <w:numId w:val="2"/>
        </w:numPr>
        <w:spacing w:after="100"/>
      </w:pPr>
      <w:r>
        <w:rPr>
          <w:b/>
          <w:bCs/>
        </w:rPr>
        <w:t>Secondary structure probe (Nussinov pairing fraction):</w:t>
      </w:r>
      <w:r>
        <w:t xml:space="preserve"> using the classical Nussinov and Jacobson (1980) maximum base-pairing algorithm on a 200-sequence subsample, cropped to each sequence's first 200 nucleotides for runtime (the algorithm is cubic in sequence length), DNA embeddings reach R² 0.089 ± 0.033, RNA embeddings 0.141 ± 0.093, and protein embeddings 0.093 ± 0.055. All three are small but positive. RNA-FM, pretrained on structured non-coding RNA, has the highest mean, but its fold standard deviation is large enough that the three cannot be separated with 200 rows. The protein encoder scores as well as the DNA encoder without seeing nucleotides, so composition likely carries much of this proxy.</w:t>
      </w:r>
    </w:p>
    <w:p>
      <w:pPr>
        <w:pStyle w:val="ListParagraph"/>
        <w:numPr>
          <w:ilvl w:val="0"/>
          <w:numId w:val="2"/>
        </w:numPr>
        <w:spacing w:after="100"/>
      </w:pPr>
      <w:r>
        <w:rPr>
          <w:b/>
          <w:bCs/>
        </w:rPr>
        <w:t xml:space="preserve">Evaluation setup:</w:t>
      </w:r>
      <w:r>
        <w:t xml:space="preserve"> for every probe above and the synergy check, the scaler is fit inside a scikit-learn Pipeline within each cross-validation fold, and GroupKFold keys the folds on sequence identity. The dataset has substantial sequence duplication (65,356 rows, 29,949 distinct sequences; the 981 retained rows contain 964 distinct sequences), so grouping keeps identical sequences from landing on both sides of a split.</w:t>
      </w:r>
    </w:p>
    <w:p>
      <w:pPr>
        <w:pStyle w:val="Heading2"/>
      </w:pPr>
      <w:r>
        <w:t xml:space="preserve">9.3 Track B: Cross-Modal Comparability</w:t>
      </w:r>
    </w:p>
    <w:p>
      <w:pPr>
        <w:pStyle w:val="ListParagraph"/>
        <w:numPr>
          <w:ilvl w:val="0"/>
          <w:numId w:val="2"/>
        </w:numPr>
        <w:spacing w:after="100"/>
      </w:pPr>
      <w:r>
        <w:rPr>
          <w:b/>
          <w:bCs/>
        </w:rPr>
        <w:t>Final-layer linear CKA:</w:t>
      </w:r>
      <w:r>
        <w:t xml:space="preserve"> 0.530 for DNA-RNA, 0.128 for DNA-protein, and 0.199 for RNA-protein. The two nucleotide encoders organize the sequences much more similarly than either does with the protein encoder, as expected for models reading the same letters.</w:t>
      </w:r>
    </w:p>
    <w:p>
      <w:pPr>
        <w:pStyle w:val="ListParagraph"/>
        <w:numPr>
          <w:ilvl w:val="0"/>
          <w:numId w:val="2"/>
        </w:numPr>
        <w:spacing w:after="100"/>
      </w:pPr>
      <w:r>
        <w:rPr>
          <w:b/>
          <w:bCs/>
        </w:rPr>
        <w:t>Layer-wise CKA</w:t>
      </w:r>
      <w:r>
        <w:t xml:space="preserve"> across every internal layer of each pair of encoders (25 hidden-state outputs for the 24-layer DNA encoder, 13 each for the 12-layer RNA and protein encoders). DNA-RNA agreement peaks at 0.764, at DNA layer 14 and RNA layer 1, with a band of high agreement at DNA layers 12 to 16 across every RNA layer. Both pairs involving protein peak at the protein encoder's embedding layer, before self-attention mixes in any context: 0.400 at DNA layer 16 and 0.451 at RNA layer 5. Excluding that layer, the peaks drop to 0.359 and 0.306 at protein layer 1. Together with the GC content probe, this pointed to composition as the main driver of cross-modal agreement, which the composition control below confirms.</w:t>
      </w:r>
    </w:p>
    <w:p>
      <w:pPr>
        <w:pStyle w:val="ListParagraph"/>
        <w:numPr>
          <w:ilvl w:val="0"/>
          <w:numId w:val="2"/>
        </w:numPr>
        <w:spacing w:after="100"/>
      </w:pPr>
      <w:r>
        <w:rPr>
          <w:b/>
          <w:bCs/>
        </w:rPr>
        <w:t>Layer-wise sampling note:</w:t>
      </w:r>
      <w:r>
        <w:t xml:space="preserve"> the layer-wise analysis uses a 200-sequence subsample. Its final-layer scores (0.596, 0.187, and 0.225) are higher than the full-sample values, as expected for linear CKA with few examples relative to the embedding widths, so the layer-wise heatmap values should be compared within that analysis rather than with the full-sample values.</w:t>
      </w:r>
    </w:p>
    <w:p>
      <w:pPr>
        <w:pStyle w:val="ListParagraph"/>
        <w:numPr>
          <w:ilvl w:val="0"/>
          <w:numId w:val="2"/>
        </w:numPr>
        <w:spacing w:after="100"/>
      </w:pPr>
      <w:r>
        <w:rPr>
          <w:b/>
          <w:bCs/>
        </w:rPr>
        <w:t>Mutual k-nearest-neighbor alignment (k = 10):</w:t>
      </w:r>
      <w:r>
        <w:t xml:space="preserve"> 0.118 for DNA-RNA, 0.070 for DNA-protein, and 0.060 for RNA-protein, against a chance level of about 0.010, roughly 12, 7, and 6 times above random. This corroborates CKA's read of modest but real global alignment, strongest between the two nucleotide encoders.</w:t>
      </w:r>
    </w:p>
    <w:p>
      <w:pPr>
        <w:pStyle w:val="ListParagraph"/>
        <w:numPr>
          <w:ilvl w:val="0"/>
          <w:numId w:val="2"/>
        </w:numPr>
        <w:spacing w:after="100"/>
      </w:pPr>
      <w:r>
        <w:rPr>
          <w:b/>
          <w:bCs/>
        </w:rPr>
        <w:t>CCA</w:t>
      </w:r>
      <w:r>
        <w:t xml:space="preserve"> (PCA-reduced to 50 dimensions per modality, then 10 canonical components, evaluated on a held-out 30% test split of 295 rows): the top canonical correlation is 0.972 for DNA-RNA, 0.955 for DNA-protein, and 0.908 for RNA-protein. Cross-modal retrieval in that learned subspace finds the correct match as the top candidate 54.9%, 36.6%, and 22.4% of the time (chance 0.3%), and within the top 10 89.2%, 75.9%, and 62.4% of the time.</w:t>
      </w:r>
    </w:p>
    <w:p>
      <w:pPr>
        <w:pStyle w:val="ListParagraph"/>
        <w:numPr>
          <w:ilvl w:val="0"/>
          <w:numId w:val="2"/>
        </w:numPr>
        <w:spacing w:after="100"/>
      </w:pPr>
      <w:r>
        <w:rPr>
          <w:b/>
          <w:bCs/>
        </w:rPr>
        <w:t>Reading Track B together:</w:t>
      </w:r>
      <w:r>
        <w:t xml:space="preserve"> CKA and mutual k-NN say the full spaces mostly disagree, especially with protein; CCA and retrieval say a specific, strong, learnable shared subspace exists within each pair. The composition control shows that this shared subspace is mostly composition.</w:t>
      </w:r>
    </w:p>
    <w:p>
      <w:pPr>
        <w:pStyle w:val="ListParagraph"/>
        <w:numPr>
          <w:ilvl w:val="0"/>
          <w:numId w:val="2"/>
        </w:numPr>
        <w:spacing w:after="100"/>
      </w:pPr>
      <w:r>
        <w:rPr>
          <w:b/>
          <w:bCs/>
        </w:rPr>
        <w:t>Composition control:</w:t>
      </w:r>
      <w:r>
        <w:t xml:space="preserve"> composition explains, in sample, 61.8% of the DNA embedding variance, 67.7% of the RNA, and 44.6% of the protein, against about 9% expected by chance from 88 predictors. After regressing letter, codon, and amino-acid frequencies out of every embedding, CKA falls to 0.101, 0.027, and 0.055 (drops of 72% to 81%), and CCA Recall@1 falls to 0.112, 0.024, and 0.054, still about 33, 7, and 16 times chance. Most cross-modal agreement between these frozen pooled embeddings is therefore compositional; the small residual, largest between DNA and RNA, is the part that could reflect shared information beyond composition. Raw similarity between frozen embeddings is a weak alignment target, and later comparisons should report agreement before and after this control.</w:t>
      </w:r>
    </w:p>
    <w:p>
      <w:pPr>
        <w:pStyle w:val="ListParagraph"/>
        <w:numPr>
          <w:ilvl w:val="0"/>
          <w:numId w:val="2"/>
        </w:numPr>
        <w:spacing w:after="100"/>
      </w:pPr>
      <w:r>
        <w:rPr>
          <w:b/>
          <w:bCs/>
        </w:rPr>
        <w:t>UMAP:</w:t>
      </w:r>
      <w:r>
        <w:t xml:space="preserve"> each of the three layouts shows one large main cluster plus a small separated group, and the protein layout also shows several small satellite clusters. Because each layout is fitted separately and points are unlabeled, the plots do not show whether these groups contain the same sequences; tracing them back to the rows, and checking length, GC content, and species, would test that. Illustrative only, not evidence on its own.</w:t>
      </w:r>
    </w:p>
    <w:p>
      <w:pPr>
        <w:pStyle w:val="Heading2"/>
      </w:pPr>
      <w:r>
        <w:t xml:space="preserve">9.4 Track C: Interpretability and Supporting Diagnostics</w:t>
      </w:r>
    </w:p>
    <w:p>
      <w:pPr>
        <w:pStyle w:val="ListParagraph"/>
        <w:numPr>
          <w:ilvl w:val="0"/>
          <w:numId w:val="2"/>
        </w:numPr>
        <w:spacing w:after="100"/>
      </w:pPr>
      <w:r>
        <w:rPr>
          <w:b/>
          <w:bCs/>
        </w:rPr>
        <w:t xml:space="preserve">Attention-motif overlap test (design):</w:t>
      </w:r>
      <w:r>
        <w:t xml:space="preserve"> the motif scan targets the AU-rich element pentamer (AUUUA) and nonamer (UUAUUUAUU), the two most-cited motifs mediating ARE-directed mRNA decay (Lagnado et al., 1994; Zubiaga et al., 1995), and the DRACH consensus for m6A sites (Dominissini et al., 2012; Meyer et al., 2012), a direct, independent regulator of mRNA half-life, scanned as degenerate IUPAC patterns. Results are broken down per motif class alongside the pooled result, since ARE- and m6A-mediated decay work through different mechanisms and a pooled result can hide an effect specific to one of them.</w:t>
      </w:r>
    </w:p>
    <w:p>
      <w:pPr>
        <w:pStyle w:val="ListParagraph"/>
        <w:numPr>
          <w:ilvl w:val="0"/>
          <w:numId w:val="2"/>
        </w:numPr>
        <w:spacing w:after="100"/>
      </w:pPr>
      <w:r>
        <w:rPr>
          <w:b/>
          <w:bCs/>
        </w:rPr>
        <w:t>Attention-motif overlap test (results):</w:t>
      </w:r>
      <w:r>
        <w:t xml:space="preserve"> for the DNA encoder, in the single-example check, 311 matched positions show mean attention of 0.0031 versus 0.0033 elsewhere (p = 0.60). RNA-FM covers only the first 1,022 of that sequence's 2,556 nucleotides, and its 135 matched positions show 0.0172 versus 0.0138 (p = 0.068). Across the 100-sequence aggregate, all 100 sequences yield usable hits for both encoders; 7% (DNA) and 9% (RNA) show nominally higher attention at motif positions, against a 5% chance baseline, and the mean attention gaps are slightly negative (-0.0009 and -0.0015). The ARE pentamer appears in 41 sequences within the DNA encoder's coverage and 33 within RNA-FM's, and the ARE nonamer in none.</w:t>
      </w:r>
    </w:p>
    <w:p>
      <w:pPr>
        <w:pStyle w:val="ListParagraph"/>
        <w:numPr>
          <w:ilvl w:val="0"/>
          <w:numId w:val="2"/>
        </w:numPr>
        <w:spacing w:after="100"/>
      </w:pPr>
      <w:r>
        <w:rPr>
          <w:b/>
          <w:bCs/>
        </w:rPr>
        <w:t xml:space="preserve">Important limit on Track C:</w:t>
      </w:r>
      <w:r>
        <w:t xml:space="preserve"> the mRNA_Stability sequences are coding-only. Every length is a multiple of three, 98.5% start with ATG, and 99.3% end exactly at their first in-frame stop codon, so there is no UTR context. AREs and m6A sites are canonically enriched in 3' UTRs, so this test only covers coding regions, where these elements are less concentrated, and the null result should be given limited weight.</w:t>
      </w:r>
    </w:p>
    <w:p>
      <w:pPr>
        <w:pStyle w:val="ListParagraph"/>
        <w:numPr>
          <w:ilvl w:val="0"/>
          <w:numId w:val="2"/>
        </w:numPr>
        <w:spacing w:after="100"/>
      </w:pPr>
      <w:r>
        <w:rPr>
          <w:b/>
          <w:bCs/>
        </w:rPr>
        <w:t>Alignment-error association (an exploratory adaptation of the ICML 2025 paper's diagnostic, reported as a Spearman correlation rather than a fitted slope):</w:t>
      </w:r>
      <w:r>
        <w:t xml:space="preserve"> on the held-out CCA test-set vectors, the Spearman correlation between per-sample local alignment and downstream prediction error is 0.010 (p = 0.86) for DNA-RNA, -0.013 (p = 0.83) for DNA-protein, and -0.131 (p = 0.025) for RNA-protein. The RNA-protein association is weak and does not survive a correction for testing three pairs (Bonferroni threshold 0.0167). Read against the paper's framework, this is consistent with the view that an explicit alignment loss is unlikely to help the fusion architecture, but it does not establish modality uniqueness or directly predict the effect of training with an alignment loss. It is a sample-level adaptation of the paper's across-model diagnostic, not a replication.</w:t>
      </w:r>
    </w:p>
    <w:p>
      <w:pPr>
        <w:pStyle w:val="ListParagraph"/>
        <w:numPr>
          <w:ilvl w:val="0"/>
          <w:numId w:val="2"/>
        </w:numPr>
        <w:spacing w:after="100"/>
      </w:pPr>
      <w:r>
        <w:rPr>
          <w:b/>
          <w:bCs/>
        </w:rPr>
        <w:t>Representational Similarity Analysis (RSA):</w:t>
      </w:r>
      <w:r>
        <w:t xml:space="preserve"> the Spearman correlation between two modalities' internal pairwise-distance structures is 0.548 for DNA-RNA, 0.234 for DNA-protein, and 0.238 for RNA-protein. A Mantel permutation test with 499 permutations gives p = 0.002 for every pair, the smallest attainable value, so each pair shares more distance structure than chance. RSA ranks the pairs as CKA does, and it reuses the same embeddings as the other diagnostics, so it is supporting evidence rather than a fully independent confirmation.</w:t>
      </w:r>
    </w:p>
    <w:p>
      <w:pPr>
        <w:pStyle w:val="Heading2"/>
      </w:pPr>
      <w:r>
        <w:t xml:space="preserve">9.5 Stage 1 Summary</w:t>
      </w:r>
    </w:p>
    <w:p>
      <w:pPr>
        <w:spacing w:after="160"/>
      </w:pPr>
      <w:r>
        <w:t>Frozen protein embeddings carry a real, modest linear signal about mRNA stability that is not driven by sequence length (R² 0.103); the DNA (0.015) and RNA (0.028) embeddings show no reliable linear signal. The pipeline is verified correct by the synonymous-recoding control. The two nucleotide embeddings agree much more with each other than with protein, CCA and retrieval find a strong shared subspace for every pair, and the composition control shows that most of this agreement is reproduced by letter, codon, and amino-acid frequencies alone. The alignment-error association finds no reliable relationship between local alignment and downstream error.</w:t>
      </w:r>
    </w:p>
    <w:p>
      <w:pPr>
        <w:spacing w:after="160"/>
      </w:pPr>
      <w:r>
        <w:t>The attention-motif overlap test is null for both nucleotide encoders, though only coding sequence could be tested. Linear concatenation shows no synergy (best combination 0.103, equal to protein alone); whether a learned fusion mechanism can use the modalities together is the Stage 3 question. GC3 shows that the DNA and RNA embeddings keep synonymous codon information the protein embedding lacks, and the secondary structure proxy is weakly decodable from all three embeddings. Every planned Stage 1 check is implemented and run.</w:t>
      </w:r>
    </w:p>
    <w:p>
      <w:pPr>
        <w:pStyle w:val="Heading2"/>
      </w:pPr>
      <w:r>
        <w:t xml:space="preserve">9.6 Interpreting the Results</w:t>
      </w:r>
    </w:p>
    <w:p>
      <w:pPr>
        <w:pStyle w:val="ListParagraph"/>
        <w:numPr>
          <w:ilvl w:val="0"/>
          <w:numId w:val="2"/>
        </w:numPr>
        <w:spacing w:after="100"/>
      </w:pPr>
      <w:r>
        <w:rPr>
          <w:b/>
          <w:bCs/>
        </w:rPr>
        <w:t>The disagreement between metrics is the finding.</w:t>
      </w:r>
      <w:r>
        <w:t xml:space="preserve"> CKA and mutual k-NN say the spaces mostly disagree, while CCA and retrieval find, and RSA is consistent with, a strong, learnable shared subspace in every pair. The composition control resolves the contrast: that subspace is mostly composition.</w:t>
      </w:r>
    </w:p>
    <w:p>
      <w:pPr>
        <w:pStyle w:val="ListParagraph"/>
        <w:numPr>
          <w:ilvl w:val="0"/>
          <w:numId w:val="2"/>
        </w:numPr>
        <w:spacing w:after="100"/>
      </w:pPr>
      <w:r>
        <w:rPr>
          <w:b/>
          <w:bCs/>
        </w:rPr>
        <w:t>Placement in the alignment framework.</w:t>
      </w:r>
      <w:r>
        <w:t xml:space="preserve"> The evidence from several methods points to high uniqueness for the pairs involving protein, with the shared part largely compositional. The DNA and RNA encoders are more redundant with each other, as expected for two models reading the same sequence. Synergy is a separate question: linear concatenation shows none, and Stage 3 tests it properly.</w:t>
      </w:r>
    </w:p>
    <w:p>
      <w:pPr>
        <w:pStyle w:val="ListParagraph"/>
        <w:numPr>
          <w:ilvl w:val="0"/>
          <w:numId w:val="2"/>
        </w:numPr>
        <w:spacing w:after="100"/>
      </w:pPr>
      <w:r>
        <w:rPr>
          <w:b/>
          <w:bCs/>
        </w:rPr>
        <w:t>Implication for fusion.</w:t>
      </w:r>
      <w:r>
        <w:t xml:space="preserve"> Linear concatenation shows no synergy, and the cross-modal structure the encoders share is mostly composition that each encoder can already see. A learned fusion mechanism (Coupled Mamba, then cross-attention) is still the right Stage 3 test, since it can use token-level interactions that pooled linear probes cannot, but the bar is high: it must beat protein alone and the concatenation-plus-MLP baseline.</w:t>
      </w:r>
    </w:p>
    <w:p>
      <w:pPr>
        <w:pStyle w:val="ListParagraph"/>
        <w:numPr>
          <w:ilvl w:val="0"/>
          <w:numId w:val="2"/>
        </w:numPr>
        <w:spacing w:after="100"/>
      </w:pPr>
      <w:r>
        <w:rPr>
          <w:b/>
          <w:bCs/>
        </w:rPr>
        <w:t>The null attention result is a real result.</w:t>
      </w:r>
      <w:r>
        <w:t xml:space="preserve"> Neither frozen nucleotide encoder's aggregated final-layer attention tracks these canonical stability elements, within the coding-only limit described above. A different layer or attention head, gradient attribution, or a dataset with UTR context could be checked next.</w:t>
      </w:r>
    </w:p>
    <w:p>
      <w:pPr>
        <w:pStyle w:val="Heading2"/>
      </w:pPr>
      <w:r>
        <w:t xml:space="preserve">9.7 Literature and Toolkit Status</w:t>
      </w:r>
    </w:p>
    <w:p>
      <w:pPr>
        <w:pStyle w:val="ListParagraph"/>
        <w:numPr>
          <w:ilvl w:val="0"/>
          <w:numId w:val="2"/>
        </w:numPr>
        <w:spacing w:after="100"/>
      </w:pPr>
      <w:r>
        <w:rPr>
          <w:b/>
          <w:bCs/>
        </w:rPr>
        <w:t xml:space="preserve">Full standalone reviews:</w:t>
      </w:r>
      <w:r>
        <w:t xml:space="preserve"> BioLangFusion, Isoformer, Central Dogma Transformer, LucaOne, Coupled Mamba, and the alignment theory paper (ICML 2025).</w:t>
      </w:r>
    </w:p>
    <w:p>
      <w:pPr>
        <w:pStyle w:val="ListParagraph"/>
        <w:numPr>
          <w:ilvl w:val="0"/>
          <w:numId w:val="2"/>
        </w:numPr>
        <w:spacing w:after="100"/>
      </w:pPr>
      <w:r>
        <w:rPr>
          <w:b/>
          <w:bCs/>
        </w:rPr>
        <w:t xml:space="preserve">Surveyed at a lighter level:</w:t>
      </w:r>
      <w:r>
        <w:t xml:space="preserve"> CDT-II, CDT-III, Life-Code, CAPTAIN, the beyond-alignment / Synergistic Information Score critique, the dependency-compression-synergy preprint, CrossLLM-Mamba, Mamba-3, the DNA-protein Perceiver paper, and DNABERT-viz.</w:t>
      </w:r>
    </w:p>
    <w:p>
      <w:pPr>
        <w:pStyle w:val="ListParagraph"/>
        <w:numPr>
          <w:ilvl w:val="0"/>
          <w:numId w:val="2"/>
        </w:numPr>
        <w:spacing w:after="100"/>
      </w:pPr>
      <w:r>
        <w:rPr>
          <w:b/>
          <w:bCs/>
        </w:rPr>
        <w:t>Toolkit implemented and run:</w:t>
      </w:r>
      <w:r>
        <w:t xml:space="preserve"> linear probing (RidgeCV, 5-fold grouped cross-validation), CKA (final-layer and layer-wise), mutual k-NN alignment, CCA with held-out cross-modal retrieval, the composition control, UMAP, the GC content validity probe, the sequence-length confound check, the synergy check, the pipeline-correctness control, the alignment-error association, attention extraction with ARE and m6A motif matching for the DNA and RNA encoders, RSA with a Mantel permutation test, the dataset audit, and the two extended Track A probes (GC3 and Nussinov pairing fraction), all for DNA, RNA, and protein.</w:t>
      </w:r>
    </w:p>
    <w:p>
      <w:pPr>
        <w:pStyle w:val="Heading1"/>
      </w:pPr>
      <w:r>
        <w:t xml:space="preserve">10. Next Steps</w:t>
      </w:r>
    </w:p>
    <w:p>
      <w:pPr>
        <w:pStyle w:val="Heading3"/>
      </w:pPr>
      <w:r>
        <w:t xml:space="preserve">Setup</w:t>
      </w:r>
    </w:p>
    <w:p>
      <w:pPr>
        <w:pStyle w:val="ListParagraph"/>
        <w:numPr>
          <w:ilvl w:val="0"/>
          <w:numId w:val="2"/>
        </w:numPr>
        <w:spacing w:after="100"/>
      </w:pPr>
      <w:r>
        <w:t xml:space="preserve">Secure GPU access for Stage 3 training. Google Colab is the fastest path if lab GPU access is not yet set up.</w:t>
      </w:r>
    </w:p>
    <w:p>
      <w:pPr>
        <w:pStyle w:val="Heading3"/>
      </w:pPr>
      <w:r>
        <w:t>Multiple Encoders per Modality</w:t>
      </w:r>
    </w:p>
    <w:p>
      <w:pPr>
        <w:pStyle w:val="ListParagraph"/>
        <w:numPr>
          <w:ilvl w:val="0"/>
          <w:numId w:val="2"/>
        </w:numPr>
        <w:spacing w:after="100"/>
      </w:pPr>
      <w:r>
        <w:t>Confirm the mRNA_Stability.csv version against the CodonBERT repository and BioLangFusion's filtering (41,123 raw to 23,929 used), and build a deduplicated, sequence-disjoint split.</w:t>
      </w:r>
    </w:p>
    <w:p>
      <w:pPr>
        <w:pStyle w:val="ListParagraph"/>
        <w:numPr>
          <w:ilvl w:val="0"/>
          <w:numId w:val="2"/>
        </w:numPr>
        <w:spacing w:after="100"/>
      </w:pPr>
      <w:r>
        <w:t>Extend the Stage 1 code, in a separate notebook, to take a list of encoders (for example Nucleotide Transformer v2 100M and DNABERT-2 for DNA; mRNA-FM for RNA; ESM-2 8M and 150M for protein) and produce pairwise CKA, mutual k-NN, RSA, CCA, and retrieval matrices, including pairs within one modality as a baseline. Nucleotide Transformer v2 and DNABERT-2 need small compatibility adjustments to load under transformers 5.</w:t>
      </w:r>
    </w:p>
    <w:p>
      <w:pPr>
        <w:pStyle w:val="ListParagraph"/>
        <w:numPr>
          <w:ilvl w:val="0"/>
          <w:numId w:val="2"/>
        </w:numPr>
        <w:spacing w:after="100"/>
      </w:pPr>
      <w:r>
        <w:t>Report every new comparison before and after the composition control, with the Mantel test for RSA, as Stage 1 now does.</w:t>
      </w:r>
    </w:p>
    <w:p>
      <w:pPr>
        <w:pStyle w:val="ListParagraph"/>
        <w:numPr>
          <w:ilvl w:val="0"/>
          <w:numId w:val="2"/>
        </w:numPr>
        <w:spacing w:after="100"/>
      </w:pPr>
      <w:r>
        <w:t>Run the same pipeline on a pilot subset of IsoFormer's GTEx data, where DNA is a distinct input.</w:t>
      </w:r>
    </w:p>
    <w:p>
      <w:pPr>
        <w:pStyle w:val="ListParagraph"/>
        <w:numPr>
          <w:ilvl w:val="0"/>
          <w:numId w:val="2"/>
        </w:numPr>
        <w:spacing w:after="100"/>
      </w:pPr>
      <w:r>
        <w:t>Reproduce BioLangFusion's single-encoder and fusion baselines on the official split, then compare the alignment measurements with fusion gains across both datasets.</w:t>
      </w:r>
    </w:p>
    <w:p>
      <w:pPr>
        <w:pStyle w:val="Heading3"/>
      </w:pPr>
      <w:r>
        <w:t xml:space="preserve">Stage 2 (Define Alignment)</w:t>
      </w:r>
    </w:p>
    <w:p>
      <w:pPr>
        <w:pStyle w:val="ListParagraph"/>
        <w:numPr>
          <w:ilvl w:val="0"/>
          <w:numId w:val="2"/>
        </w:numPr>
        <w:spacing w:after="100"/>
      </w:pPr>
      <w:r>
        <w:t xml:space="preserve">Formalize "no explicit alignment loss; the fusion architecture learns the shared subspace" as the proposed Stage 2 decision, based on the placement in Section 9.6.</w:t>
      </w:r>
    </w:p>
    <w:p>
      <w:pPr>
        <w:pStyle w:val="ListParagraph"/>
        <w:numPr>
          <w:ilvl w:val="0"/>
          <w:numId w:val="2"/>
        </w:numPr>
        <w:spacing w:after="100"/>
      </w:pPr>
      <w:r>
        <w:t>The composition control already answers the earlier open question: the shared subspace is mostly compositional. A next check is whether the small residual agreement is nonlinear composition or genuinely shared information, for example with a nonlinear composition model.</w:t>
      </w:r>
    </w:p>
    <w:p>
      <w:pPr>
        <w:pStyle w:val="Heading3"/>
      </w:pPr>
      <w:r>
        <w:t xml:space="preserve">Stage 3 (Fusion)</w:t>
      </w:r>
    </w:p>
    <w:p>
      <w:pPr>
        <w:pStyle w:val="ListParagraph"/>
        <w:numPr>
          <w:ilvl w:val="0"/>
          <w:numId w:val="2"/>
        </w:numPr>
        <w:spacing w:after="100"/>
      </w:pPr>
      <w:r>
        <w:t xml:space="preserve">Scale up from the 1,000-sequence pilot to a full training set, since a trained fusion module needs more data than the pilot to find the narrow shared subspace reliably.</w:t>
      </w:r>
    </w:p>
    <w:p>
      <w:pPr>
        <w:pStyle w:val="ListParagraph"/>
        <w:numPr>
          <w:ilvl w:val="0"/>
          <w:numId w:val="2"/>
        </w:numPr>
        <w:spacing w:after="100"/>
      </w:pPr>
      <w:r>
        <w:t>Build the Coupled Mamba fusion module first, then Isoformer-style cross-attention: frozen DNA, RNA, and protein encoders feeding a trainable fusion layer plus a task head, training only the fusion module and head.</w:t>
      </w:r>
    </w:p>
    <w:p>
      <w:pPr>
        <w:pStyle w:val="ListParagraph"/>
        <w:numPr>
          <w:ilvl w:val="0"/>
          <w:numId w:val="2"/>
        </w:numPr>
        <w:spacing w:after="100"/>
      </w:pPr>
      <w:r>
        <w:t xml:space="preserve">Build in an Isoformer-style ablation (reinitialize one encoder's weights and confirm performance drops) to show the model genuinely uses cross-modal information rather than leaning on whichever modality is stronger.</w:t>
      </w:r>
    </w:p>
    <w:p>
      <w:pPr>
        <w:pStyle w:val="Heading3"/>
      </w:pPr>
      <w:r>
        <w:t xml:space="preserve">Stage 4 (Benchmarking)</w:t>
      </w:r>
    </w:p>
    <w:p>
      <w:pPr>
        <w:pStyle w:val="ListParagraph"/>
        <w:numPr>
          <w:ilvl w:val="0"/>
          <w:numId w:val="2"/>
        </w:numPr>
        <w:spacing w:after="100"/>
      </w:pPr>
      <w:r>
        <w:t>Compare single-modality, pairwise, and three-modality (DNA, RNA, protein) fusion against BioLangFusion's and CodonBERT's published mRNA_Stability scores on the official split, report leakage-free results on a deduplicated split, and include the mRFP_Expression control and the protocol in Section 3.4.</w:t>
      </w:r>
    </w:p>
    <w:p>
      <w:pPr>
        <w:pStyle w:val="ListParagraph"/>
        <w:numPr>
          <w:ilvl w:val="0"/>
          <w:numId w:val="2"/>
        </w:numPr>
        <w:spacing w:after="100"/>
      </w:pPr>
      <w:r>
        <w:t xml:space="preserve">This is the actual test of the project's premise: does fusion beat the best single-modality model? Everything before this stage is groundwork for answering that question honestly.</w:t>
      </w:r>
    </w:p>
    <w:p>
      <w:pPr>
        <w:pStyle w:val="Heading1"/>
      </w:pPr>
      <w:r>
        <w:t xml:space="preserve">11. Open Questions</w:t>
      </w:r>
    </w:p>
    <w:p>
      <w:pPr>
        <w:pStyle w:val="ListParagraph"/>
        <w:numPr>
          <w:ilvl w:val="0"/>
          <w:numId w:val="2"/>
        </w:numPr>
        <w:spacing w:after="100"/>
      </w:pPr>
      <w:r>
        <w:t>Does mRNA stability become the confirmed Stage 4 benchmark, or one of several alongside IsoFormer's GTEx data? Is the repository's mRNA_Stability.csv the same version BioLangFusion used (Section 4)?</w:t>
      </w:r>
    </w:p>
    <w:p>
      <w:pPr>
        <w:pStyle w:val="ListParagraph"/>
        <w:numPr>
          <w:ilvl w:val="0"/>
          <w:numId w:val="2"/>
        </w:numPr>
        <w:spacing w:after="100"/>
      </w:pPr>
      <w:r>
        <w:t>Probe means on the 981-sequence pilot shift across software environments by up to about one fold standard deviation. Should package versions and model revisions be pinned, and several seeds reported, before comparing encoders?</w:t>
      </w:r>
    </w:p>
    <w:p>
      <w:pPr>
        <w:pStyle w:val="ListParagraph"/>
        <w:numPr>
          <w:ilvl w:val="0"/>
          <w:numId w:val="2"/>
        </w:numPr>
        <w:spacing w:after="100"/>
      </w:pPr>
      <w:r>
        <w:t xml:space="preserve">Should Stage 2 plan from the start for asymmetric, per-pair alignment decisions rather than one method applied uniformly, given the Central Dogma Transformer sequel finding that RNA and protein changes often move in opposite directions?</w:t>
      </w:r>
    </w:p>
    <w:p>
      <w:pPr>
        <w:pStyle w:val="ListParagraph"/>
        <w:numPr>
          <w:ilvl w:val="0"/>
          <w:numId w:val="2"/>
        </w:numPr>
        <w:spacing w:after="100"/>
      </w:pPr>
      <w:r>
        <w:t>Is the small agreement that survives the composition control shared biological information, or nonlinear composition that a linear control cannot remove?</w:t>
      </w:r>
    </w:p>
    <w:p>
      <w:pPr>
        <w:pStyle w:val="ListParagraph"/>
        <w:numPr>
          <w:ilvl w:val="0"/>
          <w:numId w:val="2"/>
        </w:numPr>
        <w:spacing w:after="100"/>
      </w:pPr>
      <w:r>
        <w:t xml:space="preserve">Is BioLangFusion's codon-level positional alignment a limitation to design around, or is a learned or contrastive alignment approach preferred if alignment is needed?</w:t>
      </w:r>
    </w:p>
    <w:p>
      <w:pPr>
        <w:pStyle w:val="ListParagraph"/>
        <w:numPr>
          <w:ilvl w:val="0"/>
          <w:numId w:val="2"/>
        </w:numPr>
        <w:spacing w:after="100"/>
      </w:pPr>
      <w:r>
        <w:t xml:space="preserve">How much should interpretability matter as a project goal relative to raw predictive performance?</w:t>
      </w:r>
    </w:p>
    <w:p>
      <w:pPr>
        <w:pStyle w:val="ListParagraph"/>
        <w:numPr>
          <w:ilvl w:val="0"/>
          <w:numId w:val="2"/>
        </w:numPr>
        <w:spacing w:after="100"/>
      </w:pPr>
      <w:r>
        <w:t xml:space="preserve">What counts as a "biologically meaningful" pattern when interpreting probing, CKA, or UMAP results, and which known signals (codon usage, GC content, structural motifs) should be checked first, given that the GC and layer-wise CKA results already point toward a compositional explanation?</w:t>
      </w:r>
    </w:p>
    <w:p>
      <w:pPr>
        <w:pStyle w:val="ListParagraph"/>
        <w:numPr>
          <w:ilvl w:val="0"/>
          <w:numId w:val="2"/>
        </w:numPr>
        <w:spacing w:after="100"/>
      </w:pPr>
      <w:r>
        <w:t xml:space="preserve">How does this analysis relate to the lab's own alignment study: should it feed into that study or run as a separate check?</w:t>
      </w:r>
    </w:p>
    <w:p>
      <w:pPr>
        <w:pStyle w:val="ListParagraph"/>
        <w:numPr>
          <w:ilvl w:val="0"/>
          <w:numId w:val="2"/>
        </w:numPr>
        <w:spacing w:after="100"/>
      </w:pPr>
      <w:r>
        <w:t xml:space="preserve">Should the synergy check be a formal Stage 1 deliverable alongside CKA and mutual k-NN, or are alignment metrics alone considered sufficient?</w:t>
      </w:r>
    </w:p>
    <w:p>
      <w:pPr>
        <w:pStyle w:val="ListParagraph"/>
        <w:numPr>
          <w:ilvl w:val="0"/>
          <w:numId w:val="2"/>
        </w:numPr>
        <w:spacing w:after="100"/>
      </w:pPr>
      <w:r>
        <w:t xml:space="preserve">For Track C, is a different attention layer or head, or a dataset with UTR context, worth testing?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RNA and Protein Fusion Project: Shared Project Notes</dc:title>
  <dc:creator>RNA-Protein-Multimodal-Fusion team</dc:creator>
  <cp:lastModifiedBy>Un-named</cp:lastModifiedBy>
  <cp:revision>1</cp:revision>
  <dcterms:created xsi:type="dcterms:W3CDTF">2026-09-27T03:16:18.933Z</dcterms:created>
  <dcterms:modified xsi:type="dcterms:W3CDTF">2026-09-27T03:16:18.942Z</dcterms:modified>
</cp:coreProperties>
</file>

<file path=docProps/custom.xml><?xml version="1.0" encoding="utf-8"?>
<Properties xmlns="http://schemas.openxmlformats.org/officeDocument/2006/custom-properties" xmlns:vt="http://schemas.openxmlformats.org/officeDocument/2006/docPropsVTypes"/>
</file>