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multimodal-bio-fusion</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Code/Stage1_analysis.ipynb in the project repository (multimodal-bio-fusion on GitHub).</w:t>
      </w:r>
    </w:p>
    <w:p>
      <w:pPr>
        <w:pStyle w:val="ListParagraph"/>
        <w:numPr>
          <w:ilvl w:val="0"/>
          <w:numId w:val="2"/>
        </w:numPr>
        <w:spacing w:after="100"/>
      </w:pPr>
      <w:r>
        <w:rPr>
          <w:b/>
          <w:bCs/>
        </w:rPr>
        <w:t xml:space="preserve">Manuscript:</w:t>
      </w:r>
      <w:r>
        <w:t xml:space="preserve"> the project paper is written in the Overleaf project “multimodal-bio-fusion”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 xml:space="preserve">Stage 1 (Representation Analysis) is complete for eight frozen encoders, two or three per modality: Nucleotide Transformer 500M human-ref, Nucleotide Transformer v2 100M multi-species, and DNABERT-2 read each coding sequence in DNA letters; RNA-FM and mRNA-FM read it in RNA letters; and ESM-2 8M, 35M, and 150M read its translation. The next step applies the same analyses to IsoFormer's GTEx data, where DNA is a distinct input, and compares against BioLangFusion and IsoFormer on the same inputs (Sections 4 and 10). Stage 2 (Define Alignment) follows.</w:t>
      </w:r>
    </w:p>
    <w:p>
      <w:pPr>
        <w:pStyle w:val="Heading2"/>
      </w:pPr>
      <w:r>
        <w:t xml:space="preserve">Main Stage 1 Findings</w:t>
      </w:r>
    </w:p>
    <w:p>
      <w:pPr>
        <w:pStyle w:val="ListParagraph"/>
        <w:numPr>
          <w:ilvl w:val="0"/>
          <w:numId w:val="2"/>
        </w:numPr>
        <w:spacing w:after="100"/>
      </w:pPr>
      <w:r>
        <w:t xml:space="preserve">The protein encoders carry the most linearly accessible stability signal (R² 0.114 to 0.144), and mRNA-FM, which reads one token per codon, comes close (0.127). The other nucleotide encoders reach 0.032 to 0.080, and sequence length alone predicts nothing (0.003).</w:t>
      </w:r>
    </w:p>
    <w:p>
      <w:pPr>
        <w:pStyle w:val="ListParagraph"/>
        <w:numPr>
          <w:ilvl w:val="0"/>
          <w:numId w:val="2"/>
        </w:numPr>
        <w:spacing w:after="100"/>
      </w:pPr>
      <w:r>
        <w:t xml:space="preserve">Agreement follows tokenization and training more than the modality label. The three ESM-2 models agree most (final-layer CKA 0.553 to 0.744); Nucleotide Transformer 500M, DNABERT-2, and RNA-FM agree with each other (0.530 to 0.613) whether labeled DNA or RNA; mRNA-FM agrees globally with no other encoder (at most 0.126).</w:t>
      </w:r>
    </w:p>
    <w:p>
      <w:pPr>
        <w:pStyle w:val="ListParagraph"/>
        <w:numPr>
          <w:ilvl w:val="0"/>
          <w:numId w:val="2"/>
        </w:numPr>
        <w:spacing w:after="100"/>
      </w:pPr>
      <w:r>
        <w:t xml:space="preserve">Removing letter, codon, and amino-acid composition cuts CKA by 38% to 90% for every pair involving a nucleotide encoder, so most of that agreement is compositional. Agreement among the protein encoders survives, and mRNA-FM keeps the most correspondence with the protein encoders (CCA Recall@1 0.078 to 0.102 after the control, against 0.0034 chance).</w:t>
      </w:r>
    </w:p>
    <w:p>
      <w:pPr>
        <w:pStyle w:val="ListParagraph"/>
        <w:numPr>
          <w:ilvl w:val="0"/>
          <w:numId w:val="2"/>
        </w:numPr>
        <w:spacing w:after="100"/>
      </w:pPr>
      <w:r>
        <w:t xml:space="preserve">Linear concatenation of mRNA-FM with a protein encoder improves on the better encoder under all ten further fold assignments, by about 0.01 to 0.02. No other pairing gains that much, and larger concatenations at best match ESM-2 150M alone.</w:t>
      </w:r>
    </w:p>
    <w:p>
      <w:pPr>
        <w:pStyle w:val="ListParagraph"/>
        <w:numPr>
          <w:ilvl w:val="0"/>
          <w:numId w:val="2"/>
        </w:numPr>
        <w:spacing w:after="100"/>
      </w:pPr>
      <w:r>
        <w:t xml:space="preserve">Nucleotide Transformer 500M and RNA-FM show no extra final-layer attention at known mRNA stability motifs (AU-rich elements and m6A sites) within coding sequence. The apparent associations for Nucleotide Transformer v2 and mRNA-FM need positional and codon-composition controls.</w:t>
      </w:r>
    </w:p>
    <w:p>
      <w:pPr>
        <w:pStyle w:val="Heading2"/>
      </w:pPr>
      <w:r>
        <w:t xml:space="preserve">Proposed Alignment Reading</w:t>
      </w:r>
    </w:p>
    <w:p>
      <w:pPr>
        <w:spacing w:after="160"/>
      </w:pPr>
      <w:r>
        <w:t xml:space="preserve">Mapped onto the alignment theory framework (Section 3.2), these results point to the "low alignment, high uniqueness" branch for most pairs involving protein: the encoders agree weakly, and most of that agreement is reproduced by sequence composition alone. Encoders reading single letters or short tokens of the same sequence are more aligned with each other, but their agreement is also mostly compositional. mRNA-FM with a protein encoder is the pairing worth testing first: it keeps the most correspondence after the composition control and is the only pairing whose linear concatenation gains 0.01 or more under every fold assignment. Synergy beyond that linear gain remains untested until Stage 3's fusion models. The implied Stage 2 direction is to skip an explicit alignment loss and let the fusion architecture learn any useful interaction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eight frozen encoders, two or three per modality: three DNA encoders read each coding sequence in DNA letters, two RNA encoders read it in RNA letters, and three ESM-2 protein models read its translation.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each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all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Nucleotide Transformer v2 100M multi-species, and DNABERT-2 for DNA; RNA-FM and mRNA-FM for RNA; and ESM-2 8M, 35M, and 150M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of the 28 encoder pairs: Spearman correlations from -0.156 to +0.117,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all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 xml:space="preserve">All results come from the saved outputs of Code/Stage1_analysis.ipynb (run on an Apple GPU through PyTorch's MPS backend, Python 3.12) on 1,000 sequences sampled from mRNA_Stability. The notebook gives a results table and interpretation after each output.</w:t>
      </w:r>
    </w:p>
    <w:p>
      <w:pPr>
        <w:pStyle w:val="Heading2"/>
      </w:pPr>
      <w:r>
        <w:t xml:space="preserve">9.1 Pipeline and Correctness Control</w:t>
      </w:r>
    </w:p>
    <w:p>
      <w:pPr>
        <w:pStyle w:val="ListParagraph"/>
        <w:numPr>
          <w:ilvl w:val="0"/>
          <w:numId w:val="2"/>
        </w:numPr>
        <w:spacing w:after="100"/>
      </w:pPr>
      <w:r>
        <w:rPr>
          <w:b/>
          <w:bCs/>
        </w:rPr>
        <w:t xml:space="preserve">Pipeline:</w:t>
      </w:r>
      <w:r>
        <w:t xml:space="preserve"> the notebook loads mRNA_Stability, keeps valid, in-frame sequences that start with a start codon, and translates each kept sequence to its protein via the genetic code. Each kept sequence is embedded by eight frozen, off-the-shelf encoders (table below), and each embedding is the mean of the encoder's final hidden states. Of 1,000 sampled sequences, 981 pass the validity filter (98% retention; 964 distinct sequences). Only RNA-FM truncates: 610 of the 981 sequences exceed its 1,022 nucleotides, so it reads only their beginning. mRNA-FM reads one token per codon and fits every retained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2460"/>
        <w:gridCol w:w="2100"/>
        <w:gridCol w:w="900"/>
      </w:tblGrid>
      <w:tr>
        <w:trPr>
          <w:tblHeader/>
        </w:trPr>
        <w:tc>
          <w:tcPr>
            <w:tcW w:type="dxa" w:w="2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Encoder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Modality</w:t>
            </w:r>
          </w:p>
        </w:tc>
        <w:tc>
          <w:tcPr>
            <w:tcW w:type="dxa" w:w="2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Pretraining data</w:t>
            </w:r>
          </w:p>
        </w:tc>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Tokens</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Width</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Nucleotide Transformer 500M human-ref</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Human reference genome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6-mers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1,280</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Nucleotide Transformer v2 100M multi-species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Genomes of many species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6-mers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512</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DNABERT-2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Genomes of many species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Byte-pair tokens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768</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RNA-FM</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RNA</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Non-coding RNA (RNAcentral)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nucleotides, first 1,022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640</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RNA</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Messenger RNA coding sequences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Codons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1,280</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ESM-2 8M</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Protein</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UniRef50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320</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ESM-2 35M</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Protein</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UniRef50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480</w:t>
            </w:r>
          </w:p>
        </w:tc>
      </w:tr>
      <w:tr>
        <w:trPr>
          <w:tblHeader w:val="false"/>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ESM-2 150M</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Protein</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UniRef50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640</w:t>
            </w:r>
          </w:p>
        </w:tc>
      </w:tr>
    </w:tbl>
    <w:p>
      <w:pPr>
        <w:spacing w:after="120"/>
      </w:pPr>
    </w:p>
    <w:p>
      <w:pPr>
        <w:pStyle w:val="ListParagraph"/>
        <w:numPr>
          <w:ilvl w:val="0"/>
          <w:numId w:val="2"/>
        </w:numPr>
        <w:spacing w:after="100"/>
      </w:pPr>
      <w:r>
        <w:rPr>
          <w:b/>
          <w:bCs/>
        </w:rPr>
        <w:t xml:space="preserve">Correctness control (mRFP_Expression):</w:t>
      </w:r>
      <w:r>
        <w:t xml:space="preserve"> all 1,000 synonymous-recoding variants translate to one identical protein, as expected. The three protein encoders' embeddings collapse almost to a single point (average distance to centroid 0.00004 to 0.00006), while every nucleotide encoder's embeddings, which see the codon-level differences, spread out clearly (0.75 to 4.72). This confirms that translation, frame checking, and embedding behave correctly, so the results below are not artifacts of a broken pipeline. The spreads are not comparable across encoders, whose spaces differ in width and scale.</w:t>
      </w:r>
    </w:p>
    <w:p>
      <w:pPr>
        <w:pStyle w:val="Heading2"/>
      </w:pPr>
      <w:r>
        <w:t xml:space="preserve">9.2 Track A: Task-Relevant Decodability</w:t>
      </w:r>
    </w:p>
    <w:p>
      <w:pPr>
        <w:pStyle w:val="ListParagraph"/>
        <w:numPr>
          <w:ilvl w:val="0"/>
          <w:numId w:val="2"/>
        </w:numPr>
        <w:spacing w:after="100"/>
      </w:pPr>
      <w:r>
        <w:rPr>
          <w:b/>
          <w:bCs/>
        </w:rPr>
        <w:t xml:space="preserve">Evaluation setup:</w:t>
      </w:r>
      <w:r>
        <w:t xml:space="preserve"> every probe uses ridge regression (RidgeCV),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00"/>
        <w:gridCol w:w="1900"/>
        <w:gridCol w:w="1200"/>
        <w:gridCol w:w="1200"/>
      </w:tblGrid>
      <w:tr>
        <w:trPr>
          <w:tblHeader/>
        </w:trPr>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Encoder</w:t>
            </w:r>
          </w:p>
        </w:tc>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Stability R² (fold SD)</w:t>
            </w:r>
          </w:p>
        </w:tc>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Stability R², 10 assignments</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GC R²</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GC3 R²</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Nucleotide Transformer 500M human-ref</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0.032 (0.043)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0.985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0.968</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Nucleotide Transformer v2 100M multi-species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0.080 (0.032)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0.074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0.991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0.986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DNABERT-2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0.054 (0.031)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0.990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0.948</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RNA-FM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0.052 (0.032)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0.951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0.917</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0.127 (0.032)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0.110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0.951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0.946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ESM-2 8M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0.127 (0.044)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0.131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0.679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0.379</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ESM-2 35M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0.114 (0.049)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0.123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0.686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0.387</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ESM-2 150M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0.144 (0.035)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0.142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0.708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0.436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Sequence length only</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0.003 (0.009)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0.004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
            </w:r>
          </w:p>
        </w:tc>
      </w:tr>
    </w:tbl>
    <w:p>
      <w:pPr>
        <w:spacing w:after="120"/>
      </w:pPr>
    </w:p>
    <w:p>
      <w:pPr>
        <w:pStyle w:val="ListParagraph"/>
        <w:numPr>
          <w:ilvl w:val="0"/>
          <w:numId w:val="2"/>
        </w:numPr>
        <w:spacing w:after="100"/>
      </w:pPr>
      <w:r>
        <w:rPr>
          <w:b/>
          <w:bCs/>
        </w:rPr>
        <w:t xml:space="preserve">mRNA stability probe:</w:t>
      </w:r>
      <w:r>
        <w:t xml:space="preserve"> the protein encoders carry the most linearly accessible stability signal (R² 0.114 to 0.144 on the pinned folds), and ESM-2 150M scores highest. mRNA-FM, which reads one token per codon and was pretrained on messenger RNA coding sequences, comes close (0.127), while the encoders that read single nucleotides, six-nucleotide tokens, or byte-pair tokens reach 0.032 to 0.080. Each codon-level token fixes an amino acid as well as the synonymous codon, which is a consistent explanation for mRNA-FM's score but not a tested mechanism. All scores are low partly because identical sequences in the full file carry different labels (median within-sequence standard deviation 0.49).</w:t>
      </w:r>
    </w:p>
    <w:p>
      <w:pPr>
        <w:pStyle w:val="ListParagraph"/>
        <w:numPr>
          <w:ilvl w:val="0"/>
          <w:numId w:val="2"/>
        </w:numPr>
        <w:spacing w:after="100"/>
      </w:pPr>
      <w:r>
        <w:rPr>
          <w:b/>
          <w:bCs/>
        </w:rPr>
        <w:t xml:space="preserve">Sequence-length baseline:</w:t>
      </w:r>
      <w:r>
        <w:t xml:space="preserve"> R² 0.003 ± 0.009 on the pinned folds and 0.004 over the further assignments, indistinguishable from zero. The probe scores above are not a proxy for sequence length.</w:t>
      </w:r>
    </w:p>
    <w:p>
      <w:pPr>
        <w:pStyle w:val="ListParagraph"/>
        <w:numPr>
          <w:ilvl w:val="0"/>
          <w:numId w:val="2"/>
        </w:numPr>
        <w:spacing w:after="100"/>
      </w:pPr>
      <w:r>
        <w:rPr>
          <w:b/>
          <w:bCs/>
        </w:rPr>
        <w:t xml:space="preserve">GC content probe (known-property validity check):</w:t>
      </w:r>
      <w:r>
        <w:t xml:space="preserve"> every nucleotide encoder recovers GC content almost perfectly (R² 0.951 to 0.991),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 xml:space="preserve">Codon usage bias probe (GC3):</w:t>
      </w:r>
      <w:r>
        <w:t xml:space="preserve"> the nucleotide encoders recover GC3 (the GC fraction at each codon's third position, the classical proxy for codon usage bias) at R² 0.917 to 0.986, losing at most 0.042 from GC to GC3. The protein encoders fall to 0.379 to 0.436, a loss of 0.27 to 0.30. GC3 correlates 0.922 with overall GC content. Translation collapses synonymous codons to the same amino acid, so this is the clearest evidence that the nucleotide embeddings carry information the protein embeddings cannot: synonymous codon usage.</w:t>
      </w:r>
    </w:p>
    <w:p>
      <w:pPr>
        <w:pStyle w:val="ListParagraph"/>
        <w:numPr>
          <w:ilvl w:val="0"/>
          <w:numId w:val="2"/>
        </w:numPr>
        <w:spacing w:after="100"/>
      </w:pPr>
      <w:r>
        <w:rPr>
          <w:b/>
          <w:bCs/>
        </w:rPr>
        <w:t xml:space="preserve">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every encoder reaches a small positive R² (0.048 to 0.134 over the further assignments). The two RNA encoders have the highest means, about 0.13, but the pinned fold standard deviations (0.045 to 0.148) are as large as the differences between encoders. The protein encoders score at least as well as the DNA encoders without seeing nucleotides, so composition likely carries much of this proxy.</w:t>
      </w:r>
    </w:p>
    <w:p>
      <w:pPr>
        <w:pStyle w:val="ListParagraph"/>
        <w:numPr>
          <w:ilvl w:val="0"/>
          <w:numId w:val="2"/>
        </w:numPr>
        <w:spacing w:after="100"/>
      </w:pPr>
      <w:r>
        <w:rPr>
          <w:b/>
          <w:bCs/>
        </w:rPr>
        <w:t xml:space="preserve">Synergy check (naive concatenation):</w:t>
      </w:r>
      <w:r>
        <w:t xml:space="preserve"> on the pinned folds the best pair, mRNA-FM with ESM-2 150M, reaches R² 0.164, and 7 of the 28 pairs exceed the better of their two encoders, by at most 0.022. Over the ten further fold assignments, four pairs gain under every assignment (table below). Larger concatenations do not help: all DNA encoders reach 0.062, all RNA encoders 0.115, all protein encoders 0.136, one encoder per modality 0.109, and all eight 0.124, each below its best member alone on the pinned folds. Concatenation cannot access synergistic information, so this check does not rule out gains from a learned fusion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700"/>
        <w:gridCol w:w="2300"/>
        <w:gridCol w:w="1800"/>
      </w:tblGrid>
      <w:tr>
        <w:trPr>
          <w:tblHeader/>
        </w:trPr>
        <w:tc>
          <w:tcPr>
            <w:tcW w:type="dxa" w:w="3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Pair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Mean gain</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Range over 10 assignments</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Assignments with a gain</w:t>
            </w:r>
          </w:p>
        </w:tc>
      </w:tr>
      <w:tr>
        <w:trPr>
          <w:tblHeader w:val="false"/>
        </w:trPr>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 + ESM-2 35M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+0.022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+0.014 to +0.031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10 of 10</w:t>
            </w:r>
          </w:p>
        </w:tc>
      </w:tr>
      <w:tr>
        <w:trPr>
          <w:tblHeader w:val="false"/>
        </w:trPr>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 + ESM-2 150M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+0.015</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+0.007 to +0.025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10 of 10</w:t>
            </w:r>
          </w:p>
        </w:tc>
      </w:tr>
      <w:tr>
        <w:trPr>
          <w:tblHeader w:val="false"/>
        </w:trPr>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 + ESM-2 8M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+0.004 to +0.023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10 of 10</w:t>
            </w:r>
          </w:p>
        </w:tc>
      </w:tr>
      <w:tr>
        <w:trPr>
          <w:tblHeader w:val="false"/>
        </w:trPr>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Nucleotide Transformer 500M + DNABERT-2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+0.008</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+0.001 to +0.022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10 of 10</w:t>
            </w:r>
          </w:p>
        </w:tc>
      </w:tr>
      <w:tr>
        <w:trPr>
          <w:tblHeader w:val="false"/>
        </w:trPr>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Other 24 pairs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-0.015 to +0.006</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 to 9 of 10</w:t>
            </w:r>
          </w:p>
        </w:tc>
      </w:tr>
    </w:tbl>
    <w:p>
      <w:pPr>
        <w:spacing w:after="120"/>
      </w:pPr>
    </w:p>
    <w:p>
      <w:pPr>
        <w:pStyle w:val="Heading2"/>
      </w:pPr>
      <w:r>
        <w:t xml:space="preserve">9.3 Track B: Cross-Modal Comparability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Encoder pairs</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Linear CKA</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Mutual k-NN</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First canonical correlation</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Recall@1</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Within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0.553 to 0.744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0.297 to 0.443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0.987 to 0.992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0.936 to 0.973</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Within DNA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0.270 to 0.608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0.152 to 0.201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0.988 to 0.992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0.702 to 0.783</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Within RNA (RNA-FM and mRNA-FM)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0.126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0.081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0.966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0.322</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 with RNA-FM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0.171 to 0.613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0.106 to 0.138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0.972 to 0.978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0.549 to 0.614</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 with mRNA-FM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0.030 to 0.087</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0.078 to 0.093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0.982 to 0.985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0.393 to 0.492</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 with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0.067 to 0.163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0.065 to 0.082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0.950 to 0.960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0.308 to 0.580</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RNA-FM with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0.199 to 0.255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0.058 to 0.067</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0.908 to 0.912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0.217 to 0.234</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 with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0.037 to 0.046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0.093 to 0.113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0.932 to 0.942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0.458 to 0.492</w:t>
            </w:r>
          </w:p>
        </w:tc>
      </w:tr>
    </w:tbl>
    <w:p>
      <w:pPr>
        <w:spacing w:after="120"/>
      </w:pPr>
    </w:p>
    <w:p>
      <w:pPr>
        <w:pStyle w:val="ListParagraph"/>
        <w:numPr>
          <w:ilvl w:val="0"/>
          <w:numId w:val="2"/>
        </w:numPr>
        <w:spacing w:after="100"/>
      </w:pPr>
      <w:r>
        <w:rPr>
          <w:b/>
          <w:bCs/>
        </w:rPr>
        <w:t xml:space="preserve">Final-layer linear CKA:</w:t>
      </w:r>
      <w:r>
        <w:t xml:space="preserve"> agreement follows tokenization and training more than the modality label. The three ESM-2 models agree most (0.553 to 0.744). Nucleotide Transformer 500M, DNABERT-2, and RNA-FM organize the sequences similarly (0.530 to 0.613) whether labeled DNA or RNA, while the two Nucleotide Transformer models agree only moderately (0.398) despite sharing a tokenizer. mRNA-FM shares little global structure with any encoder (0.030 to 0.126), including RNA-FM, and agreement between nucleotide and protein encoders is low throughout (0.037 to 0.255).</w:t>
      </w:r>
    </w:p>
    <w:p>
      <w:pPr>
        <w:pStyle w:val="ListParagraph"/>
        <w:numPr>
          <w:ilvl w:val="0"/>
          <w:numId w:val="2"/>
        </w:numPr>
        <w:spacing w:after="100"/>
      </w:pPr>
      <w:r>
        <w:rPr>
          <w:b/>
          <w:bCs/>
        </w:rPr>
        <w:t xml:space="preserve">Layer-wise CKA:</w:t>
      </w:r>
      <w:r>
        <w:t xml:space="preserve"> computed on a 194-sequence subsample (200 rows sampled before the sequence filters) across every hidden state of each pair. The highest agreement involves an early state (0, 1, or 2) of at least one encoder in 27 of the 28 pairs; deeper layers diverge. For Nucleotide Transformer 500M and RNA-FM, agreement peaks at 0.764 (DNA state 14, RNA state 1), with a band of high agreement at DNA states 12 to 16 across every RNA state. The pairs of ESM-2 35M with Nucleotide Transformer 500M and with RNA-FM peak at the protein encoder's embedding layer (0.400 and 0.451), before self-attention mixes in any context. mRNA-FM's early states resemble the protein encoders' early states (0.650 to 0.689) more than any other nucleotide encoder's do, while its final states agree with them least (0.052 to 0.068). The subsample's final-layer values are higher than the full-sample values (for example 0.596 against 0.530 for Nucleotide Transformer 500M and RNA-FM), as expected for linear CKA with few examples relative to the embedding widths, so layer-wise values should be compared within that analysis.</w:t>
      </w:r>
    </w:p>
    <w:p>
      <w:pPr>
        <w:pStyle w:val="ListParagraph"/>
        <w:numPr>
          <w:ilvl w:val="0"/>
          <w:numId w:val="2"/>
        </w:numPr>
        <w:spacing w:after="100"/>
      </w:pPr>
      <w:r>
        <w:rPr>
          <w:b/>
          <w:bCs/>
        </w:rPr>
        <w:t xml:space="preserve">Mutual k-nearest-neighbor alignment (k = 10):</w:t>
      </w:r>
      <w:r>
        <w:t xml:space="preserve"> every pair shares far more neighbors than the chance level of about 0.010, from about 6 to 43 times. The ordering largely follows CKA, with one exception: mRNA-FM shares more local neighborhoods with the protein encoders (0.093 to 0.113) than any other nucleotide encoder does (at most 0.082).</w:t>
      </w:r>
    </w:p>
    <w:p>
      <w:pPr>
        <w:pStyle w:val="ListParagraph"/>
        <w:numPr>
          <w:ilvl w:val="0"/>
          <w:numId w:val="2"/>
        </w:numPr>
        <w:spacing w:after="100"/>
      </w:pPr>
      <w:r>
        <w:rPr>
          <w:b/>
          <w:bCs/>
        </w:rPr>
        <w:t xml:space="preserve">CCA and cross-modal retrieval</w:t>
      </w:r>
      <w:r>
        <w:t xml:space="preserve"> (PCA to 50 dimensions per encoder, then 10 canonical components, evaluated on a held-out 30% split of 295 rows): the first canonical correlation is 0.908 to 0.992 for every pair. Retrieval separates the pairs more clearly. The protein encoders find each other's sequences as the top candidate 94% to 97% of the time and the DNA encoders 70% to 78%, against a chance level of 0.34%. Among nucleotide encoders, Nucleotide Transformer v2 and mRNA-FM find a sequence's protein partner most often (46% to 58%), despite their low CKA with the protein encoders; RNA-FM, the only encoder reading a truncated sequence, finds it least often (22% to 23%).</w:t>
      </w:r>
    </w:p>
    <w:p>
      <w:pPr>
        <w:pStyle w:val="ListParagraph"/>
        <w:numPr>
          <w:ilvl w:val="0"/>
          <w:numId w:val="2"/>
        </w:numPr>
        <w:spacing w:after="100"/>
      </w:pPr>
      <w:r>
        <w:rPr>
          <w:b/>
          <w:bCs/>
        </w:rPr>
        <w:t xml:space="preserve">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nucleotide encoder, this shared subspace is mostly composition.</w:t>
      </w:r>
    </w:p>
    <w:p>
      <w:pPr>
        <w:pStyle w:val="ListParagraph"/>
        <w:numPr>
          <w:ilvl w:val="0"/>
          <w:numId w:val="2"/>
        </w:numPr>
        <w:spacing w:after="100"/>
      </w:pPr>
      <w:r>
        <w:rPr>
          <w:b/>
          <w:bCs/>
        </w:rPr>
        <w:t xml:space="preserve">Composition control:</w:t>
      </w:r>
      <w:r>
        <w:t xml:space="preserve"> composition explains, in sample, 61% to 80% of the variance in the DNA embeddings and in RNA-FM's, 44% to 48% in the protein embeddings, and 30% in mRNA-FM's, against about 9% expected by chance from 88 predictors. After regressing letter, codon, and amino-acid frequencies out of every embedding, CKA falls by 38% to 90% and Recall@1 to between 0.017 and 0.122 for every pair involving a nucleotide encoder. Agreement among the protein encoders survives (CKA 0.376 to 0.643, Recall@1 0.671 to 0.868), because the three ESM-2 models share far more than amino-acid frequencies. The nucleotide-protein pairing that keeps the most correspondence is mRNA-FM with a protein encoder, still retrieving its partner 8% to 10% of the time, about 23 to 30 times chance; this residual is the part that could reflect shared information beyond composition. Raw similarity between frozen embeddings is a weak alignment target, and later comparisons should report agreement before and after this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Encoder pairs</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CKA before</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CKA after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Recall@1 before</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Recall@1 after</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Within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0.553 to 0.744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0.376 to 0.643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0.936 to 0.973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0.671 to 0.868</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Within DNA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0.270 to 0.608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0.038 to 0.113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0.702 to 0.783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0.058 to 0.122</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Within RNA (RNA-FM and mRNA-FM)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0.126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0.322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0.047</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 with RNA-FM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0.171 to 0.613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0.044 to 0.164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0.549 to 0.614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0.092 to 0.112</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 with mRNA-FM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0.030 to 0.087</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0.012 to 0.031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0.393 to 0.492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0.034 to 0.044</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DNA with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0.067 to 0.163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0.013 to 0.072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0.308 to 0.580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0.017 to 0.041</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RNA-FM with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0.199 to 0.255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0.050 to 0.085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0.217 to 0.234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0.034 to 0.054</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mRNA-FM with protein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0.037 to 0.046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0.021 to 0.028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0.458 to 0.492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1"/>
                <w:szCs w:val="21"/>
              </w:rPr>
              <w:t xml:space="preserve">0.078 to 0.102</w:t>
            </w:r>
          </w:p>
        </w:tc>
      </w:tr>
    </w:tbl>
    <w:p>
      <w:pPr>
        <w:spacing w:after="120"/>
      </w:pPr>
    </w:p>
    <w:p>
      <w:pPr>
        <w:pStyle w:val="ListParagraph"/>
        <w:numPr>
          <w:ilvl w:val="0"/>
          <w:numId w:val="2"/>
        </w:numPr>
        <w:spacing w:after="100"/>
      </w:pPr>
      <w:r>
        <w:rPr>
          <w:b/>
          <w:bCs/>
        </w:rPr>
        <w:t xml:space="preserve">UMAP:</w:t>
      </w:r>
      <w:r>
        <w:t xml:space="preserve"> most layouts show one broad cloud plus one or two small, tightly packed groups separated from it. DNABERT-2 separates a larger group,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so the test covers the other four nucleotide encoders.</w:t>
      </w:r>
    </w:p>
    <w:p>
      <w:pPr>
        <w:pStyle w:val="ListParagraph"/>
        <w:numPr>
          <w:ilvl w:val="0"/>
          <w:numId w:val="2"/>
        </w:numPr>
        <w:spacing w:after="100"/>
      </w:pPr>
      <w:r>
        <w:rPr>
          <w:b/>
          <w:bCs/>
        </w:rPr>
        <w:t xml:space="preserve">Attention-motif overlap test (results):</w:t>
      </w:r>
      <w:r>
        <w:t xml:space="preserve"> in the single-example check (2,556 nucleotides, 311 matched positions), Nucleotide Transformer 500M attends slightly less to matched positions (0.0031 versus 0.0033 elsewhere, p = 0.60), and RNA-FM, which covers only the first 1,022 nucleotides and 135 matched positions, slightly more (0.0172 versus 0.0138, p = 0.068). Across 100 sequences, the fraction with nominally higher attention at motif positions is 7% for Nucleotide Transformer 500M and 9% for RNA-FM, near the 5% chance baseline, with slightly negative mean gaps. Nucleotide Transformer v2 reaches 15% overall and 14 of 41 sequences for the ARE pentamer, but its attention is highest over roughly the first 200 nucleotides, so position alone can produce this. mRNA-FM reaches 93%, almost entirely through DRACH matches, but its mean gap is only +0.0015 on a zero-to-one scale, and DRACH matches constrain which codons they overlap, so codon composition could produce the shift. Both need nulls that preserve position or codon composition before any biological reading. The ARE nonamer appears in none of the 100 sequences.</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and its results should be given limited weight.</w:t>
      </w:r>
    </w:p>
    <w:p>
      <w:pPr>
        <w:pStyle w:val="ListParagraph"/>
        <w:numPr>
          <w:ilvl w:val="0"/>
          <w:numId w:val="2"/>
        </w:numPr>
        <w:spacing w:after="100"/>
      </w:pPr>
      <w:r>
        <w:rPr>
          <w:b/>
          <w:bCs/>
        </w:rPr>
        <w:t xml:space="preserve">Alignment-error association</w:t>
      </w:r>
      <w:r>
        <w:t xml:space="preserve"> (an exploratory adaptation of the ICML 2025 paper's diagnostic, reported as a Spearman correlation rather than a fitted slope): on the held-out CCA test-set vectors (295 rows), the Spearman correlation between per-sample local alignment and downstream prediction error ranges from -0.156 to +0.117 across the 28 pairs. Five pairs have a nominal p below 0.05, the smallest 0.007 for Nucleotide Transformer v2 with RNA-FM, and none survives a Bonferroni correction for 28 pairs (threshold 0.0018).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 xml:space="preserve">Representational Similarity Analysis (RSA):</w:t>
      </w:r>
      <w:r>
        <w:t xml:space="preserve"> the Spearman correlation between two encoders' pairwise-distance structures ranks the pairs much as CKA does: 0.616 to 0.818 within protein, 0.269 to 0.698 within DNA, 0.207 to 0.627 between DNA encoders and RNA-FM, and 0.031 to 0.281 between DNA encoders or RNA-FM and protein. mRNA-FM's distance structure barely resembles any other encoder's (0.041 to 0.097). A Mantel permutation test with 499 permutations gives p = 0.002, the smallest attainable value, for most pairs, and at most 0.016 for every pair except mRNA-FM with ESM-2 150M (p = 0.056). RSA reuses the same embeddings as the other diagnostics, so it is supporting evidence rather than a fully independent confirmation.</w:t>
      </w:r>
    </w:p>
    <w:p>
      <w:pPr>
        <w:pStyle w:val="Heading2"/>
      </w:pPr>
      <w:r>
        <w:t xml:space="preserve">9.5 Stage 1 Summary</w:t>
      </w:r>
    </w:p>
    <w:p>
      <w:pPr>
        <w:spacing w:after="160"/>
      </w:pPr>
      <w:r>
        <w:t xml:space="preserve">The protein encoders carry the most linearly accessible stability signal (R² 0.114 to 0.144), mRNA-FM comes close (0.127), and the other nucleotide encoders reach 0.032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nucleotide encoder is reproduced by letter, codon, and amino-acid frequencies alone. The alignment-error association finds no reliable relationship between local alignment and downstream error.</w:t>
      </w:r>
    </w:p>
    <w:p>
      <w:pPr>
        <w:spacing w:after="160"/>
      </w:pPr>
      <w:r>
        <w:t xml:space="preserve">Linear concatenation of mRNA-FM with a protein encoder adds about 0.01 to 0.02 under every fold assignment; no other combination gains that much, and whether a learned fusion mechanism can use the modalities together is the Stage 3 question. GC3 shows that every nucleotide embedding keeps synonymous codon information the protein embeddings lack, and the secondary structure proxy is weakly decodable from all of them. The attention summaries show no motif association for Nucleotide Transformer 500M and RNA-FM; the apparent associations for Nucleotide Transformer v2 and mRNA-FM need stronger controls, and only coding sequence could be tested. Every planned Stage 1 check is implemented and run for all eight encoders, except attention for DNABERT-2, whose model code does not expose it.</w:t>
      </w:r>
    </w:p>
    <w:p>
      <w:pPr>
        <w:pStyle w:val="Heading2"/>
      </w:pPr>
      <w:r>
        <w:t xml:space="preserve">9.6 Interpreting the Results</w:t>
      </w:r>
    </w:p>
    <w:p>
      <w:pPr>
        <w:pStyle w:val="ListParagraph"/>
        <w:numPr>
          <w:ilvl w:val="0"/>
          <w:numId w:val="2"/>
        </w:numPr>
        <w:spacing w:after="100"/>
      </w:pPr>
      <w:r>
        <w:rPr>
          <w:b/>
          <w:bCs/>
        </w:rPr>
        <w:t xml:space="preserve">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nucleotide encoder: that subspace is mostly composition.</w:t>
      </w:r>
    </w:p>
    <w:p>
      <w:pPr>
        <w:pStyle w:val="ListParagraph"/>
        <w:numPr>
          <w:ilvl w:val="0"/>
          <w:numId w:val="2"/>
        </w:numPr>
        <w:spacing w:after="100"/>
      </w:pPr>
      <w:r>
        <w:rPr>
          <w:b/>
          <w:bCs/>
        </w:rPr>
        <w:t xml:space="preserve">Tokenization matters as much as modality.</w:t>
      </w:r>
      <w:r>
        <w:t xml:space="preserve"> Encoders of one modality are not interchangeable: RNA-FM and mRNA-FM agree less with each other (CKA 0.126) than many cross-modality pairs, and Nucleotide Transformer 500M, DNABERT-2, and RNA-FM agree with each other across the DNA and RNA labels. Modality comparisons should therefore include more than one encoder per modality.</w:t>
      </w:r>
    </w:p>
    <w:p>
      <w:pPr>
        <w:pStyle w:val="ListParagraph"/>
        <w:numPr>
          <w:ilvl w:val="0"/>
          <w:numId w:val="2"/>
        </w:numPr>
        <w:spacing w:after="100"/>
      </w:pPr>
      <w:r>
        <w:rPr>
          <w:b/>
          <w:bCs/>
        </w:rPr>
        <w:t xml:space="preserve">Placement in the alignment framework.</w:t>
      </w:r>
      <w:r>
        <w:t xml:space="preserve"> The evidence from several methods points to high uniqueness for most pairs involving protein, with the shared part largely compositional. Encoders reading the same nucleotide sequence in short tokens are more redundant with each other. mRNA-FM with a protein encoder is the exception: it is the least composition-dominated pairing and the only one whose linear concatenation consistently gains. Synergy beyond that is a separate question that Stage 3 tests properly.</w:t>
      </w:r>
    </w:p>
    <w:p>
      <w:pPr>
        <w:pStyle w:val="ListParagraph"/>
        <w:numPr>
          <w:ilvl w:val="0"/>
          <w:numId w:val="2"/>
        </w:numPr>
        <w:spacing w:after="100"/>
      </w:pPr>
      <w:r>
        <w:rPr>
          <w:b/>
          <w:bCs/>
        </w:rPr>
        <w:t xml:space="preserve">Implication for fusion.</w:t>
      </w:r>
      <w:r>
        <w:t xml:space="preserve"> A learned fusion mechanism (Coupled Mamba, then cross-attention) is the right Stage 3 test, since it can use token-level interactions that pooled linear probes cannot, and the mRNA-FM and protein pairing is the clearest candidate. The bar is high: fusion must beat the best single encoder (ESM-2 150M, R² 0.144) and the concatenation-plus-MLP baseline.</w:t>
      </w:r>
    </w:p>
    <w:p>
      <w:pPr>
        <w:pStyle w:val="ListParagraph"/>
        <w:numPr>
          <w:ilvl w:val="0"/>
          <w:numId w:val="2"/>
        </w:numPr>
        <w:spacing w:after="100"/>
      </w:pPr>
      <w:r>
        <w:rPr>
          <w:b/>
          <w:bCs/>
        </w:rPr>
        <w:t xml:space="preserve">The attention result is limited.</w:t>
      </w:r>
      <w:r>
        <w:t xml:space="preserve"> Neither Nucleotide Transformer 500M nor RNA-FM tracks these canonical stability elements in final-layer attention, within the coding-only limit described above, and the Nucleotide Transformer v2 and mRNA-FM associations are not yet distinguishable from position and codon composition. A different layer or attention head, gradient attribution,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 xml:space="preserve">Toolkit implemented and run:</w:t>
      </w:r>
      <w:r>
        <w:t xml:space="preserve"> linear probing (RidgeCV, five grouped folds pinned by sequence hash, plus ten further fold assignments), CKA (final-layer and layer-wise), mutual k-NN alignment, CCA with held-out cross-modal retrieval, the composition control, UMAP, the GC content validity probe, the sequence-length confound check, the synergy check, the pipeline-correctness control, the alignment-error association, attention extraction with ARE and m6A motif matching for the nucleotide encoders, RSA with a Mantel permutation test, the dataset audit, and the two extended Track A probes (GC3 and Nussinov pairing fraction), all for eight encoders across DNA, RNA, and protein, in one notebook built on the shared mbf package.</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Published Benchmarks and Distinct Modalities</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 xml:space="preserve">Add IsoFormer's GTEx transcript-expression data as a second dataset, where DNA is a distinct input: a loader that downloads it from Hugging Face and notebook support for rows with separate DNA, transcript, and protein sequences. Run the same Stage 1 analyses on a pilot subset.</w:t>
      </w:r>
    </w:p>
    <w:p>
      <w:pPr>
        <w:pStyle w:val="ListParagraph"/>
        <w:numPr>
          <w:ilvl w:val="0"/>
          <w:numId w:val="2"/>
        </w:numPr>
        <w:spacing w:after="100"/>
      </w:pPr>
      <w:r>
        <w:t xml:space="preserve">Report every comparison before and after the composition control, with the Mantel test for RSA.</w:t>
      </w:r>
    </w:p>
    <w:p>
      <w:pPr>
        <w:pStyle w:val="ListParagraph"/>
        <w:numPr>
          <w:ilvl w:val="0"/>
          <w:numId w:val="2"/>
        </w:numPr>
        <w:spacing w:after="100"/>
      </w:pPr>
      <w:r>
        <w:t xml:space="preserve">Test the Nucleotide Transformer v2 and mRNA-FM attention results against nulls that preserve position and codon composition.</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 xml:space="preserve">The composition control shows that the shared subspace is mostly compositional for pairs involving a nucleotide encoder. A next check is whether the small residual agreement, largest for mRNA-FM with the protein encoders, is nonlinear composition or genuinely shared information, for example with a nonlinear composition model.</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 xml:space="preserve">Build the Coupled Mamba fusion module first, then Isoformer-style cross-attention: frozen DNA, RNA, and protein encoders feeding a trainable fusion layer plus a task head, training only the fusion module and head. Start with mRNA-FM and a protein encoder, the only pairing whose linear concatenation gains 0.01 or more under every fold assignment.</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 xml:space="preserve">Probe means on the 981-sequence pilot move by up to about 0.02 between fold assignments, so each probe reports pinned folds and the mean over ten further assignments. Should package versions also be pinned, beyond the two pinned model revisions, before comparing encoders across machines?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What does mRNA-FM's codon-level representation carry that the protein encoders lack, and is that the source of its concatenation gain?</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