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RNA and Protein Fusion Project</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Code/Stage1_refactor.ipynb in the project repository (RNA-Protein-Multimodal-Fusion on GitHub).</w:t>
      </w:r>
    </w:p>
    <w:p>
      <w:pPr>
        <w:pStyle w:val="ListParagraph"/>
        <w:numPr>
          <w:ilvl w:val="0"/>
          <w:numId w:val="2"/>
        </w:numPr>
        <w:spacing w:after="100"/>
      </w:pPr>
      <w:r>
        <w:rPr>
          <w:b/>
          <w:bCs/>
        </w:rPr>
        <w:t xml:space="preserve">Manuscript:</w:t>
      </w:r>
      <w:r>
        <w:t xml:space="preserve"> the project paper is written in Overleaf at https://www.overleaf.com/project/6ab8535fb63c8540bed7e56f</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 xml:space="preserve">Stage 1 (Representation Analysis) is complete. Stage 2 (Define Alignment) is next. The encoders are Nucleotide Transformer for RNA and ESM-2 for protein, both kept frozen throughout.</w:t>
      </w:r>
    </w:p>
    <w:p>
      <w:pPr>
        <w:pStyle w:val="Heading2"/>
      </w:pPr>
      <w:r>
        <w:t xml:space="preserve">Main Stage 1 Findings</w:t>
      </w:r>
    </w:p>
    <w:p>
      <w:pPr>
        <w:pStyle w:val="ListParagraph"/>
        <w:numPr>
          <w:ilvl w:val="0"/>
          <w:numId w:val="2"/>
        </w:numPr>
        <w:spacing w:after="100"/>
      </w:pPr>
      <w:r>
        <w:t xml:space="preserve">Frozen protein embeddings carry a modest but reliable signal about mRNA stability (R² = 0.103). RNA embeddings do not (R² = 0.015, indistinguishable from zero).</w:t>
      </w:r>
    </w:p>
    <w:p>
      <w:pPr>
        <w:pStyle w:val="ListParagraph"/>
        <w:numPr>
          <w:ilvl w:val="0"/>
          <w:numId w:val="2"/>
        </w:numPr>
        <w:spacing w:after="100"/>
      </w:pPr>
      <w:r>
        <w:t xml:space="preserve">The two embedding spaces mostly differ as wholes (final-layer CKA 0.128; mutual k-NN 0.070 against a 0.010 chance level), but they share one strong, learnable subspace (canonical correlations up to 0.955; cross-modal retrieval finds the correct match first 36.6% of the time against 0.3% chance). That shared subspace is most likely compositional, tied to GC content through the genetic code.</w:t>
      </w:r>
    </w:p>
    <w:p>
      <w:pPr>
        <w:pStyle w:val="ListParagraph"/>
        <w:numPr>
          <w:ilvl w:val="0"/>
          <w:numId w:val="2"/>
        </w:numPr>
        <w:spacing w:after="100"/>
      </w:pPr>
      <w:r>
        <w:t xml:space="preserve">Simple linear concatenation of the two embeddings shows no synergy (R² 0.100 against 0.103 for protein alone).</w:t>
      </w:r>
    </w:p>
    <w:p>
      <w:pPr>
        <w:pStyle w:val="ListParagraph"/>
        <w:numPr>
          <w:ilvl w:val="0"/>
          <w:numId w:val="2"/>
        </w:numPr>
        <w:spacing w:after="100"/>
      </w:pPr>
      <w:r>
        <w:t xml:space="preserve">The RNA encoder's final-layer attention does not concentrate at known mRNA stability motifs (AU-rich elements and m6A sites) within coding sequence.</w:t>
      </w:r>
    </w:p>
    <w:p>
      <w:pPr>
        <w:pStyle w:val="Heading2"/>
      </w:pPr>
      <w:r>
        <w:t xml:space="preserve">Proposed Alignment Reading</w:t>
      </w:r>
    </w:p>
    <w:p>
      <w:pPr>
        <w:spacing w:after="160"/>
      </w:pPr>
      <w:r>
        <w:t xml:space="preserve">Mapped onto the alignment theory framework (Section 3.2), these results point to the "low alignment, high uniqueness" branch: each modality carries mostly different information, with one narrow shared subspace. Synergy is not demonstrated by linear concatenation and remains untested until Stage 3's fusion models. The implied Stage 2 direction is to skip an explicit alignment loss and let the fusion architecture learn the shared subspace during training. This is a proposed interpretation of the evidence, not yet a confirmed conclusion.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 xml:space="preserve">Living things run on connected layers of information: DNA holds the instructions, RNA is the working copy of those instructions, and protein is what actually carries out the work in the cell. This project focuses on two of those layers, RNA and protein, which are read today by separately trained foundation models even though they are directly, causally linked. It tests whether combining these two separately pretrained foundation models captures real biological signal that neither sees alone, or whether combining them just adds complexity for no real benefit. DNA was considered too, but the dataset in hand does not carry the gene or transcript IDs needed to bring it in (see Section 4), so the project proceeds as an RNA and protein fusion.</w:t>
      </w:r>
    </w:p>
    <w:p>
      <w:pPr>
        <w:spacing w:after="160"/>
      </w:pPr>
      <w:r>
        <w:t xml:space="preserve">The goal splits into two pieces: </w:t>
      </w:r>
      <w:r>
        <w:rPr>
          <w:b/>
          <w:bCs/>
        </w:rPr>
        <w:t xml:space="preserve">fusion</w:t>
      </w:r>
      <w:r>
        <w:t xml:space="preserve">, how the two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Determine what the frozen RNA and protein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one pilot dataset.</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this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 xml:space="preserve">Track B, Cross-Modal Comparability:</w:t>
      </w:r>
      <w:r>
        <w:t xml:space="preserve"> CKA and mutual k-NN between the two encoders at multiple layers, not only the final one, since alignment often peaks mid-network. CCA on genuinely paired data (a transcript and its own translated protein) as a direct correspondence check. Cross-modal retrieval as a task-grounded sanity check: query with an RNA embedding and see whether the true matching protein embedding comes back above chance. UMAP last, for communicating results, not as evidence on its own.</w:t>
      </w:r>
    </w:p>
    <w:p>
      <w:pPr>
        <w:pStyle w:val="ListParagraph"/>
        <w:numPr>
          <w:ilvl w:val="0"/>
          <w:numId w:val="2"/>
        </w:numPr>
        <w:spacing w:after="100"/>
      </w:pPr>
      <w:r>
        <w:rPr>
          <w:b/>
          <w:bCs/>
        </w:rPr>
        <w:t xml:space="preserve">Track C, Interpretability:</w:t>
      </w:r>
      <w:r>
        <w:t xml:space="preserve"> RNA encoder attention compared against known RNA stability motifs (AU-rich elements and m6A DRACH sites), as a check on whether the representation tracks real regulatory biology rather than an artifact of the probe itself.</w:t>
      </w:r>
    </w:p>
    <w:p>
      <w:pPr>
        <w:spacing w:after="160"/>
      </w:pPr>
      <w:r>
        <w:t xml:space="preserve">The exit criterion for Stage 1 is not a table of CKA scores. It is a placement of the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both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if DNA ends up in the input set,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 xml:space="preserve">DNA is optional in the project plan.</w:t>
      </w:r>
      <w:r>
        <w:t xml:space="preserve"> It requires the genomic region around the gene, which is feasible only for the human and mouse subset, and only if the CSV carries gene or transcript IDs that can be mapped in Ensembl. Neither mRNA_Stability.csv nor mRFP_Expression.csv carries such IDs (only Sequence, Value, Dataset, and Split columns), so the project proceeds without DNA. This is consistent with the planned Stage 4 comparison of RNA-only, protein-only, RNA plus protein, and all three modalities.</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(hence no DNA).</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ICML 2025 paper's own diagnostic. Run in Stage 1 as an exploratory sample-level adaptation (alignment-error association, r = -0.013, p = 0.83);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both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 xml:space="preserve">All results come from Code/Stage1_refactor.ipynb, run on 1,000 sequences sampled from mRNA_Stability.</w:t>
      </w:r>
    </w:p>
    <w:p>
      <w:pPr>
        <w:pStyle w:val="Heading2"/>
      </w:pPr>
      <w:r>
        <w:t xml:space="preserve">9.1 Pipeline and Correctness Control</w:t>
      </w:r>
    </w:p>
    <w:p>
      <w:pPr>
        <w:pStyle w:val="ListParagraph"/>
        <w:numPr>
          <w:ilvl w:val="0"/>
          <w:numId w:val="2"/>
        </w:numPr>
        <w:spacing w:after="100"/>
      </w:pPr>
      <w:r>
        <w:rPr>
          <w:b/>
          <w:bCs/>
        </w:rPr>
        <w:t xml:space="preserve">Pipeline:</w:t>
      </w:r>
      <w:r>
        <w:t xml:space="preserve"> the notebook loads mRNA_Stability, keeps valid, in-frame sequences that start with a start codon, translates each kept sequence to its protein via the genetic code, and embeds the RNA (Nucleotide Transformer) and protein (ESM-2) sequences with frozen, off-the-shelf encoders. Of 1,000 sampled sequences, 981 pass the validity filter (98% retention).</w:t>
      </w:r>
    </w:p>
    <w:p>
      <w:pPr>
        <w:pStyle w:val="ListParagraph"/>
        <w:numPr>
          <w:ilvl w:val="0"/>
          <w:numId w:val="2"/>
        </w:numPr>
        <w:spacing w:after="100"/>
      </w:pPr>
      <w:r>
        <w:rPr>
          <w:b/>
          <w:bCs/>
        </w:rPr>
        <w:t xml:space="preserve">Correctness control (mRFP_Expression):</w:t>
      </w:r>
      <w:r>
        <w:t xml:space="preserve"> all 1,000 synonymous-recoding variants translate to one identical protein, as expected. Protein embeddings for these variants collapse almost to a single point (average distance to centroid 0.00003), while RNA embeddings, which see the codon-level differences, spread out clearly (4.72). This confirms that translation, frame checking, and embedding behave correctly, so the results below are not artifacts of a broken pipeline.</w:t>
      </w:r>
    </w:p>
    <w:p>
      <w:pPr>
        <w:pStyle w:val="Heading2"/>
      </w:pPr>
      <w:r>
        <w:t xml:space="preserve">9.2 Track A: Task-Relevant Decodability</w:t>
      </w:r>
    </w:p>
    <w:p>
      <w:pPr>
        <w:pStyle w:val="ListParagraph"/>
        <w:numPr>
          <w:ilvl w:val="0"/>
          <w:numId w:val="2"/>
        </w:numPr>
        <w:spacing w:after="100"/>
      </w:pPr>
      <w:r>
        <w:rPr>
          <w:b/>
          <w:bCs/>
        </w:rPr>
        <w:t xml:space="preserve">mRNA stability probe:</w:t>
      </w:r>
      <w:r>
        <w:t xml:space="preserve"> RNA embeddings reach R² 0.015 ± 0.072 and protein embeddings 0.103 ± 0.034. Protein carries a modest, reliable signal, about three standard deviations above zero, while RNA's score is indistinguishable from zero since its standard deviation exceeds its mean.</w:t>
      </w:r>
    </w:p>
    <w:p>
      <w:pPr>
        <w:pStyle w:val="ListParagraph"/>
        <w:numPr>
          <w:ilvl w:val="0"/>
          <w:numId w:val="2"/>
        </w:numPr>
        <w:spacing w:after="100"/>
      </w:pPr>
      <w:r>
        <w:rPr>
          <w:b/>
          <w:bCs/>
        </w:rPr>
        <w:t xml:space="preserve">Sequence-length baseline:</w:t>
      </w:r>
      <w:r>
        <w:t xml:space="preserve"> R² -0.006 ± 0.013, indistinguishable from zero. This rules out the concern that the probe scores above are just a proxy for sequence length.</w:t>
      </w:r>
    </w:p>
    <w:p>
      <w:pPr>
        <w:pStyle w:val="ListParagraph"/>
        <w:numPr>
          <w:ilvl w:val="0"/>
          <w:numId w:val="2"/>
        </w:numPr>
        <w:spacing w:after="100"/>
      </w:pPr>
      <w:r>
        <w:rPr>
          <w:b/>
          <w:bCs/>
        </w:rPr>
        <w:t xml:space="preserve">GC content probe (known-property validity check):</w:t>
      </w:r>
      <w:r>
        <w:t xml:space="preserve"> RNA embeddings recover GC content almost perfectly (R² 0.986), as expected for a direct compositional property. Protein embeddings recover 0.678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 xml:space="preserve">Synergy check:</w:t>
      </w:r>
      <w:r>
        <w:t xml:space="preserve"> naive concatenation of RNA and protein embeddings scores R² 0.100 against 0.103 for protein alone, a difference well within noise. At the level of simple concatenation there is no measurable synergy, consistent with the beyond-alignment critique's point that concatenation cannot access synergistic information even if it exists.</w:t>
      </w:r>
    </w:p>
    <w:p>
      <w:pPr>
        <w:pStyle w:val="ListParagraph"/>
        <w:numPr>
          <w:ilvl w:val="0"/>
          <w:numId w:val="2"/>
        </w:numPr>
        <w:spacing w:after="100"/>
      </w:pPr>
      <w:r>
        <w:rPr>
          <w:b/>
          <w:bCs/>
        </w:rPr>
        <w:t xml:space="preserve">Codon usage bias probe (GC3):</w:t>
      </w:r>
      <w:r>
        <w:t xml:space="preserve"> RNA embeddings recover GC3 (the GC fraction at each codon's third position, the classical proxy for codon usage bias) at R² 0.969, protein embeddings at 0.380. GC3 correlates 0.922 with overall GC content, so this mostly confirms the GC result. The one new detail is that protein embeddings lose noticeably more ground on this codon-position-specific signal, consistent with translation collapsing synonymous codons to the same amino acid.</w:t>
      </w:r>
    </w:p>
    <w:p>
      <w:pPr>
        <w:pStyle w:val="ListParagraph"/>
        <w:numPr>
          <w:ilvl w:val="0"/>
          <w:numId w:val="2"/>
        </w:numPr>
        <w:spacing w:after="100"/>
      </w:pPr>
      <w:r>
        <w:rPr>
          <w:b/>
          <w:bCs/>
        </w:rPr>
        <w:t xml:space="preserve">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RNA embeddings reach R² 0.089 ± 0.033 and protein embeddings 0.093 ± 0.055. Both are weak and roughly equal, so the RNA encoder shows no advantage on this folding proxy despite reading the nucleotides directly. The result is likely limited by the small sample, the simplified pairing model, and the 5' region crop; at face value, composition (GC, GC3) is what these frozen encoders linearly capture, not this structural signal.</w:t>
      </w:r>
    </w:p>
    <w:p>
      <w:pPr>
        <w:pStyle w:val="ListParagraph"/>
        <w:numPr>
          <w:ilvl w:val="0"/>
          <w:numId w:val="2"/>
        </w:numPr>
        <w:spacing w:after="100"/>
      </w:pPr>
      <w:r>
        <w:rPr>
          <w:b/>
          <w:bCs/>
        </w:rPr>
        <w:t xml:space="preserve">Evaluation setup:</w:t>
      </w:r>
      <w:r>
        <w:t xml:space="preserve"> for every probe above and the synergy check, the scaler is fit inside a scikit-learn Pipeline within each cross-validation fold, and GroupKFold keys the folds on sequence identity. The dataset has substantial sequence duplication (65,356 rows, 29,949 distinct sequences; the 981 retained rows contain 964 distinct sequences), so grouping keeps identical sequences from landing on both sides of a split.</w:t>
      </w:r>
    </w:p>
    <w:p>
      <w:pPr>
        <w:pStyle w:val="Heading2"/>
      </w:pPr>
      <w:r>
        <w:t xml:space="preserve">9.3 Track B: Cross-Modal Comparability</w:t>
      </w:r>
    </w:p>
    <w:p>
      <w:pPr>
        <w:pStyle w:val="ListParagraph"/>
        <w:numPr>
          <w:ilvl w:val="0"/>
          <w:numId w:val="2"/>
        </w:numPr>
        <w:spacing w:after="100"/>
      </w:pPr>
      <w:r>
        <w:rPr>
          <w:b/>
          <w:bCs/>
        </w:rPr>
        <w:t xml:space="preserve">Final-layer linear CKA:</w:t>
      </w:r>
      <w:r>
        <w:t xml:space="preserve"> 0.128, meaning the two full embedding spaces are structured quite differently from each other as wholes.</w:t>
      </w:r>
    </w:p>
    <w:p>
      <w:pPr>
        <w:pStyle w:val="ListParagraph"/>
        <w:numPr>
          <w:ilvl w:val="0"/>
          <w:numId w:val="2"/>
        </w:numPr>
        <w:spacing w:after="100"/>
      </w:pPr>
      <w:r>
        <w:rPr>
          <w:b/>
          <w:bCs/>
        </w:rPr>
        <w:t xml:space="preserve">Layer-wise CKA</w:t>
      </w:r>
      <w:r>
        <w:t xml:space="preserve"> across every internal layer of both encoders (25 hidden-state outputs for the 24-layer RNA encoder, 13 for the 12-layer protein encoder): the overall peak is 0.400, at RNA layer 16 against protein layer 0 (the protein encoder's embedding layer, before self-attention mixes in any context). Restricted to the protein encoder's contextualized layers, the peak drops to 0.359, at RNA layer 0 against protein layer 1. Both of the strongest alignment points involve one encoder at or next to its own embedding layer. Together with the GC content probe, this suggests a compositional signal on each side, tied to genetic code redundancy, drives most of the measured cross-modal alignment, rather than deep functional overlap between the encoders. This tempers, without undoing, the case for fusion: the shared structure looks real but more modest than deep semantic convergence.</w:t>
      </w:r>
    </w:p>
    <w:p>
      <w:pPr>
        <w:pStyle w:val="ListParagraph"/>
        <w:numPr>
          <w:ilvl w:val="0"/>
          <w:numId w:val="2"/>
        </w:numPr>
        <w:spacing w:after="100"/>
      </w:pPr>
      <w:r>
        <w:rPr>
          <w:b/>
          <w:bCs/>
        </w:rPr>
        <w:t xml:space="preserve">Layer-wise sampling note:</w:t>
      </w:r>
      <w:r>
        <w:t xml:space="preserve"> the layer-wise analysis uses a 200-sequence subsample. Its final-layer score is 0.187, versus 0.128 on the full 981-sequence sample. Since the final hidden-state layer is the same pooled embedding used in the full-sample calculation, the gap reflects sampling noise at n = 200, so the layer-wise heatmap values should be read as indicative rather than precise.</w:t>
      </w:r>
    </w:p>
    <w:p>
      <w:pPr>
        <w:pStyle w:val="ListParagraph"/>
        <w:numPr>
          <w:ilvl w:val="0"/>
          <w:numId w:val="2"/>
        </w:numPr>
        <w:spacing w:after="100"/>
      </w:pPr>
      <w:r>
        <w:rPr>
          <w:b/>
          <w:bCs/>
        </w:rPr>
        <w:t xml:space="preserve">Mutual k-nearest-neighbor alignment (k = 10):</w:t>
      </w:r>
      <w:r>
        <w:t xml:space="preserve"> 0.070, against a chance level of about 0.010, roughly seven times above random. This corroborates CKA's read of modest but real global alignment.</w:t>
      </w:r>
    </w:p>
    <w:p>
      <w:pPr>
        <w:pStyle w:val="ListParagraph"/>
        <w:numPr>
          <w:ilvl w:val="0"/>
          <w:numId w:val="2"/>
        </w:numPr>
        <w:spacing w:after="100"/>
      </w:pPr>
      <w:r>
        <w:rPr>
          <w:b/>
          <w:bCs/>
        </w:rPr>
        <w:t xml:space="preserve">CCA</w:t>
      </w:r>
      <w:r>
        <w:t xml:space="preserve"> (PCA-reduced to 50 dimensions per modality, then 10 canonical components, evaluated on a held-out 30% test split): canonical correlations reach 0.955 in the top component. Cross-modal retrieval in that learned subspace finds the correct matching protein embedding as the top candidate 36.6% of the time (chance 0.3%), within the top 5 61.4% of the time, and within the top 10 75.9% of the time.</w:t>
      </w:r>
    </w:p>
    <w:p>
      <w:pPr>
        <w:pStyle w:val="ListParagraph"/>
        <w:numPr>
          <w:ilvl w:val="0"/>
          <w:numId w:val="2"/>
        </w:numPr>
        <w:spacing w:after="100"/>
      </w:pPr>
      <w:r>
        <w:rPr>
          <w:b/>
          <w:bCs/>
        </w:rPr>
        <w:t xml:space="preserve">Reading Track B together:</w:t>
      </w:r>
      <w:r>
        <w:t xml:space="preserve"> CKA and mutual k-NN say the two full spaces mostly disagree; CCA and retrieval say a specific, strong, learnable shared subspace exists within them, plausibly the same compositional signal the GC and layer-wise results point to. This is the strongest evidence so far that a trained fusion mechanism, rather than naive concatenation, is worth building: real cross-modal structure exists, but it takes a method that can learn where to look to use it.</w:t>
      </w:r>
    </w:p>
    <w:p>
      <w:pPr>
        <w:pStyle w:val="ListParagraph"/>
        <w:numPr>
          <w:ilvl w:val="0"/>
          <w:numId w:val="2"/>
        </w:numPr>
        <w:spacing w:after="100"/>
      </w:pPr>
      <w:r>
        <w:rPr>
          <w:b/>
          <w:bCs/>
        </w:rPr>
        <w:t xml:space="preserve">UMAP:</w:t>
      </w:r>
      <w:r>
        <w:t xml:space="preserve"> both RNA and protein embeddings show one large main cluster plus a small separate subgroup. Two independently trained encoders isolating a similar subgroup is unlikely to be coincidental and may reflect a species subpopulation in this multi-species dataset; worth checking against the dataset's species information.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w:t>
      </w:r>
    </w:p>
    <w:p>
      <w:pPr>
        <w:pStyle w:val="ListParagraph"/>
        <w:numPr>
          <w:ilvl w:val="0"/>
          <w:numId w:val="2"/>
        </w:numPr>
        <w:spacing w:after="100"/>
      </w:pPr>
      <w:r>
        <w:rPr>
          <w:b/>
          <w:bCs/>
        </w:rPr>
        <w:t xml:space="preserve">Attention-motif overlap test (results):</w:t>
      </w:r>
      <w:r>
        <w:t xml:space="preserve"> in the single-example check, 63 motif hits covering 311 positions show mean attention of 0.0031 versus 0.0033 elsewhere, not significant (p = 0.60), with neither motif class significant on its own. Across the 100-sequence aggregate, all 100 sequences yield usable hits; only 7% show significantly higher attention at motif positions, against a 5% chance baseline, and the mean attention gap is -0.0009, essentially zero. The ARE pentamer appears in 41 sequences (5% significant, mean gap -0.0027), the ARE nonamer produces no usable hits, and the m6A DRACH consensus appears in all 100 (8% significant, mean gap -0.0009). The frozen RNA encoder's final-layer attention does not preferentially track these canonical stability elements.</w:t>
      </w:r>
    </w:p>
    <w:p>
      <w:pPr>
        <w:pStyle w:val="ListParagraph"/>
        <w:numPr>
          <w:ilvl w:val="0"/>
          <w:numId w:val="2"/>
        </w:numPr>
        <w:spacing w:after="100"/>
      </w:pPr>
      <w:r>
        <w:rPr>
          <w:b/>
          <w:bCs/>
        </w:rPr>
        <w:t xml:space="preserve">Important limit on Track C:</w:t>
      </w:r>
      <w:r>
        <w:t xml:space="preserve"> the mRNA_Stability sequences are coding-only. Every length is a multiple of three, 98.5% start with ATG, and 99.3% end exactly at their first in-frame stop codon, so there is no UTR context. AREs and m6A sites are canonically enriched in 3' UTRs, so this test only covers coding regions, where these elements are less concentrated, and the null result should be given limited weight.</w:t>
      </w:r>
    </w:p>
    <w:p>
      <w:pPr>
        <w:pStyle w:val="ListParagraph"/>
        <w:numPr>
          <w:ilvl w:val="0"/>
          <w:numId w:val="2"/>
        </w:numPr>
        <w:spacing w:after="100"/>
      </w:pPr>
      <w:r>
        <w:rPr>
          <w:b/>
          <w:bCs/>
        </w:rPr>
        <w:t xml:space="preserve">Alignment-error association</w:t>
      </w:r>
      <w:r>
        <w:t xml:space="preserve"> (an exploratory adaptation of the ICML 2025 paper's diagnostic, reported as a Spearman correlation rather than a fitted slope): on the held-out CCA test-set vectors, the correlation between per-sample local alignment and downstream prediction error is -0.013 (p = 0.83), meaning no detected association. Read against the paper's framework, this is consistent with the view that an explicit alignment loss is unlikely to help the fusion architecture, but it does not establish modality uniqueness or directly predict the effect of training with an alignment loss. It is a single-encoder-pair, sample-level adaptation of the paper's across-model diagnostic, not a replication. It agrees with the direction Track B's CKA and mutual k-NN results already point.</w:t>
      </w:r>
    </w:p>
    <w:p>
      <w:pPr>
        <w:pStyle w:val="ListParagraph"/>
        <w:numPr>
          <w:ilvl w:val="0"/>
          <w:numId w:val="2"/>
        </w:numPr>
        <w:spacing w:after="100"/>
      </w:pPr>
      <w:r>
        <w:rPr>
          <w:b/>
          <w:bCs/>
        </w:rPr>
        <w:t xml:space="preserve">Representational Similarity Analysis (RSA):</w:t>
      </w:r>
      <w:r>
        <w:t xml:space="preserve"> the Spearman correlation between the two modalities' internal pairwise-distance structures is 0.234 (p &lt; 0.001). This is consistent with the modest but real shared structure found by CCA and retrieval, this time from comparing each modality's own internal geometry rather than comparing embeddings across modalities, and it does not depend on the two encoders' embedding dimensions matching. It reuses the same embeddings as the other diagnostics, so it is supporting evidence rather than a fully independent confirmation.</w:t>
      </w:r>
    </w:p>
    <w:p>
      <w:pPr>
        <w:pStyle w:val="Heading2"/>
      </w:pPr>
      <w:r>
        <w:t xml:space="preserve">9.5 Stage 1 Summary</w:t>
      </w:r>
    </w:p>
    <w:p>
      <w:pPr>
        <w:spacing w:after="160"/>
      </w:pPr>
      <w:r>
        <w:t xml:space="preserve">Frozen protein embeddings carry a real, modest signal about mRNA stability that is not driven by sequence length (R² 0.103); RNA embeddings do not (0.015, indistinguishable from zero). The pipeline is verified correct by the synonymous-recoding control. The two embedding spaces mostly disagree as wholes (CKA, mutual k-NN) but share one specific, real subspace (CCA and retrieval, with RSA consistent), and layer-wise analysis suggests that subspace is driven by a compositional, genetic-code-linked signal rather than deep functional overlap. The alignment-error association finds no relationship between local alignment and downstream error, which is consistent with, but does not prove, the view that an explicit alignment loss would not help.</w:t>
      </w:r>
    </w:p>
    <w:p>
      <w:pPr>
        <w:spacing w:after="160"/>
      </w:pPr>
      <w:r>
        <w:t xml:space="preserve">The attention-motif overlap test is null: the RNA encoder's aggregated final-layer attention does not concentrate at AU-rich-element or m6A motifs, though only coding sequence could be tested. Linear concatenation shows no synergy and does not exploit the shared subspace (0.100 versus 0.103 for protein alone); whether a learned fusion mechanism can is the Stage 3 question. The extended Track A checks show GC3 mostly confirming the GC result, and the secondary structure proxy weakly and about equally decodable from either embedding (0.089 RNA, 0.093 protein). Every planned Stage 1 check is implemented and run.</w:t>
      </w:r>
    </w:p>
    <w:p>
      <w:pPr>
        <w:pStyle w:val="Heading2"/>
      </w:pPr>
      <w:r>
        <w:t xml:space="preserve">9.6 Interpreting the Results</w:t>
      </w:r>
    </w:p>
    <w:p>
      <w:pPr>
        <w:pStyle w:val="ListParagraph"/>
        <w:numPr>
          <w:ilvl w:val="0"/>
          <w:numId w:val="2"/>
        </w:numPr>
        <w:spacing w:after="100"/>
      </w:pPr>
      <w:r>
        <w:rPr>
          <w:b/>
          <w:bCs/>
        </w:rPr>
        <w:t xml:space="preserve">The disagreement between metrics is the finding.</w:t>
      </w:r>
      <w:r>
        <w:t xml:space="preserve"> CKA and mutual k-NN say the two spaces mostly disagree, while CCA and retrieval find, and RSA is consistent with, one strong, learnable shared subspace. That contrast is informative in itself, not a gap to explain away.</w:t>
      </w:r>
    </w:p>
    <w:p>
      <w:pPr>
        <w:pStyle w:val="ListParagraph"/>
        <w:numPr>
          <w:ilvl w:val="0"/>
          <w:numId w:val="2"/>
        </w:numPr>
        <w:spacing w:after="100"/>
      </w:pPr>
      <w:r>
        <w:rPr>
          <w:b/>
          <w:bCs/>
        </w:rPr>
        <w:t xml:space="preserve">Placement in the alignment framework.</w:t>
      </w:r>
      <w:r>
        <w:t xml:space="preserve"> The evidence from several methods (CKA, mutual k-NN, CCA, retrieval, RSA) points to high uniqueness with a narrow pocket of real redundancy, rather than a uniformly redundant or uniformly unique pair. Synergy is a separate question: linear concatenation shows none, and Stage 3 tests it properly.</w:t>
      </w:r>
    </w:p>
    <w:p>
      <w:pPr>
        <w:pStyle w:val="ListParagraph"/>
        <w:numPr>
          <w:ilvl w:val="0"/>
          <w:numId w:val="2"/>
        </w:numPr>
        <w:spacing w:after="100"/>
      </w:pPr>
      <w:r>
        <w:rPr>
          <w:b/>
          <w:bCs/>
        </w:rPr>
        <w:t xml:space="preserve">Implication for fusion.</w:t>
      </w:r>
      <w:r>
        <w:t xml:space="preserve"> Linear concatenation shows no synergy, while a targeted method (CCA) finds real structure the two encoders already contain. That supports prioritizing a learned fusion mechanism (Coupled Mamba, then cross-attention) that can learn where that structure is. Concatenation plus an MLP stays in as the baseline, since Stage 1 only tested a linear probe on concatenated embeddings, not a nonlinear head.</w:t>
      </w:r>
    </w:p>
    <w:p>
      <w:pPr>
        <w:pStyle w:val="ListParagraph"/>
        <w:numPr>
          <w:ilvl w:val="0"/>
          <w:numId w:val="2"/>
        </w:numPr>
        <w:spacing w:after="100"/>
      </w:pPr>
      <w:r>
        <w:rPr>
          <w:b/>
          <w:bCs/>
        </w:rPr>
        <w:t xml:space="preserve">The null attention result is a real result.</w:t>
      </w:r>
      <w:r>
        <w:t xml:space="preserve"> The frozen encoder's aggregated final-layer attention does not track these canonical stability elements, within the coding-only limit described above. A different layer or attention head, or a dataset with UTR context, could be checked next.</w:t>
      </w:r>
    </w:p>
    <w:p>
      <w:pPr>
        <w:pStyle w:val="Heading2"/>
      </w:pPr>
      <w:r>
        <w:t xml:space="preserve">9.7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 xml:space="preserve">Toolkit implemented and run:</w:t>
      </w:r>
      <w:r>
        <w:t xml:space="preserve"> linear probing (RidgeCV, 5-fold grouped cross-validation), CKA (final-layer and layer-wise), mutual k-NN alignment, CCA with held-out cross-modal retrieval, UMAP, the GC content validity probe, the sequence-length confound check, the synergy check, the pipeline-correctness control, the alignment-error association, attention extraction with ARE and m6A motif matching, RSA, and the two extended Track A probes (GC3 and Nussinov pairing fraction). Nothing from the planned Stage 1 toolkit remains unimplemented.</w:t>
      </w:r>
    </w:p>
    <w:p>
      <w:pPr>
        <w:pStyle w:val="Heading1"/>
      </w:pPr>
      <w:r>
        <w:t xml:space="preserve">10.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Heading3"/>
      </w:pPr>
      <w:r>
        <w:t xml:space="preserve">Stage 2 (Define Alignment)</w:t>
      </w:r>
    </w:p>
    <w:p>
      <w:pPr>
        <w:pStyle w:val="ListParagraph"/>
        <w:numPr>
          <w:ilvl w:val="0"/>
          <w:numId w:val="2"/>
        </w:numPr>
        <w:spacing w:after="100"/>
      </w:pPr>
      <w:r>
        <w:t xml:space="preserve">Formalize "no explicit alignment loss; the fusion architecture learns the shared subspace" as the proposed Stage 2 decision, based on the placement in Section 9.6.</w:t>
      </w:r>
    </w:p>
    <w:p>
      <w:pPr>
        <w:pStyle w:val="ListParagraph"/>
        <w:numPr>
          <w:ilvl w:val="0"/>
          <w:numId w:val="2"/>
        </w:numPr>
        <w:spacing w:after="100"/>
      </w:pPr>
      <w:r>
        <w:t xml:space="preserve">If more evidence is wanted first, regress GC content out of both embeddings and rerun CCA on the residuals. If the shared subspace survives, it is not purely compositional; if it collapses, that confirms the compositional reading and answers the related open question in Section 11.</w:t>
      </w:r>
    </w:p>
    <w:p>
      <w:pPr>
        <w:pStyle w:val="Heading3"/>
      </w:pPr>
      <w:r>
        <w:t xml:space="preserve">Stage 3 (Fusion)</w:t>
      </w:r>
    </w:p>
    <w:p>
      <w:pPr>
        <w:pStyle w:val="ListParagraph"/>
        <w:numPr>
          <w:ilvl w:val="0"/>
          <w:numId w:val="2"/>
        </w:numPr>
        <w:spacing w:after="100"/>
      </w:pPr>
      <w:r>
        <w:t xml:space="preserve">Scale up from the 1,000-sequence pilot to a full training set, since a trained fusion module needs more data than the pilot to find the narrow shared subspace reliably.</w:t>
      </w:r>
    </w:p>
    <w:p>
      <w:pPr>
        <w:pStyle w:val="ListParagraph"/>
        <w:numPr>
          <w:ilvl w:val="0"/>
          <w:numId w:val="2"/>
        </w:numPr>
        <w:spacing w:after="100"/>
      </w:pPr>
      <w:r>
        <w:t xml:space="preserve">Build the Coupled Mamba fusion module first, then Isoformer-style cross-attention: frozen RNA and protein encoders feeding a trainable fusion layer plus a task head, training only the fusion module and head.</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Heading3"/>
      </w:pPr>
      <w:r>
        <w:t xml:space="preserve">Stage 4 (Benchmarking)</w:t>
      </w:r>
    </w:p>
    <w:p>
      <w:pPr>
        <w:pStyle w:val="ListParagraph"/>
        <w:numPr>
          <w:ilvl w:val="0"/>
          <w:numId w:val="2"/>
        </w:numPr>
        <w:spacing w:after="100"/>
      </w:pPr>
      <w:r>
        <w:t xml:space="preserve">Compare RNA-only, protein-only, and RNA plus protein fusion (plus all three modalities, if DNA is brought in) against CodonBERT's published scores for mRNA_Stability, with the mRFP_Expression control and the protocol in Section 3.4.</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11. Open Questions</w:t>
      </w:r>
    </w:p>
    <w:p>
      <w:pPr>
        <w:pStyle w:val="ListParagraph"/>
        <w:numPr>
          <w:ilvl w:val="0"/>
          <w:numId w:val="2"/>
        </w:numPr>
        <w:spacing w:after="100"/>
      </w:pPr>
      <w:r>
        <w:t xml:space="preserve">Does mRNA stability become the confirmed Stage 4 benchmark, or is it one of several candidates? Is proceeding without DNA (given the missing gene and transcript IDs) an acceptable long-term scope?</w:t>
      </w:r>
    </w:p>
    <w:p>
      <w:pPr>
        <w:pStyle w:val="ListParagraph"/>
        <w:numPr>
          <w:ilvl w:val="0"/>
          <w:numId w:val="2"/>
        </w:numPr>
        <w:spacing w:after="100"/>
      </w:pPr>
      <w:r>
        <w:t xml:space="preserve">Should Stage 2 plan from the start for asymmetric, per-pair alignment decisions rather than one method applied uniformly, given the Central Dogma Transformer sequel finding that RNA and protein changes often move in opposite directions?</w:t>
      </w:r>
    </w:p>
    <w:p>
      <w:pPr>
        <w:pStyle w:val="ListParagraph"/>
        <w:numPr>
          <w:ilvl w:val="0"/>
          <w:numId w:val="2"/>
        </w:numPr>
        <w:spacing w:after="100"/>
      </w:pPr>
      <w:r>
        <w:t xml:space="preserve">Is the shared subspace compositional (GC-linked) or something more specific? The GC-regression test in Section 10 is designed to answer this.</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a dataset with UTR context, worth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