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 xml:space="preserve">This section exists because the alignment target, the fusion candidates, and the concrete next steps kept surfacing as open questions in conversation even though Stage 1 had already produced enough to answer them. It's an index into the rest of the document, not a replacement for it —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 xml:space="preserve">Mapping Stage 1's numbers onto the decision tree in Section 3.2: alignment is low (final-layer CKA 0.128, mutual k-NN barely above chance) while synergy is high (CCA up to 0.955, retrieval 36.6% versus 0.3% chance), and the alignment–error association is flat rather than positive (r = -0.013). That combination is the “low alignment, high synergy” branch: skip an explicit alignment loss and let the fusion architecture find the shared subspace on its own during training. This is a proposed reading of Mina's own framework, not her confirmed answer — the ask for Wednesday is direct: “we think we land in the low-alignment/high-synergy branch,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 xml:space="preserve">Settled, not open. Per Mina's September 15 email, cross-attention (Isoformer-style) and Coupled-Mamba are the two primary candidates; both get built and benchmarked.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 xml:space="preserve">Steps 1–3 don't need Mina and can start now. Steps 4–5 need her in the room Wednesday. Steps 6–9 are Stage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Done (2026-09-22). run_probe now wraps the scaler in a Pipeline, fit inside each cross-validation fold, and uses GroupKFold keyed on sequence identity so the 14 duplicate-sequence groups can no longer cross folds. See the Update note under Section 9.2 for the corrected numbers.</w:t>
      </w:r>
    </w:p>
    <w:p>
      <w:pPr>
        <w:pStyle w:val="ListParagraph"/>
        <w:numPr>
          <w:ilvl w:val="0"/>
          <w:numId w:val="1"/>
        </w:numPr>
        <w:spacing w:after="80"/>
      </w:pPr>
      <w:r>
        <w:rPr>
          <w:color w:val="000000"/>
          <w:sz w:val="22"/>
          <w:szCs w:val="22"/>
        </w:rPr>
        <w:t xml:space="preserve">Get GPU access sorted — Colab is the fastest path if lab access isn't already set up.</w:t>
      </w:r>
    </w:p>
    <w:p>
      <w:pPr>
        <w:pStyle w:val="ListParagraph"/>
        <w:numPr>
          <w:ilvl w:val="0"/>
          <w:numId w:val="1"/>
        </w:numPr>
        <w:spacing w:after="80"/>
      </w:pPr>
      <w:r>
        <w:rPr>
          <w:color w:val="000000"/>
          <w:sz w:val="22"/>
          <w:szCs w:val="22"/>
        </w:rPr>
        <w:t>Partially done. The secondary-structure (Nussinov) probe has been rerun under its corrected min-loop implementation, and the evaluation-leak fixes above have been verified against the cached embeddings, giving corrected numbers for every Track A probe and the Track B synergy check (Section 9.2). A full end-to-end re-run through the encoders themselves (not just the cached-embedding probes) is still worth doing once GPU access is sorted, to confirm nothing else drifts.</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 xml:space="preserve">Confirm cross-attention and Coupled-Mamba as the two fusion candidates going into Stage 2 and 3 — already effectively settled, so this is a quick confirmation, not an open discussion.</w:t>
      </w:r>
    </w:p>
    <w:p>
      <w:pPr>
        <w:pStyle w:val="ListParagraph"/>
        <w:numPr>
          <w:ilvl w:val="0"/>
          <w:numId w:val="1"/>
        </w:numPr>
        <w:spacing w:after="80"/>
      </w:pPr>
      <w:r>
        <w:rPr>
          <w:color w:val="000000"/>
          <w:sz w:val="22"/>
          <w:szCs w:val="22"/>
        </w:rPr>
        <w:t xml:space="preserve">Ask the three prioritized open questions from Section 10: whether to swap datasets for a genuine all-three-modalities comparison or keep DNA-optional, whether these sequences include 3' UTR context, and whether Stage 2 should treat alignment asymmetrically per pair.</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 xml:space="preserve">Formalize “no explicit alignment loss” as the Stage 2 decision —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 xml:space="preserve">Scale up from the 1,000-sequence pilot to a real training set —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 xml:space="preserve">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now implemented and run directly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 xml:space="preserve">High alignment, low synergy: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under the original (leaky) evaluation, RNA embeddings reached R-squared 0.059 plus or minus 0.007, protein embeddings 0.113 plus or minus 0.066. After the 2026-09-22 fix (scaler fit inside each fold, GroupKFold by sequence identity), the corrected numbers are RNA R-squared 0.048 plus or minus 0.034 and protein R-squared 0.115 plus or minus 0.024. Protein's advantage over RNA holds up; RNA's fold variability widened enough that its already-modest signal should be read cautiously.</w:t>
      </w:r>
    </w:p>
    <w:p w14:paraId="3F82507B" w14:textId="77777777" w:rsidR="00C14CF4" w:rsidRDefault="00000000">
      <w:pPr>
        <w:pStyle w:val="ListParagraph"/>
        <w:numPr>
          <w:ilvl w:val="0"/>
          <w:numId w:val="1"/>
        </w:numPr>
        <w:spacing w:after="80"/>
      </w:pPr>
      <w:r>
        <w:rPr>
          <w:color w:val="000000"/>
          <w:sz w:val="22"/>
          <w:szCs w:val="22"/>
        </w:rPr>
        <w:t>Sequence-length baseline: R-squared 0.007 under the original evaluation, 0.002 corrected. Either way,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0.985 corrected), expected since it is a direct compositional property of the sequence. Protein embeddings recover 0.681 of that same signal (0.688 corrected), a genuinely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0.115 versus 0.113 for protein alone under the original evaluation (0.118 versus 0.115 corrected), a difference entirely within noise either way.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(0.970 corrected), protein embeddings at 0.379 (0.389 corrected). GC3 correlates 0.922 with the overall GC content already probed above, so this mostly confirms rather than extends that earlier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neither embedding recovers this proxy reliably. The original run (buggy min-loop constraint, leaky evaluation) reported RNA R-squared 0.062 plus or minus 0.087 and protein 0.022 plus or minus 0.134. A 2026-09-22 refactor fixed the min-loop bug and reran under the still-leaky evaluation, giving RNA 0.103 plus or minus 0.072 and protein 0.078 plus or minus 0.061. The same day, the evaluation-leak fix (Pipeline-wrapped scaling, GroupKFold by sequence identity) was also applied and rerun against the corrected structure calculation, giving the final numbers: RNA R-squared 0.048 plus or minus 0.102, protein R-squared 0.086 plus or minus 0.122. All three versions are effectively zero given the standard deviation exceeds the mean in every case. This is a genuine, honestly weak result rather than a strong or a null one, most likely limited by the smaller sample, the simplified pairing model, and the 5' region-only crop; at face value it says composition (GC, GC3) is what these frozen encoders linearly capture, not this proxy's structural signal. Both fixes are now complete and reflected in the notebook; no further rerun is pending on this probe.</w:t>
      </w:r>
    </w:p>
    <w:p w14:paraId="53E49831" w14:textId="77777777" w:rsidR="00C14CF4" w:rsidRDefault="00000000">
      <w:pPr>
        <w:pStyle w:val="ListParagraph"/>
        <w:numPr>
          <w:ilvl w:val="0"/>
          <w:numId w:val="1"/>
        </w:numPr>
        <w:spacing w:after="80"/>
      </w:pPr>
      <w:r>
        <w:rPr>
          <w:color w:val="000000"/>
          <w:sz w:val="22"/>
          <w:szCs w:val="22"/>
        </w:rPr>
        <w:t>Two additional evaluation caveats surfaced in the same 2026-09-22 refactor, applying to every Track A probe score above plus the Track B synergy check below: StandardScaler was being fit on all rows before the five folds were built (preprocessing leakage), and the local CSV's substantial sequence duplication, 65,356 rows but only 29,949 distinct sequences, meant 14 identical-sequence groups among the 981 retained rows (964 distinct sequences) could cross the five outer folds. Both are now fixed: the scaler is fit inside a Pipeline within each fold, and GroupKFold keys folds on sequence identity so duplicate groups stay together. The corrected scores above move by a few hundredths at most and their fold standard deviations widen, a more honest picture now that duplicates can't inflate agreement across folds; no conclusion in this document changes as a result.</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 xml:space="preserve">Attention-motif overlap test, first pass: using two placeholder JASPAR transcription-factor motifs, tested on a single-example sanity check plus a 100-sequence aggregate run. In the single example, mean attention at the 475 motif-covered positions was 0.0026, versus 0.0034 elsewhere, the opposite direction of the hypothesis, and not significant (p is approximately 1.0 under the one-sided greater-at-motifs test). Across the 100-sequence aggregate, 26 percent of sequences showed significantly higher attention at motif positions (p &lt; 0.05, uncorrected), and the mean attention gap across all 100 was -0.0003, essentially zero. As run, this did not support the hypothesis that the frozen RNA encoder's attention tracks these particular motifs, and these numbers are now superseded by the fix below.</w:t>
      </w:r>
    </w:p>
    <w:p w14:paraId="7BC7E67F" w14:textId="77777777" w:rsidR="00C14CF4" w:rsidRDefault="00000000">
      <w:pPr>
        <w:pStyle w:val="ListParagraph"/>
        <w:numPr>
          <w:ilvl w:val="0"/>
          <w:numId w:val="1"/>
        </w:numPr>
        <w:spacing w:after="80"/>
      </w:pPr>
      <w:r>
        <w:rPr>
          <w:color w:val="000000"/>
          <w:sz w:val="22"/>
          <w:szCs w:val="22"/>
        </w:rPr>
        <w:t>This was a genuine null result for the specific test run, not necessarily for the underlying question. JASPAR's motif library is built overwhelmingly from transcription-factor binding sites, which act at the DNA and promoter level to control transcription, not the specific RNA sequence elements known to govern post-transcriptional mRNA stability. The two motif IDs used were explicit placeholders, not chosen for biological relevance to stability. This has since been fixed directly in the notebook: the motif-scanning step now scans for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rather than JASPAR-style PWMs, which also drops the pyjaspar dependency entirely. The overlap test itself was upgraded too, now reporting a per-motif-class breakdown alongside the pooled result, since ARE- and m6A-mediated decay work through different mechanisms and a pooled-only result can hide a real effect specific to one of them. One caveat carried forward honestly rather than resolved: AREs and m6A sites are both canonically enriched in 3' UTRs, and whether mRNA_Stability.csv's Sequence column includes UTR context or is CDS-only is not confirmed from the dataset's own columns. The re-run against this corrected ground truth is now complete.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again essentially zero; the ARE pentamer appeared in 41 sequences (5 percent significant, mean gap -0.0027), the ARE nonamer was too specific to produce any usable hits in this sample, and the m6A DRACH consensus appeared in all 100 (8 percent significant, mean gap -0.0009). This is now a genuine null result against the correct biological ground truth, not an artifact of the earlier JASPAR mismatch: the frozen RNA encoder's self-attention does not preferentially track these canonical stability elements. One caveat remains open rather than resolved: AREs and m6A sites are both canonically enriched in 3' UTRs, and whether mRNA_Stability.csv's Sequence column includes UTR context or is CDS-only is not confirmed from the dataset's own columns, so it is still worth confirming with Mina since it bears on how much weight this null result should carry.</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renamed in the 2026-09-22 refactor since it reports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 xml:space="preserve">Representational Similarity Analysis (RSA): the Spearman correlation between the RNA and protein modalities' internal pairwise-distance structures is 0.234 (p &lt; 0.001). This is a fourth, independent line of </w:t>
        <w:lastRenderedPageBreak/>
        <w:t>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 xml:space="preserve">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rebuilt from an initial JASPAR transcription-factor pass),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added after the initial pass, codon usage bias and secondary structure, is implemented and has been run at least once. Nothing from the original toolkit list remains unimplemented, though the secondary-structure probe's own bug fix (see Track A results above) means its numbers specifically still need an approved rerun before they're final.</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RNA and protein embeddings each carry real, modest, non-length-driven signal about mRNA stability. The pipeline itself is verified correct via the synonymous-recoding control. The two embedding spaces mostly disagree as whole spaces (CKA, mutual k-NN) but share one specific, real subspace (CCA, retrieval, and now RSA as a fourth, independent confirmation),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test's first pass, run against two placeholder JASPAR transcription-factor motifs, found no significant relationship between attention and motif position, more likely a sign the wrong ground truth was tested against than evidence the encoder's attention carries no signal, since JASPAR's transcription-factor motifs are not the class of RNA element that governs post-transcriptional stability. That test has since been rebuilt and re-run against real AU-rich-element and m6A motifs, with a per-motif-class breakdown added to the statistics, and the result is still null: across 100 sequences, only 7 percent show significantly higher attention at motif positions against a 5 percent chance baseline, and the mean attention gap is essentially zero and in the wrong direction. This time the null result is trustworthy rather than a methodology artifact, since the ground truth is now the correct one, and it says something real and specific: this frozen encoder's final-layer attention does not concentrate at canonical RNA stability elements, at least not in the aggregated, single-layer form tested here. Naive fusion does not exploit the shared subspace that does exist, but a properly designed fusion mechanism plausibly could. The two extended Track A checks added after the initial pass, codon usage bias and secondary structure, are now implemented and run too: GC3 mostly confirms the existing GC content result rather than adding new signal, and the secondary structure proxy comes back essentially undecodable from either embedding, an honestly weak result rather than a strong one. This is now a fully completed, honestly interpreted Stage 1, with every item from the original and extended toolkit lists implemented and run, not a preliminary pass, and it already goes beyond the original minimum bar of one probe, one CKA score, and one UMAP plot. One piece of that honesty needs stating plainly for Wednesday: a 2026-09-22 refactor of the pilot notebook found a bug in the secondary-structure probe's pairing calculation and two evaluation leaks affecting every Track A probe score, preprocessing leakage from fitting the scaler before cross-validation, and duplicate sequences crossing the outer folds. All three are now fixed and rerun against the cached embeddings (Section 9.2 has the before/after numbers). None of this overturns the headline pattern, which four independent Track B methods and the alignment–error association all agree on, and the corrected Track A numbers do not change that reading either: composition (GC, GC3) stays strongly decodable, stability and structure stay weak, and concatenation still shows no real gain over protein alone. The probe numbers above are now a fixed, audited result rather than an exploratory first pass, pending only a GPU-based full re-embedding rerun as a final confirmation.</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lastRenderedPageBreak/>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has consistently come back null, now on solid ground: the attention-motif overlap test, re-run against real AU-rich elements and m6A sites rather than the original placeholder JASPAR transcription-factor motifs, still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3CE5F01F"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rebuilt Track C motif test's result once it is re-run.</w:t>
      </w:r>
    </w:p>
    <w:p w14:paraId="3CE5F01F" w14:textId="77777777" w:rsidR="00C14CF4" w:rsidRDefault="00000000">
      <w:pPr>
        <w:pStyle w:val="ListParagraph"/>
        <w:numPr>
          <w:ilvl w:val="0"/>
          <w:numId w:val="1"/>
        </w:numPr>
        <w:spacing w:after="80"/>
      </w:pPr>
      <w:r>
        <w:rPr>
          <w:color w:val="000000"/>
          <w:sz w:val="22"/>
          <w:szCs w:val="22"/>
        </w:rPr>
        <w:t>Whether to address the newly found duplicate-sequence fold leakage (14 identical-sequence groups spanning the five outer cross-validation folds among 981 retained rows) and the scaler-before-cross-validation preprocessing leakage before treating the Track A/B probe R-squared values as final, or whether they're fine to present as an exploratory first pass for now.</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