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0FB506E" w14:textId="77777777" w:rsidR="00C14CF4" w:rsidRDefault="00000000">
      <w:pPr>
        <w:spacing w:after="80"/>
      </w:pPr>
      <w:r>
        <w:rPr>
          <w:b/>
          <w:bCs/>
          <w:color w:val="000000"/>
          <w:sz w:val="44"/>
          <w:szCs w:val="44"/>
        </w:rPr>
        <w:t>RNA and Protein Fusion Project</w:t>
      </w:r>
    </w:p>
    <w:p>
      <w:pPr>
        <w:pStyle w:val="Heading1"/>
        <w:spacing w:before="320" w:after="160"/>
      </w:pPr>
      <w:r>
        <w:rPr>
          <w:b/>
          <w:bCs/>
          <w:color w:val="000000"/>
          <w:sz w:val="30"/>
          <w:szCs w:val="30"/>
        </w:rPr>
        <w:t xml:space="preserve">Quick Answers (Read This First)</w:t>
      </w:r>
    </w:p>
    <w:p>
      <w:pPr>
        <w:spacing w:after="160"/>
      </w:pPr>
      <w:r>
        <w:rPr>
          <w:color w:val="000000"/>
          <w:sz w:val="22"/>
          <w:szCs w:val="22"/>
        </w:rPr>
        <w:t>This section exists because the alignment target, the fusion candidates, and the concrete next steps kept surfacing as open questions in conversation even though Stage 1 had already produced enough to answer them. It's an index into the rest of the document, not a replacement for it; Sections 3.2, 3.3, and 9.6–9.7 carry the full reasoning behind each answer below.</w:t>
      </w:r>
    </w:p>
    <w:p>
      <w:pPr>
        <w:pStyle w:val="Heading2"/>
        <w:spacing w:before="240" w:after="120"/>
      </w:pPr>
      <w:r>
        <w:rPr>
          <w:b/>
          <w:bCs/>
          <w:color w:val="000000"/>
          <w:sz w:val="25"/>
          <w:szCs w:val="25"/>
        </w:rPr>
        <w:t xml:space="preserve">What's the alignment target?</w:t>
      </w:r>
    </w:p>
    <w:p>
      <w:pPr>
        <w:spacing w:after="160"/>
      </w:pPr>
      <w:r>
        <w:rPr>
          <w:color w:val="000000"/>
          <w:sz w:val="22"/>
          <w:szCs w:val="22"/>
        </w:rPr>
        <w:t>Mapping Stage 1's numbers onto the decision tree in Section 3.2: alignment is low (final-layer CKA 0.128, mutual k-NN 0.070 against 0.010 chance), and uniqueness is high: each modality carries mostly different information, with one narrow shared subspace (CCA up to 0.955, retrieval 36.6% versus 0.3% chance) that is most likely compositional. Synergy is not demonstrated: linear concatenation scores 0.100 against 0.103 for protein alone. The alignment–error association is flat (r = -0.013, p = 0.83). That combination is the “low alignment, high uniqueness” branch: skip an explicit alignment loss, since the alignment theory paper finds alignment only helps when redundancy dominates, and let the fusion architecture learn the shared subspace during training. Whether real synergy exists is the question Stage 3's fusion models answer. This is a proposed reading of Mina's own framework, not her confirmed answer, so the ask for Wednesday is direct: “we think we land in low alignment, high uniqueness, with synergy untested until Stage 3. Is that how you'd read it too?”</w:t>
      </w:r>
    </w:p>
    <w:p>
      <w:pPr>
        <w:pStyle w:val="Heading2"/>
        <w:spacing w:before="240" w:after="120"/>
      </w:pPr>
      <w:r>
        <w:rPr>
          <w:b/>
          <w:bCs/>
          <w:color w:val="000000"/>
          <w:sz w:val="25"/>
          <w:szCs w:val="25"/>
        </w:rPr>
        <w:t xml:space="preserve">What are the fusion candidates?</w:t>
      </w:r>
    </w:p>
    <w:p>
      <w:pPr>
        <w:spacing w:after="160"/>
      </w:pPr>
      <w:r>
        <w:rPr>
          <w:color w:val="000000"/>
          <w:sz w:val="22"/>
          <w:szCs w:val="22"/>
        </w:rPr>
        <w:t>Settled, not open. Per Mina's September 15 email, cross-attention (Isoformer-style) and Coupled-Mamba are the two primary candidates; both get built and benchmarked. Concatenation plus an MLP runs as the baseline every candidate must beat. Fallbacks if either underperforms: Cross-Mamba/BiMamba (an interaction module purpose-built for RNA-protein pairs) and mixture-of-experts fusion. Mamba-3 is the upgrade path if Coupled-Mamba's specific implementation is the bottleneck rather than the coupling idea itself. Full staged list in Section 3.3.</w:t>
      </w:r>
    </w:p>
    <w:p>
      <w:pPr>
        <w:pStyle w:val="Heading2"/>
        <w:spacing w:before="240" w:after="120"/>
      </w:pPr>
      <w:r>
        <w:rPr>
          <w:b/>
          <w:bCs/>
          <w:color w:val="000000"/>
          <w:sz w:val="25"/>
          <w:szCs w:val="25"/>
        </w:rPr>
        <w:t xml:space="preserve">What happens next?</w:t>
      </w:r>
    </w:p>
    <w:p>
      <w:pPr>
        <w:spacing w:after="160"/>
      </w:pPr>
      <w:r>
        <w:rPr>
          <w:color w:val="000000"/>
          <w:sz w:val="22"/>
          <w:szCs w:val="22"/>
        </w:rPr>
        <w:t>Step 1 doesn't need Mina and can start now. Steps 2–5 need her in the room Wednesday. The remaining steps cover Stages 2 through 4 and follow from whatever gets confirmed at the meeting.</w:t>
      </w:r>
    </w:p>
    <w:p>
      <w:pPr>
        <w:pStyle w:val="Heading3"/>
        <w:spacing w:before="200" w:after="100"/>
      </w:pPr>
      <w:r>
        <w:rPr>
          <w:b/>
          <w:bCs/>
          <w:color w:val="000000"/>
          <w:sz w:val="23"/>
          <w:szCs w:val="23"/>
        </w:rPr>
        <w:t xml:space="preserve">Before Wednesday</w:t>
      </w:r>
    </w:p>
    <w:p>
      <w:pPr>
        <w:pStyle w:val="ListParagraph"/>
        <w:numPr>
          <w:ilvl w:val="0"/>
          <w:numId w:val="1"/>
        </w:numPr>
        <w:spacing w:after="80"/>
      </w:pPr>
      <w:r>
        <w:rPr>
          <w:color w:val="000000"/>
          <w:sz w:val="22"/>
          <w:szCs w:val="22"/>
        </w:rPr>
        <w:t>Get GPU access sorted; Colab is the fastest path if lab access isn't already set up.</w:t>
      </w:r>
    </w:p>
    <w:p>
      <w:pPr>
        <w:pStyle w:val="Heading3"/>
        <w:spacing w:before="200" w:after="100"/>
      </w:pPr>
      <w:r>
        <w:rPr>
          <w:b/>
          <w:bCs/>
          <w:color w:val="000000"/>
          <w:sz w:val="23"/>
          <w:szCs w:val="23"/>
        </w:rPr>
        <w:t xml:space="preserve">At the meeting</w:t>
      </w:r>
    </w:p>
    <w:p>
      <w:pPr>
        <w:pStyle w:val="ListParagraph"/>
        <w:numPr>
          <w:ilvl w:val="0"/>
          <w:numId w:val="1"/>
        </w:numPr>
        <w:spacing w:after="80"/>
      </w:pPr>
      <w:r>
        <w:rPr>
          <w:color w:val="000000"/>
          <w:sz w:val="22"/>
          <w:szCs w:val="22"/>
        </w:rPr>
        <w:t xml:space="preserve">Present Stage 1 using the honest summary in Section 9.6, findings first, then the caveats.</w:t>
      </w:r>
    </w:p>
    <w:p>
      <w:pPr>
        <w:pStyle w:val="ListParagraph"/>
        <w:numPr>
          <w:ilvl w:val="0"/>
          <w:numId w:val="1"/>
        </w:numPr>
        <w:spacing w:after="80"/>
      </w:pPr>
      <w:r>
        <w:rPr>
          <w:color w:val="000000"/>
          <w:sz w:val="22"/>
          <w:szCs w:val="22"/>
        </w:rPr>
        <w:t xml:space="preserve">Bring the alignment-target proposal above rather than asking the question cold, and get Mina to confirm or push back on that specific read.</w:t>
      </w:r>
    </w:p>
    <w:p>
      <w:pPr>
        <w:pStyle w:val="ListParagraph"/>
        <w:numPr>
          <w:ilvl w:val="0"/>
          <w:numId w:val="1"/>
        </w:numPr>
        <w:spacing w:after="80"/>
      </w:pPr>
      <w:r>
        <w:rPr>
          <w:color w:val="000000"/>
          <w:sz w:val="22"/>
          <w:szCs w:val="22"/>
        </w:rPr>
        <w:t>Confirm cross-attention and Coupled-Mamba as the two fusion candidates going into Stage 2 and 3. This is already effectively settled, so it is a quick confirmation, not an open discussion.</w:t>
      </w:r>
    </w:p>
    <w:p>
      <w:pPr>
        <w:pStyle w:val="ListParagraph"/>
        <w:numPr>
          <w:ilvl w:val="0"/>
          <w:numId w:val="1"/>
        </w:numPr>
        <w:spacing w:after="80"/>
      </w:pPr>
      <w:r>
        <w:rPr>
          <w:color w:val="000000"/>
          <w:sz w:val="22"/>
          <w:szCs w:val="22"/>
        </w:rPr>
        <w:t>Ask the three prioritized open questions from Section 10: whether mRNA stability becomes the confirmed Stage 4 benchmark given DNA-optional scoping, whether Stage 2 should treat alignment asymmetrically per pair, and whether the shared subspace is compositional (GC-linked) or something more specific.</w:t>
      </w:r>
    </w:p>
    <w:p>
      <w:pPr>
        <w:pStyle w:val="Heading3"/>
        <w:spacing w:before="200" w:after="100"/>
      </w:pPr>
      <w:r>
        <w:rPr>
          <w:b/>
          <w:bCs/>
          <w:color w:val="000000"/>
          <w:sz w:val="23"/>
          <w:szCs w:val="23"/>
        </w:rPr>
        <w:t xml:space="preserve">Stage 2 (Define Alignment), once confirmed</w:t>
      </w:r>
    </w:p>
    <w:p>
      <w:pPr>
        <w:pStyle w:val="ListParagraph"/>
        <w:numPr>
          <w:ilvl w:val="0"/>
          <w:numId w:val="1"/>
        </w:numPr>
        <w:spacing w:after="80"/>
      </w:pPr>
      <w:r>
        <w:rPr>
          <w:color w:val="000000"/>
          <w:sz w:val="22"/>
          <w:szCs w:val="22"/>
        </w:rPr>
        <w:t>Formalize “no explicit alignment loss” as the Stage 2 decision, a completed deliverable, not an open question.</w:t>
      </w:r>
    </w:p>
    <w:p>
      <w:pPr>
        <w:pStyle w:val="ListParagraph"/>
        <w:numPr>
          <w:ilvl w:val="0"/>
          <w:numId w:val="1"/>
        </w:numPr>
        <w:spacing w:after="80"/>
      </w:pPr>
      <w:r>
        <w:rPr>
          <w:color w:val="000000"/>
          <w:sz w:val="22"/>
          <w:szCs w:val="22"/>
        </w:rPr>
        <w:t xml:space="preserve">If Mina wants more evidence first: regress GC content out of both embeddings and re-run CCA on the residuals. If the shared subspace survives, it's not purely compositional; if it collapses, that confirms the compositional read and closes the open question from Section 9.4.</w:t>
      </w:r>
    </w:p>
    <w:p>
      <w:pPr>
        <w:pStyle w:val="Heading3"/>
        <w:spacing w:before="200" w:after="100"/>
      </w:pPr>
      <w:r>
        <w:rPr>
          <w:b/>
          <w:bCs/>
          <w:color w:val="000000"/>
          <w:sz w:val="23"/>
          <w:szCs w:val="23"/>
        </w:rPr>
        <w:t xml:space="preserve">Stage 3 (Fusion)</w:t>
      </w:r>
    </w:p>
    <w:p>
      <w:pPr>
        <w:pStyle w:val="ListParagraph"/>
        <w:numPr>
          <w:ilvl w:val="0"/>
          <w:numId w:val="1"/>
        </w:numPr>
        <w:spacing w:after="80"/>
      </w:pPr>
      <w:r>
        <w:rPr>
          <w:color w:val="000000"/>
          <w:sz w:val="22"/>
          <w:szCs w:val="22"/>
        </w:rPr>
        <w:t>Scale up from the 1,000-sequence pilot to a real training set, since a trained fusion module needs more data than the pilot to find the narrow CCA subspace reliably.</w:t>
      </w:r>
    </w:p>
    <w:p>
      <w:pPr>
        <w:pStyle w:val="ListParagraph"/>
        <w:numPr>
          <w:ilvl w:val="0"/>
          <w:numId w:val="1"/>
        </w:numPr>
        <w:spacing w:after="80"/>
      </w:pPr>
      <w:r>
        <w:rPr>
          <w:color w:val="000000"/>
          <w:sz w:val="22"/>
          <w:szCs w:val="22"/>
        </w:rPr>
        <w:t xml:space="preserve">Build the cross-attention and Coupled-Mamba fusion modules: frozen RNA and protein encoders feeding a trainable fusion layer plus a task head, Isoformer-style, training only the fusion module and head.</w:t>
      </w:r>
    </w:p>
    <w:p>
      <w:pPr>
        <w:pStyle w:val="ListParagraph"/>
        <w:numPr>
          <w:ilvl w:val="0"/>
          <w:numId w:val="1"/>
        </w:numPr>
        <w:spacing w:after="80"/>
      </w:pPr>
      <w:r>
        <w:rPr>
          <w:color w:val="000000"/>
          <w:sz w:val="22"/>
          <w:szCs w:val="22"/>
        </w:rPr>
        <w:t xml:space="preserve">Build in an Isoformer-style ablation (reinitialize one encoder's weights, confirm performance drops) to prove the model is genuinely using cross-modal information rather than leaning on whichever modality is stronger.</w:t>
      </w:r>
    </w:p>
    <w:p>
      <w:pPr>
        <w:pStyle w:val="Heading3"/>
        <w:spacing w:before="200" w:after="100"/>
      </w:pPr>
      <w:r>
        <w:rPr>
          <w:b/>
          <w:bCs/>
          <w:color w:val="000000"/>
          <w:sz w:val="23"/>
          <w:szCs w:val="23"/>
        </w:rPr>
        <w:t xml:space="preserve">Stage 4 (Benchmarking)</w:t>
      </w:r>
    </w:p>
    <w:p>
      <w:pPr>
        <w:pStyle w:val="ListParagraph"/>
        <w:numPr>
          <w:ilvl w:val="0"/>
          <w:numId w:val="1"/>
        </w:numPr>
        <w:spacing w:after="80"/>
      </w:pPr>
      <w:r>
        <w:rPr>
          <w:color w:val="000000"/>
          <w:sz w:val="22"/>
          <w:szCs w:val="22"/>
        </w:rPr>
        <w:t xml:space="preserve">Compare RNA-only, protein-only, and RNA+protein fusion (plus all-three, if the DNA question resolves that way) against CodonBERT's published scores for mRNA_Stability.</w:t>
      </w:r>
    </w:p>
    <w:p>
      <w:pPr>
        <w:pStyle w:val="ListParagraph"/>
        <w:numPr>
          <w:ilvl w:val="0"/>
          <w:numId w:val="1"/>
        </w:numPr>
        <w:spacing w:after="80"/>
      </w:pPr>
      <w:r>
        <w:rPr>
          <w:color w:val="000000"/>
          <w:sz w:val="22"/>
          <w:szCs w:val="22"/>
        </w:rPr>
        <w:t xml:space="preserve">This is the actual test of the project's premise: does fusion beat the best single-modality model. Everything before this stage is groundwork for answering that question honestly.</w:t>
      </w:r>
    </w:p>
    <w:p w14:paraId="455386D4" w14:textId="77777777" w:rsidR="00C14CF4" w:rsidRDefault="00000000">
      <w:pPr>
        <w:pStyle w:val="Heading1"/>
        <w:spacing w:before="320" w:after="160"/>
      </w:pPr>
      <w:r>
        <w:rPr>
          <w:b/>
          <w:bCs/>
          <w:color w:val="000000"/>
          <w:sz w:val="30"/>
          <w:szCs w:val="30"/>
        </w:rPr>
        <w:t>1. Project Context and Goal</w:t>
      </w:r>
    </w:p>
    <w:p w14:paraId="3068406B" w14:textId="77777777" w:rsidR="00C14CF4" w:rsidRDefault="00000000">
      <w:pPr>
        <w:spacing w:after="160"/>
      </w:pPr>
      <w:r>
        <w:rPr>
          <w:color w:val="000000"/>
          <w:sz w:val="22"/>
          <w:szCs w:val="22"/>
        </w:rPr>
        <w:t>This project is one of two research threads run for the MSDA capstone, advised by Mina Basirat. The other is a separate RNA sequence tokenization project in the same lab, extending the lab's Equi-mRNA model to cover intergenic sequences, worked on with fellow students Jahid and Zeynep. Mina noted her direction could eventually connect with that work, but for now the two are treated as distinct projects.</w:t>
      </w:r>
    </w:p>
    <w:p w14:paraId="2A7C14B3" w14:textId="77777777" w:rsidR="00C14CF4" w:rsidRDefault="00000000">
      <w:pPr>
        <w:spacing w:after="160"/>
      </w:pPr>
      <w:r>
        <w:rPr>
          <w:color w:val="000000"/>
          <w:sz w:val="22"/>
          <w:szCs w:val="22"/>
        </w:rPr>
        <w:t>Living things run on connected layers of information: DNA holds the instructions, RNA is the working copy of those instructions, and protein is what actually carries out the work in the cell. This project focuses on two of those layers, RNA and protein, which are read today by separately trained foundation models even though they're directly, causally linked. It tests whether combining these two separately pretrained foundation models captures real biological signal that neither sees alone, or whether combining them just adds complexity for no real benefit. DNA was considered too, but the dataset in hand doesn't carry the gene or transcript IDs needed to bring it in (see Section 4), so the project has proceeded as an RNA-and-protein fusion, matching its GitHub repo name, RNA-Protein-Multimodal-Fusion.</w:t>
      </w:r>
    </w:p>
    <w:p w14:paraId="7532E9F8" w14:textId="77777777" w:rsidR="00C14CF4" w:rsidRDefault="00000000">
      <w:pPr>
        <w:spacing w:after="160"/>
      </w:pPr>
      <w:r>
        <w:rPr>
          <w:color w:val="000000"/>
          <w:sz w:val="22"/>
          <w:szCs w:val="22"/>
        </w:rPr>
        <w:t xml:space="preserve">The goal splits into two pieces: fusion, how the two modalities actually get combined, and alignment, what has to be true about their representations before they can be combined at all. The pipeline below exists to answer that question rigorously: first check what is already related between the models, then decide how to connect them, then actually connect them, then prove whether the connected version does something a single model could not.</w:t>
      </w:r>
    </w:p>
    <w:p w14:paraId="3D46D238" w14:textId="77777777" w:rsidR="00C14CF4" w:rsidRDefault="00000000">
      <w:pPr>
        <w:pStyle w:val="Heading2"/>
        <w:spacing w:before="240" w:after="120"/>
      </w:pPr>
      <w:r>
        <w:rPr>
          <w:b/>
          <w:bCs/>
          <w:color w:val="000000"/>
          <w:sz w:val="25"/>
          <w:szCs w:val="25"/>
        </w:rPr>
        <w:t xml:space="preserve">Why This Project, Given Work Like BioLangFusion Already Exists</w:t>
      </w:r>
    </w:p>
    <w:p w14:paraId="60FB833C" w14:textId="77777777" w:rsidR="00C14CF4" w:rsidRDefault="00000000">
      <w:pPr>
        <w:spacing w:after="160"/>
      </w:pPr>
      <w:r>
        <w:rPr>
          <w:color w:val="000000"/>
          <w:sz w:val="22"/>
          <w:szCs w:val="22"/>
        </w:rPr>
        <w:t xml:space="preserve">BioLangFusion shows that combining existing DNA, RNA, and protein models can help on certain tasks. That is useful, but it does not explain when fusion helps, why it helps, or whether an improvement reflects real biological synergy versus the model reshuffling information it already had in redundant form. This project targets that gap directly, using the alignment theory framework from recent multimodal research, plus a newer critique of that framework showing that common alignment metrics can miss real nonlinear synergy entirely. The contribution is not a better fusion model than BioLangFusion. It is the principled methodology for deciding whether and how fusion should be done for a given multimodal biological-sequence task like this one, and for being honest when the answer is that fusion adds little.</w:t>
      </w:r>
    </w:p>
    <w:p w14:paraId="2BE68D48" w14:textId="77777777" w:rsidR="00C14CF4" w:rsidRDefault="00000000">
      <w:pPr>
        <w:pStyle w:val="Heading2"/>
        <w:spacing w:before="240" w:after="120"/>
      </w:pPr>
      <w:r>
        <w:rPr>
          <w:b/>
          <w:bCs/>
          <w:color w:val="000000"/>
          <w:sz w:val="25"/>
          <w:szCs w:val="25"/>
        </w:rPr>
        <w:t>Landscape of the Core Literature</w:t>
      </w:r>
    </w:p>
    <w:p w14:paraId="46C6DFFE" w14:textId="77777777" w:rsidR="00C14CF4" w:rsidRDefault="00000000">
      <w:pPr>
        <w:spacing w:after="160"/>
      </w:pPr>
      <w:r>
        <w:rPr>
          <w:color w:val="000000"/>
          <w:sz w:val="22"/>
          <w:szCs w:val="22"/>
        </w:rPr>
        <w:t>Five papers plus one general-purpose fusion mechanism cover the core reading; full individual reviews for each exist as separate files, so only the landscape is summarized here. Two broad strategies show up across the papers. The first keeps existing single-modality models frozen and adds a lightweight fusion module on top (BioLangFusion, Isoformer, Central Dogma Transformer). This is cheap and reuses existing pretraining investment, but it requires solving an alignment problem first, since the different models tokenize sequences at different resolutions. The second strategy trains one model from scratch on a shared vocabulary spanning both nucleotides and amino acids, so cross-modal structure has to emerge from pretraining itself (LucaOne). Coupled Mamba does not fit cleanly into either category; it is a general-purpose fusion mechanism, not a biology paper, offered as an alternative to attention-based fusion that needs no alignment loss.</w:t>
      </w:r>
    </w:p>
    <w:p w14:paraId="568BEF22" w14:textId="77777777" w:rsidR="00C14CF4" w:rsidRDefault="00000000">
      <w:pPr>
        <w:pStyle w:val="Heading1"/>
        <w:spacing w:before="320" w:after="160"/>
      </w:pPr>
      <w:r>
        <w:rPr>
          <w:b/>
          <w:bCs/>
          <w:color w:val="000000"/>
          <w:sz w:val="30"/>
          <w:szCs w:val="30"/>
        </w:rPr>
        <w:t>2. What Alignment Means Here (Mina's Framing)</w:t>
      </w:r>
    </w:p>
    <w:p w14:paraId="5161DFB7" w14:textId="77777777" w:rsidR="00C14CF4" w:rsidRDefault="00000000">
      <w:pPr>
        <w:spacing w:after="160"/>
      </w:pPr>
      <w:r>
        <w:rPr>
          <w:color w:val="000000"/>
          <w:sz w:val="22"/>
          <w:szCs w:val="22"/>
        </w:rPr>
        <w:t xml:space="preserve">Mina pushed back early on treating alignment as solved by resampling sequences to a shared resolution. Her point: we first need to define what alignment actually means in the context of biological foundation models, rather than assuming it just means matching sequence lengths. BioLangFusion frames alignment as cross-modal representation alignment, and her lab is running its own study on this question.</w:t>
      </w:r>
    </w:p>
    <w:p w14:paraId="32D04CB1" w14:textId="77777777" w:rsidR="00C14CF4" w:rsidRDefault="00000000">
      <w:pPr>
        <w:spacing w:after="160"/>
      </w:pPr>
      <w:r>
        <w:rPr>
          <w:color w:val="000000"/>
          <w:sz w:val="22"/>
          <w:szCs w:val="22"/>
        </w:rPr>
        <w:t xml:space="preserve">Her proposed approach: before designing an alignment method, analyze the internal representations of the frozen foundation models directly, using visualization and interpretability tools, embedding projections, attention analysis, and probing, to see what each model's representations actually capture. She was explicit that the tools alone will not be enough to interpret the results; biological knowledge and priors are needed to judge whether the </w:t>
        <w:lastRenderedPageBreak/>
        <w:t>patterns the models capture are biologically meaningful. This is where the project's contribution is meant to matter most, and it is the reason Stage 1 exists as a dedicated stage rather than a quick check before jumping to fusion.</w:t>
      </w:r>
    </w:p>
    <w:p w14:paraId="7C1AFAA3" w14:textId="77777777" w:rsidR="00C14CF4" w:rsidRDefault="00000000">
      <w:pPr>
        <w:pStyle w:val="Heading2"/>
        <w:spacing w:before="240" w:after="120"/>
      </w:pPr>
      <w:r>
        <w:rPr>
          <w:b/>
          <w:bCs/>
          <w:color w:val="000000"/>
          <w:sz w:val="25"/>
          <w:szCs w:val="25"/>
        </w:rPr>
        <w:t>The Formal Alignment Theory (ICML 2025)</w:t>
      </w:r>
    </w:p>
    <w:p w14:paraId="320E4556" w14:textId="77777777" w:rsidR="00C14CF4" w:rsidRDefault="00000000">
      <w:pPr>
        <w:spacing w:after="160"/>
      </w:pPr>
      <w:r>
        <w:rPr>
          <w:color w:val="000000"/>
          <w:sz w:val="22"/>
          <w:szCs w:val="22"/>
        </w:rPr>
        <w:t>The theoretical, non-biology-specific alignment paper Mina attached, "Understanding the Emergence of Multimodal Representation Alignment" (Tjandrasuwita, Ekbote, Ziyin, and Liang, MIT, ICML 2025), now has a full standalone review. In short: it frames alignment along two axes, heterogeneity (how dissimilar two modalities are, independent of task) and interactions, split into redundancy (information shared by both modalities that is task-relevant) and uniqueness (information only one modality has that is task-relevant). Its central finding is that alignment reliably predicts downstream performance only when redundancy dominates; as uniqueness increases, that relationship weakens and can turn negative, while model capacity keeps helping performance regardless of alignment. Its most directly reusable contribution is the alignment-performance slope, a diagnostic computed from frozen, unaligned encoders that predicts whether adding an explicit alignment loss will help or hurt on a given task, and an exploratory sample-level adaptation of it (the alignment–error association) has been run on this project's own data (see Section 9.4).</w:t>
      </w:r>
    </w:p>
    <w:p w14:paraId="6886D353" w14:textId="77777777" w:rsidR="00C14CF4" w:rsidRDefault="00000000">
      <w:pPr>
        <w:spacing w:after="160"/>
      </w:pPr>
      <w:r>
        <w:rPr>
          <w:color w:val="000000"/>
          <w:sz w:val="22"/>
          <w:szCs w:val="22"/>
        </w:rPr>
        <w:t xml:space="preserve">DNA, RNA, and protein are a triplet with real, built-in uniqueness: each stage of the central dogma is lossy in both directions. This paper gives a concrete diagnostic to run before committing to a fusion architecture, and is exactly the kind of "define what alignment means before designing a method" analysis Mina asked for.</w:t>
      </w:r>
    </w:p>
    <w:p w14:paraId="17660440" w14:textId="77777777" w:rsidR="00C14CF4" w:rsidRDefault="00000000">
      <w:pPr>
        <w:pStyle w:val="Heading2"/>
        <w:spacing w:before="240" w:after="120"/>
      </w:pPr>
      <w:r>
        <w:rPr>
          <w:b/>
          <w:bCs/>
          <w:color w:val="000000"/>
          <w:sz w:val="25"/>
          <w:szCs w:val="25"/>
        </w:rPr>
        <w:t xml:space="preserve">The Counter-Argument: Beyond Alignment / Synergistic Information Score</w:t>
      </w:r>
    </w:p>
    <w:p w14:paraId="3FBDD0B5" w14:textId="77777777" w:rsidR="00C14CF4" w:rsidRDefault="00000000">
      <w:pPr>
        <w:spacing w:after="160"/>
      </w:pPr>
      <w:r>
        <w:rPr>
          <w:color w:val="000000"/>
          <w:sz w:val="22"/>
          <w:szCs w:val="22"/>
        </w:rPr>
        <w:t>A bioRxiv paper, "Beyond alignment: synergistic integration is required for multimodal cell foundation models," argues that alignment metrics like CKA have a hard theoretical ceiling: with frozen encoders and linear fusion, alignment objectives can only recover linear redundancy between modalities, and cannot see synergistic information, signal that only shows up when both modalities are considered jointly. An alignment objective can actively suppress the modality-specific signal a task needs. They propose the Synergistic Information Score (SIS): does fusion beat the best single-modality baseline, yes or no. Put next to the ICML 2025 paper, these two give a stronger Stage 1 than either alone: the alignment paper says when alignment is achievable and likely to help, this one says that even where alignment looks clean, real task-relevant information might still be getting thrown away. This project's synergy check, in the toolkit below, directly operationalizes this idea.</w:t>
      </w:r>
    </w:p>
    <w:p w14:paraId="6FFC9834" w14:textId="77777777" w:rsidR="00C14CF4" w:rsidRDefault="00000000">
      <w:pPr>
        <w:pStyle w:val="Heading1"/>
        <w:spacing w:before="320" w:after="160"/>
      </w:pPr>
      <w:r>
        <w:rPr>
          <w:b/>
          <w:bCs/>
          <w:color w:val="000000"/>
          <w:sz w:val="30"/>
          <w:szCs w:val="30"/>
        </w:rPr>
        <w:t>3. The Four-Stage Pipeline</w:t>
      </w:r>
    </w:p>
    <w:p w14:paraId="4867E4AC" w14:textId="77777777" w:rsidR="00C14CF4" w:rsidRDefault="00000000">
      <w:pPr>
        <w:spacing w:after="160"/>
      </w:pPr>
      <w:r>
        <w:rPr>
          <w:color w:val="000000"/>
          <w:sz w:val="22"/>
          <w:szCs w:val="22"/>
        </w:rPr>
        <w:t>The pipeline moves through four stages in order. Each stage's output is a direct input into the next stage's design decisions, so the order matters: fusion architecture should not be chosen before Stage 1's representation analysis has something to say about it.</w:t>
      </w:r>
    </w:p>
    <w:tbl>
      <w:tblPr>
        <w:tblW w:w="1060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10" w:type="dxa"/>
          <w:right w:w="10" w:type="dxa"/>
        </w:tblCellMar>
        <w:tblLook w:val="04A0" w:firstRow="1" w:lastRow="0" w:firstColumn="1" w:lastColumn="0" w:noHBand="0" w:noVBand="1"/>
      </w:tblPr>
      <w:tblGrid>
        <w:gridCol w:w="2200"/>
        <w:gridCol w:w="4200"/>
        <w:gridCol w:w="4200"/>
      </w:tblGrid>
      <w:tr w:rsidR="00C14CF4" w14:paraId="45B43DAF" w14:textId="77777777">
        <w:tc>
          <w:tcPr>
            <w:tcW w:w="2200" w:type="dxa"/>
            <w:shd w:val="clear" w:color="auto" w:fill="D9D9D9"/>
            <w:tcMar>
              <w:top w:w="80" w:type="dxa"/>
              <w:left w:w="100" w:type="dxa"/>
              <w:bottom w:w="80" w:type="dxa"/>
              <w:right w:w="100" w:type="dxa"/>
            </w:tcMar>
          </w:tcPr>
          <w:p w14:paraId="54BC75F9" w14:textId="77777777" w:rsidR="00C14CF4" w:rsidRDefault="00000000">
            <w:r>
              <w:rPr>
                <w:b/>
                <w:bCs/>
                <w:color w:val="000000"/>
              </w:rPr>
              <w:t>Stage</w:t>
            </w:r>
          </w:p>
        </w:tc>
        <w:tc>
          <w:tcPr>
            <w:tcW w:w="4200" w:type="dxa"/>
            <w:shd w:val="clear" w:color="auto" w:fill="D9D9D9"/>
            <w:tcMar>
              <w:top w:w="80" w:type="dxa"/>
              <w:left w:w="100" w:type="dxa"/>
              <w:bottom w:w="80" w:type="dxa"/>
              <w:right w:w="100" w:type="dxa"/>
            </w:tcMar>
          </w:tcPr>
          <w:p w14:paraId="5D06A2FA" w14:textId="77777777" w:rsidR="00C14CF4" w:rsidRDefault="00000000">
            <w:r>
              <w:rPr>
                <w:b/>
                <w:bCs/>
                <w:color w:val="000000"/>
              </w:rPr>
              <w:t>Goal</w:t>
            </w:r>
          </w:p>
        </w:tc>
        <w:tc>
          <w:tcPr>
            <w:tcW w:w="4200" w:type="dxa"/>
            <w:shd w:val="clear" w:color="auto" w:fill="D9D9D9"/>
            <w:tcMar>
              <w:top w:w="80" w:type="dxa"/>
              <w:left w:w="100" w:type="dxa"/>
              <w:bottom w:w="80" w:type="dxa"/>
              <w:right w:w="100" w:type="dxa"/>
            </w:tcMar>
          </w:tcPr>
          <w:p w14:paraId="62A742A2" w14:textId="77777777" w:rsidR="00C14CF4" w:rsidRDefault="00000000">
            <w:r>
              <w:rPr>
                <w:b/>
                <w:bCs/>
                <w:color w:val="000000"/>
              </w:rPr>
              <w:t>Key Deliverable</w:t>
            </w:r>
          </w:p>
        </w:tc>
      </w:tr>
      <w:tr w:rsidR="00C14CF4" w14:paraId="5D243185" w14:textId="77777777">
        <w:tc>
          <w:tcPr>
            <w:tcW w:w="2200" w:type="dxa"/>
            <w:tcMar>
              <w:top w:w="80" w:type="dxa"/>
              <w:left w:w="100" w:type="dxa"/>
              <w:bottom w:w="80" w:type="dxa"/>
              <w:right w:w="100" w:type="dxa"/>
            </w:tcMar>
          </w:tcPr>
          <w:p w14:paraId="2EAF2D94" w14:textId="77777777" w:rsidR="00C14CF4" w:rsidRDefault="00000000">
            <w:r>
              <w:rPr>
                <w:color w:val="000000"/>
              </w:rPr>
              <w:t>Stage 1: Representation Analysis (complete)</w:t>
            </w:r>
          </w:p>
        </w:tc>
        <w:tc>
          <w:tcPr>
            <w:tcW w:w="4200" w:type="dxa"/>
            <w:tcMar>
              <w:top w:w="80" w:type="dxa"/>
              <w:left w:w="100" w:type="dxa"/>
              <w:bottom w:w="80" w:type="dxa"/>
              <w:right w:w="100" w:type="dxa"/>
            </w:tcMar>
          </w:tcPr>
          <w:p w14:paraId="117459CA" w14:textId="77777777" w:rsidR="00C14CF4" w:rsidRDefault="00000000">
            <w:r>
              <w:rPr>
                <w:color w:val="000000"/>
              </w:rPr>
              <w:t>Determine what the frozen RNA and protein encoders already know, and how related their representations already are.</w:t>
            </w:r>
          </w:p>
        </w:tc>
        <w:tc>
          <w:tcPr>
            <w:tcW w:w="4200" w:type="dxa"/>
            <w:tcMar>
              <w:top w:w="80" w:type="dxa"/>
              <w:left w:w="100" w:type="dxa"/>
              <w:bottom w:w="80" w:type="dxa"/>
              <w:right w:w="100" w:type="dxa"/>
            </w:tcMar>
          </w:tcPr>
          <w:p w14:paraId="37A557C0" w14:textId="77777777" w:rsidR="00C14CF4" w:rsidRDefault="00000000">
            <w:r>
              <w:rPr>
                <w:color w:val="000000"/>
              </w:rPr>
              <w:t>Probe accuracies, CKA and CCA scores, retrieval accuracy, and visualizations for one pilot dataset.</w:t>
            </w:r>
          </w:p>
        </w:tc>
      </w:tr>
      <w:tr w:rsidR="00C14CF4" w14:paraId="62D51953" w14:textId="77777777">
        <w:tc>
          <w:tcPr>
            <w:tcW w:w="2200" w:type="dxa"/>
            <w:tcMar>
              <w:top w:w="80" w:type="dxa"/>
              <w:left w:w="100" w:type="dxa"/>
              <w:bottom w:w="80" w:type="dxa"/>
              <w:right w:w="100" w:type="dxa"/>
            </w:tcMar>
          </w:tcPr>
          <w:p w14:paraId="508CB42D" w14:textId="77777777" w:rsidR="00C14CF4" w:rsidRDefault="00000000">
            <w:r>
              <w:rPr>
                <w:color w:val="000000"/>
              </w:rPr>
              <w:t>Stage 2: Define Alignment</w:t>
            </w:r>
          </w:p>
        </w:tc>
        <w:tc>
          <w:tcPr>
            <w:tcW w:w="4200" w:type="dxa"/>
            <w:tcMar>
              <w:top w:w="80" w:type="dxa"/>
              <w:left w:w="100" w:type="dxa"/>
              <w:bottom w:w="80" w:type="dxa"/>
              <w:right w:w="100" w:type="dxa"/>
            </w:tcMar>
          </w:tcPr>
          <w:p w14:paraId="40E8FBAA" w14:textId="77777777" w:rsidR="00C14CF4" w:rsidRDefault="00000000">
            <w:r>
              <w:rPr>
                <w:color w:val="000000"/>
              </w:rPr>
              <w:t>Decide, based on Stage 1 findings, what a meaningful alignment target looks like for this modality pair and task.</w:t>
            </w:r>
          </w:p>
        </w:tc>
        <w:tc>
          <w:tcPr>
            <w:tcW w:w="4200" w:type="dxa"/>
            <w:tcMar>
              <w:top w:w="80" w:type="dxa"/>
              <w:left w:w="100" w:type="dxa"/>
              <w:bottom w:w="80" w:type="dxa"/>
              <w:right w:w="100" w:type="dxa"/>
            </w:tcMar>
          </w:tcPr>
          <w:p w14:paraId="450B7004" w14:textId="77777777" w:rsidR="00C14CF4" w:rsidRDefault="00000000">
            <w:r>
              <w:rPr>
                <w:color w:val="000000"/>
              </w:rPr>
              <w:t>A chosen alignment metric and target, plus a judgment on heterogeneity and modality uniqueness.</w:t>
            </w:r>
          </w:p>
        </w:tc>
      </w:tr>
      <w:tr w:rsidR="00C14CF4" w14:paraId="36D967DA" w14:textId="77777777">
        <w:tc>
          <w:tcPr>
            <w:tcW w:w="2200" w:type="dxa"/>
            <w:tcMar>
              <w:top w:w="80" w:type="dxa"/>
              <w:left w:w="100" w:type="dxa"/>
              <w:bottom w:w="80" w:type="dxa"/>
              <w:right w:w="100" w:type="dxa"/>
            </w:tcMar>
          </w:tcPr>
          <w:p w14:paraId="2439771F" w14:textId="77777777" w:rsidR="00C14CF4" w:rsidRDefault="00000000">
            <w:r>
              <w:rPr>
                <w:color w:val="000000"/>
              </w:rPr>
              <w:t>Stage 3: Fusion</w:t>
            </w:r>
          </w:p>
        </w:tc>
        <w:tc>
          <w:tcPr>
            <w:tcW w:w="4200" w:type="dxa"/>
            <w:tcMar>
              <w:top w:w="80" w:type="dxa"/>
              <w:left w:w="100" w:type="dxa"/>
              <w:bottom w:w="80" w:type="dxa"/>
              <w:right w:w="100" w:type="dxa"/>
            </w:tcMar>
          </w:tcPr>
          <w:p w14:paraId="4B9B9E4D" w14:textId="77777777" w:rsidR="00C14CF4" w:rsidRDefault="00000000">
            <w:r>
              <w:rPr>
                <w:color w:val="000000"/>
              </w:rPr>
              <w:t>Build the architecture that combines the modalities, starting cheap and adding complexity only where Stage 1 and 2 justify it.</w:t>
            </w:r>
          </w:p>
        </w:tc>
        <w:tc>
          <w:tcPr>
            <w:tcW w:w="4200" w:type="dxa"/>
            <w:tcMar>
              <w:top w:w="80" w:type="dxa"/>
              <w:left w:w="100" w:type="dxa"/>
              <w:bottom w:w="80" w:type="dxa"/>
              <w:right w:w="100" w:type="dxa"/>
            </w:tcMar>
          </w:tcPr>
          <w:p w14:paraId="2C14D919" w14:textId="77777777" w:rsidR="00C14CF4" w:rsidRDefault="00000000">
            <w:r>
              <w:rPr>
                <w:color w:val="000000"/>
              </w:rPr>
              <w:t>A trained fusion model, or a small set of fusion candidates ready for benchmarking.</w:t>
            </w:r>
          </w:p>
        </w:tc>
      </w:tr>
      <w:tr w:rsidR="00C14CF4" w14:paraId="1DACDB7C" w14:textId="77777777">
        <w:tc>
          <w:tcPr>
            <w:tcW w:w="2200" w:type="dxa"/>
            <w:tcMar>
              <w:top w:w="80" w:type="dxa"/>
              <w:left w:w="100" w:type="dxa"/>
              <w:bottom w:w="80" w:type="dxa"/>
              <w:right w:w="100" w:type="dxa"/>
            </w:tcMar>
          </w:tcPr>
          <w:p w14:paraId="4D71F2E2" w14:textId="77777777" w:rsidR="00C14CF4" w:rsidRDefault="00000000">
            <w:r>
              <w:rPr>
                <w:color w:val="000000"/>
              </w:rPr>
              <w:t>Stage 4: Benchmarking</w:t>
            </w:r>
          </w:p>
        </w:tc>
        <w:tc>
          <w:tcPr>
            <w:tcW w:w="4200" w:type="dxa"/>
            <w:tcMar>
              <w:top w:w="80" w:type="dxa"/>
              <w:left w:w="100" w:type="dxa"/>
              <w:bottom w:w="80" w:type="dxa"/>
              <w:right w:w="100" w:type="dxa"/>
            </w:tcMar>
          </w:tcPr>
          <w:p w14:paraId="277F9607" w14:textId="77777777" w:rsidR="00C14CF4" w:rsidRDefault="00000000">
            <w:r>
              <w:rPr>
                <w:color w:val="000000"/>
              </w:rPr>
              <w:t xml:space="preserve">Test whether the fused model outperforms the best single modality model on a real downstream task, with a control built in.</w:t>
            </w:r>
          </w:p>
        </w:tc>
        <w:tc>
          <w:tcPr>
            <w:tcW w:w="4200" w:type="dxa"/>
            <w:tcMar>
              <w:top w:w="80" w:type="dxa"/>
              <w:left w:w="100" w:type="dxa"/>
              <w:bottom w:w="80" w:type="dxa"/>
              <w:right w:w="100" w:type="dxa"/>
            </w:tcMar>
          </w:tcPr>
          <w:p w14:paraId="64AB60C9" w14:textId="77777777" w:rsidR="00C14CF4" w:rsidRDefault="00000000">
            <w:r>
              <w:rPr>
                <w:color w:val="000000"/>
              </w:rPr>
              <w:t>Benchmark results, a statistical comparison, and a written conclusion on whether fusion earned its added complexity.</w:t>
            </w:r>
          </w:p>
        </w:tc>
      </w:tr>
    </w:tbl>
    <w:p w14:paraId="0B6CDD12" w14:textId="77777777" w:rsidR="00C14CF4" w:rsidRDefault="00C14CF4">
      <w:pPr>
        <w:spacing w:after="160"/>
      </w:pPr>
    </w:p>
    <w:p w14:paraId="6A69B7C7" w14:textId="77777777" w:rsidR="00C14CF4" w:rsidRDefault="00000000">
      <w:pPr>
        <w:spacing w:after="200"/>
      </w:pPr>
      <w:r>
        <w:rPr>
          <w:i/>
          <w:iCs/>
          <w:color w:val="000000"/>
        </w:rPr>
        <w:lastRenderedPageBreak/>
        <w:t>A note on Stage 1's three tracks: two earlier drafts of this plan assigned different letters (A, B, C) to the same three tracks. The version below is the reconciled, canonical one; if a different lettering was already shared with Mina, that was the earlier draft.</w:t>
      </w:r>
    </w:p>
    <w:p w14:paraId="74BC4EFE" w14:textId="77777777" w:rsidR="00C14CF4" w:rsidRDefault="00000000">
      <w:pPr>
        <w:pStyle w:val="Heading2"/>
        <w:spacing w:before="240" w:after="120"/>
      </w:pPr>
      <w:r>
        <w:rPr>
          <w:b/>
          <w:bCs/>
          <w:color w:val="000000"/>
          <w:sz w:val="25"/>
          <w:szCs w:val="25"/>
        </w:rPr>
        <w:t>3.1 Stage 1: Representation Analysis, Three Parallel Tracks</w:t>
      </w:r>
    </w:p>
    <w:p w14:paraId="772F5038" w14:textId="77777777" w:rsidR="00C14CF4" w:rsidRDefault="00000000">
      <w:pPr>
        <w:spacing w:after="160"/>
      </w:pPr>
      <w:r>
        <w:rPr>
          <w:color w:val="000000"/>
          <w:sz w:val="22"/>
          <w:szCs w:val="22"/>
        </w:rPr>
        <w:t>Rather than running the toolkit as one undifferentiated pass, it splits into three tracks that answer three different questions.</w:t>
      </w:r>
    </w:p>
    <w:p w14:paraId="50093B36" w14:textId="77777777" w:rsidR="00C14CF4" w:rsidRDefault="00000000">
      <w:pPr>
        <w:pStyle w:val="ListParagraph"/>
        <w:numPr>
          <w:ilvl w:val="0"/>
          <w:numId w:val="1"/>
        </w:numPr>
        <w:spacing w:after="80"/>
      </w:pPr>
      <w:r>
        <w:rPr>
          <w:color w:val="000000"/>
          <w:sz w:val="22"/>
          <w:szCs w:val="22"/>
        </w:rPr>
        <w:t>Track A, Task-Relevant Decodability: linear probing per modality for known biological properties (GC content, sequence length as a confound check, and eventually codon usage bias and secondary structure propensity) establishes what each encoder demonstrably knows on its own. A synergy check, does naive concatenation beat the best single-modality baseline, is the cheap early signal for whether combining the modalities adds anything beyond the best single one, in the spirit of the Synergistic Information Score.</w:t>
      </w:r>
    </w:p>
    <w:p w14:paraId="6D256E66" w14:textId="77777777" w:rsidR="00C14CF4" w:rsidRDefault="00000000">
      <w:pPr>
        <w:pStyle w:val="ListParagraph"/>
        <w:numPr>
          <w:ilvl w:val="0"/>
          <w:numId w:val="1"/>
        </w:numPr>
        <w:spacing w:after="80"/>
      </w:pPr>
      <w:r>
        <w:rPr>
          <w:color w:val="000000"/>
          <w:sz w:val="22"/>
          <w:szCs w:val="22"/>
        </w:rPr>
        <w:t>Track B, Cross-Modal Comparability: CKA and mutual-KNN between each encoder pair, at multiple layers, not only the final one, since alignment often peaks mid-network. CCA on genuinely paired biological data (a transcript and its own translated protein) for a direct correspondence check. Cross-modal retrieval as a task-grounded sanity check: query with an RNA embedding, see if the true matching protein embedding comes back above chance. UMAP last, for communicating results, not as evidence itself.</w:t>
      </w:r>
    </w:p>
    <w:p w14:paraId="0D315FB6" w14:textId="77777777" w:rsidR="00C14CF4" w:rsidRDefault="00000000">
      <w:pPr>
        <w:pStyle w:val="ListParagraph"/>
        <w:numPr>
          <w:ilvl w:val="0"/>
          <w:numId w:val="1"/>
        </w:numPr>
        <w:spacing w:after="80"/>
      </w:pPr>
      <w:r>
        <w:rPr>
          <w:color w:val="000000"/>
          <w:sz w:val="22"/>
          <w:szCs w:val="22"/>
        </w:rPr>
        <w:t>Track C, Interpretability: attention visualization compared against known RNA stability motifs (AU-rich elements and m6A DRACH sites) on the RNA encoder, as a check that the representation tracks real regulatory biology rather than an artifact of the probe itself.</w:t>
      </w:r>
    </w:p>
    <w:p w14:paraId="3A317B78" w14:textId="77777777" w:rsidR="00C14CF4" w:rsidRDefault="00000000">
      <w:pPr>
        <w:spacing w:after="160"/>
      </w:pPr>
      <w:r>
        <w:rPr>
          <w:color w:val="000000"/>
          <w:sz w:val="22"/>
          <w:szCs w:val="22"/>
        </w:rPr>
        <w:t>The exit criterion for Stage 1 is not a table of CKA scores. It is a placement of each modality pair on the redundancy, uniqueness, and heterogeneity map from the alignment theory paper, plus a synergy reading from Track A. That placement is what drives Stage 2's decision.</w:t>
      </w:r>
    </w:p>
    <w:p w14:paraId="175A86D5" w14:textId="77777777" w:rsidR="00C14CF4" w:rsidRDefault="00000000">
      <w:pPr>
        <w:pStyle w:val="Heading2"/>
        <w:spacing w:before="240" w:after="120"/>
      </w:pPr>
      <w:r>
        <w:rPr>
          <w:b/>
          <w:bCs/>
          <w:color w:val="000000"/>
          <w:sz w:val="25"/>
          <w:szCs w:val="25"/>
        </w:rPr>
        <w:t>3.2 Stage 2: Define Alignment, as a Decision Tree</w:t>
      </w:r>
    </w:p>
    <w:p w14:paraId="06F363DD" w14:textId="77777777" w:rsidR="00C14CF4" w:rsidRDefault="00000000">
      <w:pPr>
        <w:pStyle w:val="ListParagraph"/>
        <w:numPr>
          <w:ilvl w:val="0"/>
          <w:numId w:val="1"/>
        </w:numPr>
        <w:spacing w:after="80"/>
      </w:pPr>
      <w:r>
        <w:rPr>
          <w:color w:val="000000"/>
          <w:sz w:val="22"/>
          <w:szCs w:val="22"/>
        </w:rPr>
        <w:t>High alignment, redundancy-dominated: resampling-based alignment (BioLangFusion's approach) is probably good enough. No need to over-engineer this pair.</w:t>
      </w:r>
    </w:p>
    <w:p w14:paraId="424AB787" w14:textId="77777777" w:rsidR="00C14CF4" w:rsidRDefault="00000000">
      <w:pPr>
        <w:pStyle w:val="ListParagraph"/>
        <w:numPr>
          <w:ilvl w:val="0"/>
          <w:numId w:val="1"/>
        </w:numPr>
        <w:spacing w:after="80"/>
      </w:pPr>
      <w:r>
        <w:rPr>
          <w:color w:val="000000"/>
          <w:sz w:val="22"/>
          <w:szCs w:val="22"/>
        </w:rPr>
        <w:t>Low alignment, high uniqueness or synergy: per the alignment theory paper and the beyond-alignment critique, an explicit contrastive alignment loss may actively hurt here by suppressing the modality-specific signal. Skip explicit alignment for this pair and let the fusion architecture handle the interaction directly (nonlinear cross-attention, mixture-of-experts) instead.</w:t>
      </w:r>
    </w:p>
    <w:p w14:paraId="476F9042" w14:textId="77777777" w:rsidR="00C14CF4" w:rsidRDefault="00000000">
      <w:pPr>
        <w:pStyle w:val="ListParagraph"/>
        <w:numPr>
          <w:ilvl w:val="0"/>
          <w:numId w:val="1"/>
        </w:numPr>
        <w:spacing w:after="80"/>
      </w:pPr>
      <w:r>
        <w:rPr>
          <w:color w:val="000000"/>
          <w:sz w:val="22"/>
          <w:szCs w:val="22"/>
        </w:rPr>
        <w:t xml:space="preserve">Moderate alignment with a positive alignment-performance slope (the ICML 2025 paper's own diagnostic): worth prototyping a lightweight contrastive or CCA-based alignment layer, since the paper's evidence says weighting it should genuinely help in that regime.</w:t>
      </w:r>
    </w:p>
    <w:p w14:paraId="1DFE0221" w14:textId="77777777" w:rsidR="00C14CF4" w:rsidRDefault="00000000">
      <w:pPr>
        <w:pStyle w:val="ListParagraph"/>
        <w:numPr>
          <w:ilvl w:val="0"/>
          <w:numId w:val="1"/>
        </w:numPr>
        <w:spacing w:after="80"/>
      </w:pPr>
      <w:r>
        <w:rPr>
          <w:color w:val="000000"/>
          <w:sz w:val="22"/>
          <w:szCs w:val="22"/>
        </w:rPr>
        <w:t>Mixed across pairs, plausible given Central Dogma Transformer's sequel work finding RNA and protein changes often move in opposite directions: test each pairwise relationship on its own terms rather than assuming DNA, RNA, and protein need one uniform alignment method.</w:t>
      </w:r>
    </w:p>
    <w:p w14:paraId="34A470C6" w14:textId="77777777" w:rsidR="00C14CF4" w:rsidRDefault="00000000">
      <w:pPr>
        <w:spacing w:after="160"/>
      </w:pPr>
      <w:r>
        <w:rPr>
          <w:color w:val="000000"/>
          <w:sz w:val="22"/>
          <w:szCs w:val="22"/>
        </w:rPr>
        <w:t>Worth naming explicitly to Mina: Stage 1 may conclude that formal alignment is not the right target for one or more of these pairs at all. That would be a real finding, not a failure to find one.</w:t>
      </w:r>
    </w:p>
    <w:p w14:paraId="23872C08" w14:textId="77777777" w:rsidR="00C14CF4" w:rsidRDefault="00000000">
      <w:pPr>
        <w:pStyle w:val="Heading2"/>
        <w:spacing w:before="240" w:after="120"/>
      </w:pPr>
      <w:r>
        <w:rPr>
          <w:b/>
          <w:bCs/>
          <w:color w:val="000000"/>
          <w:sz w:val="25"/>
          <w:szCs w:val="25"/>
        </w:rPr>
        <w:t>3.3 Stage 3: Fusion, Staged by Risk</w:t>
      </w:r>
    </w:p>
    <w:p w14:paraId="13B0E90E" w14:textId="77777777" w:rsidR="00C14CF4" w:rsidRDefault="00000000">
      <w:pPr>
        <w:pStyle w:val="ListParagraph"/>
        <w:numPr>
          <w:ilvl w:val="0"/>
          <w:numId w:val="1"/>
        </w:numPr>
        <w:spacing w:after="80"/>
      </w:pPr>
      <w:r>
        <w:rPr>
          <w:color w:val="000000"/>
          <w:sz w:val="22"/>
          <w:szCs w:val="22"/>
        </w:rPr>
        <w:t xml:space="preserve">Baseline (always run): naive concatenation plus an MLP head. Not just a baseline; the reference point the Stage 1 and Stage 2 synergy checks need.</w:t>
      </w:r>
    </w:p>
    <w:p w14:paraId="04E96FC4" w14:textId="77777777" w:rsidR="00C14CF4" w:rsidRDefault="00000000">
      <w:pPr>
        <w:pStyle w:val="ListParagraph"/>
        <w:numPr>
          <w:ilvl w:val="0"/>
          <w:numId w:val="1"/>
        </w:numPr>
        <w:spacing w:after="80"/>
      </w:pPr>
      <w:r>
        <w:rPr>
          <w:color w:val="000000"/>
          <w:sz w:val="22"/>
          <w:szCs w:val="22"/>
        </w:rPr>
        <w:t>Cross-attention (Isoformer-style, already planned): most validated in the literature, quadratic cost.</w:t>
      </w:r>
    </w:p>
    <w:p w14:paraId="0A717617" w14:textId="77777777" w:rsidR="00C14CF4" w:rsidRDefault="00000000">
      <w:pPr>
        <w:pStyle w:val="ListParagraph"/>
        <w:numPr>
          <w:ilvl w:val="0"/>
          <w:numId w:val="1"/>
        </w:numPr>
        <w:spacing w:after="80"/>
      </w:pPr>
      <w:r>
        <w:rPr>
          <w:color w:val="000000"/>
          <w:sz w:val="22"/>
          <w:szCs w:val="22"/>
        </w:rPr>
        <w:t>Coupled Mamba (already planned, per Mina's ask): linear cost, and no alignment loss needed by design, though both streams must share a step grid (the codon grid here).</w:t>
      </w:r>
    </w:p>
    <w:p w14:paraId="3DCC1990" w14:textId="77777777" w:rsidR="00C14CF4" w:rsidRDefault="00000000">
      <w:pPr>
        <w:pStyle w:val="ListParagraph"/>
        <w:numPr>
          <w:ilvl w:val="0"/>
          <w:numId w:val="1"/>
        </w:numPr>
        <w:spacing w:after="80"/>
      </w:pPr>
      <w:r>
        <w:rPr>
          <w:color w:val="000000"/>
          <w:sz w:val="22"/>
          <w:szCs w:val="22"/>
        </w:rPr>
        <w:t xml:space="preserve">Cross-Mamba / BiMamba interaction module: a second Mamba-family option purpose-built for biological sequence interaction, worth benchmarking against vanilla Coupled Mamba directly, and pairs well with the newer Mamba-3 backbone if the original underperforms.</w:t>
      </w:r>
    </w:p>
    <w:p w14:paraId="59FD6E8C" w14:textId="77777777" w:rsidR="00C14CF4" w:rsidRDefault="00000000">
      <w:pPr>
        <w:pStyle w:val="ListParagraph"/>
        <w:numPr>
          <w:ilvl w:val="0"/>
          <w:numId w:val="1"/>
        </w:numPr>
        <w:spacing w:after="80"/>
      </w:pPr>
      <w:r>
        <w:rPr>
          <w:color w:val="000000"/>
          <w:sz w:val="22"/>
          <w:szCs w:val="22"/>
        </w:rPr>
        <w:lastRenderedPageBreak/>
        <w:t>Perceiver-style asymmetric cross-attention: relevant if DNA ends up in the input set, since it keeps attention cost close to linear over long genomic sequences while still being true attention. Direct precedent on an expression-prediction task specifically.</w:t>
      </w:r>
    </w:p>
    <w:p w14:paraId="6A86C467" w14:textId="77777777" w:rsidR="00C14CF4" w:rsidRDefault="00000000">
      <w:pPr>
        <w:pStyle w:val="ListParagraph"/>
        <w:numPr>
          <w:ilvl w:val="0"/>
          <w:numId w:val="1"/>
        </w:numPr>
        <w:spacing w:after="80"/>
      </w:pPr>
      <w:r>
        <w:rPr>
          <w:color w:val="000000"/>
          <w:sz w:val="22"/>
          <w:szCs w:val="22"/>
        </w:rPr>
        <w:t>Mixture-of-experts fusion (conditional): worth prototyping only if Stage 1 shows the uniqueness and redundancy split varies a lot by example rather than being uniform.</w:t>
      </w:r>
    </w:p>
    <w:p w14:paraId="4F299190" w14:textId="77777777" w:rsidR="00C14CF4" w:rsidRDefault="00000000">
      <w:pPr>
        <w:spacing w:after="160"/>
      </w:pPr>
      <w:r>
        <w:rPr>
          <w:color w:val="000000"/>
          <w:sz w:val="22"/>
          <w:szCs w:val="22"/>
        </w:rPr>
        <w:t>Mina already asked for both cross-attention and Coupled Mamba benchmarked, so treat that as fixed. The Cross-Mamba and Perceiver options are fallbacks if either underperforms, not a third and fourth thing to build from day one.</w:t>
      </w:r>
    </w:p>
    <w:p w14:paraId="08C21B9B" w14:textId="77777777" w:rsidR="00C14CF4" w:rsidRDefault="00000000">
      <w:pPr>
        <w:pStyle w:val="Heading2"/>
        <w:spacing w:before="240" w:after="120"/>
      </w:pPr>
      <w:r>
        <w:rPr>
          <w:b/>
          <w:bCs/>
          <w:color w:val="000000"/>
          <w:sz w:val="25"/>
          <w:szCs w:val="25"/>
        </w:rPr>
        <w:t>3.4 Stage 4: Benchmarking Protocol</w:t>
      </w:r>
    </w:p>
    <w:p w14:paraId="19A9B811" w14:textId="77777777" w:rsidR="00C14CF4" w:rsidRDefault="00000000">
      <w:pPr>
        <w:pStyle w:val="ListParagraph"/>
        <w:numPr>
          <w:ilvl w:val="0"/>
          <w:numId w:val="1"/>
        </w:numPr>
        <w:spacing w:after="80"/>
      </w:pPr>
      <w:r>
        <w:rPr>
          <w:color w:val="000000"/>
          <w:sz w:val="22"/>
          <w:szCs w:val="22"/>
        </w:rPr>
        <w:t>Always include single-modality baselines per modality and the naive concatenation baseline, not just the fusion architectures, so a fusion win can be checked against how much of it is redundant information versus genuine synergy.</w:t>
      </w:r>
    </w:p>
    <w:p w14:paraId="1F0724D7" w14:textId="77777777" w:rsidR="00C14CF4" w:rsidRDefault="00000000">
      <w:pPr>
        <w:pStyle w:val="ListParagraph"/>
        <w:numPr>
          <w:ilvl w:val="0"/>
          <w:numId w:val="1"/>
        </w:numPr>
        <w:spacing w:after="80"/>
      </w:pPr>
      <w:r>
        <w:rPr>
          <w:color w:val="000000"/>
          <w:sz w:val="22"/>
          <w:szCs w:val="22"/>
        </w:rPr>
        <w:t xml:space="preserve">Run the mRFP_Expression control explicitly, a redundancy-dominated, near-zero-uniqueness case by construction. Fusion showing a real gain there is a red flag for leakage, not a win.</w:t>
      </w:r>
    </w:p>
    <w:p w14:paraId="701D1C93" w14:textId="77777777" w:rsidR="00C14CF4" w:rsidRDefault="00000000">
      <w:pPr>
        <w:pStyle w:val="ListParagraph"/>
        <w:numPr>
          <w:ilvl w:val="0"/>
          <w:numId w:val="1"/>
        </w:numPr>
        <w:spacing w:after="80"/>
      </w:pPr>
      <w:r>
        <w:rPr>
          <w:color w:val="000000"/>
          <w:sz w:val="22"/>
          <w:szCs w:val="22"/>
        </w:rPr>
        <w:t>Report a synergy number (fusion versus best single modality) alongside raw performance, not performance alone.</w:t>
      </w:r>
    </w:p>
    <w:p w14:paraId="27DE36C1" w14:textId="77777777" w:rsidR="00C14CF4" w:rsidRDefault="00000000">
      <w:pPr>
        <w:pStyle w:val="ListParagraph"/>
        <w:numPr>
          <w:ilvl w:val="0"/>
          <w:numId w:val="1"/>
        </w:numPr>
        <w:spacing w:after="80"/>
      </w:pPr>
      <w:r>
        <w:rPr>
          <w:color w:val="000000"/>
          <w:sz w:val="22"/>
          <w:szCs w:val="22"/>
        </w:rPr>
        <w:t>Cross-check against externally published numbers on the same benchmark datasets, not only against internal baselines. Report results with a real statistical comparison, given the intent to publish this work.</w:t>
      </w:r>
    </w:p>
    <w:p w14:paraId="12E74DA0" w14:textId="77777777" w:rsidR="00C14CF4" w:rsidRDefault="00000000">
      <w:pPr>
        <w:pStyle w:val="Heading2"/>
        <w:spacing w:before="240" w:after="120"/>
      </w:pPr>
      <w:r>
        <w:rPr>
          <w:b/>
          <w:bCs/>
          <w:color w:val="000000"/>
          <w:sz w:val="25"/>
          <w:szCs w:val="25"/>
        </w:rPr>
        <w:t>3.5 The Stage 1 Minimum Bar (Met)</w:t>
      </w:r>
    </w:p>
    <w:p w14:paraId="4E99BFDA" w14:textId="77777777" w:rsidR="00C14CF4" w:rsidRDefault="00000000">
      <w:pPr>
        <w:spacing w:after="160"/>
      </w:pPr>
      <w:r>
        <w:rPr>
          <w:color w:val="000000"/>
          <w:sz w:val="22"/>
          <w:szCs w:val="22"/>
        </w:rPr>
        <w:t xml:space="preserve">The original plan for what to bring to the September 23 meeting was: pick one small paired dataset with matching RNA and protein sequences, run each through its frozen encoder, run a linear probe and compute a CKA score, and generate one UMAP plot as a supporting visual. Section 9 below shows this bar has been substantially exceeded, not just met.</w:t>
      </w:r>
    </w:p>
    <w:p w14:paraId="7B61E808" w14:textId="77777777" w:rsidR="00C14CF4" w:rsidRDefault="00000000">
      <w:pPr>
        <w:pStyle w:val="Heading1"/>
        <w:spacing w:before="320" w:after="160"/>
      </w:pPr>
      <w:r>
        <w:rPr>
          <w:b/>
          <w:bCs/>
          <w:color w:val="000000"/>
          <w:sz w:val="30"/>
          <w:szCs w:val="30"/>
        </w:rPr>
        <w:t>4. Downstream Task and Dataset Notes</w:t>
      </w:r>
    </w:p>
    <w:p w14:paraId="760F72F0" w14:textId="77777777" w:rsidR="00C14CF4" w:rsidRDefault="00000000">
      <w:pPr>
        <w:spacing w:after="160"/>
      </w:pPr>
      <w:r>
        <w:rPr>
          <w:color w:val="000000"/>
          <w:sz w:val="22"/>
          <w:szCs w:val="22"/>
        </w:rPr>
        <w:t>From Mina's draft document, "DNA, RNA, Protein Models and Downstream Task," summarized here for quick reference; the document itself is left untouched and separate.</w:t>
      </w:r>
    </w:p>
    <w:p w14:paraId="49B960F1" w14:textId="77777777" w:rsidR="00C14CF4" w:rsidRDefault="00000000">
      <w:pPr>
        <w:pStyle w:val="ListParagraph"/>
        <w:numPr>
          <w:ilvl w:val="0"/>
          <w:numId w:val="1"/>
        </w:numPr>
        <w:spacing w:after="80"/>
      </w:pPr>
      <w:r>
        <w:rPr>
          <w:color w:val="000000"/>
          <w:sz w:val="22"/>
          <w:szCs w:val="22"/>
        </w:rPr>
        <w:t xml:space="preserve">Proposed downstream task: multimodal mRNA stability and expression prediction, Isoformer-style, reusing frozen pretrained encoders per modality and training only a fusion module plus a task head.</w:t>
      </w:r>
    </w:p>
    <w:p w14:paraId="67C8CBD9" w14:textId="77777777" w:rsidR="00C14CF4" w:rsidRDefault="00000000">
      <w:pPr>
        <w:pStyle w:val="ListParagraph"/>
        <w:numPr>
          <w:ilvl w:val="0"/>
          <w:numId w:val="1"/>
        </w:numPr>
        <w:spacing w:after="80"/>
      </w:pPr>
      <w:r>
        <w:rPr>
          <w:color w:val="000000"/>
          <w:sz w:val="22"/>
          <w:szCs w:val="22"/>
        </w:rPr>
        <w:t xml:space="preserve">Main dataset: mRNA_Stability (41,123 sequences; human, mouse, frog, fish), plus Fungal_expression and E.Coli_proteins as additional tasks, all from the CodonBERT benchmark repository.</w:t>
      </w:r>
    </w:p>
    <w:p w14:paraId="1D413CEB" w14:textId="77777777" w:rsidR="00C14CF4" w:rsidRDefault="00000000">
      <w:pPr>
        <w:pStyle w:val="ListParagraph"/>
        <w:numPr>
          <w:ilvl w:val="0"/>
          <w:numId w:val="1"/>
        </w:numPr>
        <w:spacing w:after="80"/>
      </w:pPr>
      <w:r>
        <w:rPr>
          <w:color w:val="000000"/>
          <w:sz w:val="22"/>
          <w:szCs w:val="22"/>
        </w:rPr>
        <w:t xml:space="preserve">Control dataset: mRFP_Expression, 1,459 variants from synonymous codon randomization of a single gene, so every variant encodes an identical protein. A protein encoder should add no information here; fusion should show no gain. This is a built-in zero-uniqueness sanity check, and the pilot notebook's control dataset check (Section 9) confirms the pipeline behaves as expected on it.</w:t>
      </w:r>
    </w:p>
    <w:p w14:paraId="6ACACB3A" w14:textId="77777777" w:rsidR="00C14CF4" w:rsidRDefault="00000000">
      <w:pPr>
        <w:pStyle w:val="ListParagraph"/>
        <w:numPr>
          <w:ilvl w:val="0"/>
          <w:numId w:val="1"/>
        </w:numPr>
        <w:spacing w:after="80"/>
      </w:pPr>
      <w:r>
        <w:rPr>
          <w:color w:val="000000"/>
          <w:sz w:val="22"/>
          <w:szCs w:val="22"/>
        </w:rPr>
        <w:t xml:space="preserve">DNA is explicitly optional in Mina's own plan: it requires the genomic region around the gene, feasible only for the human and mouse subset, and only if the CSV carries gene or transcript IDs mappable in Ensembl. Neither mRNA_Stability.csv nor mRFP_Expression.csv carries such IDs, only Sequence, Value, Dataset, and Split columns, so Stage 1 has proceeded DNA-optional, consistent with the "RNA-only vs. protein-only vs. RNA+protein vs. all three modalities" experiment her own draft lays out as the eventual Stage 4 comparison.</w:t>
      </w:r>
    </w:p>
    <w:p w14:paraId="00E35155" w14:textId="77777777" w:rsidR="00C14CF4" w:rsidRDefault="00000000">
      <w:pPr>
        <w:pStyle w:val="ListParagraph"/>
        <w:numPr>
          <w:ilvl w:val="0"/>
          <w:numId w:val="1"/>
        </w:numPr>
        <w:spacing w:after="80"/>
      </w:pPr>
      <w:r>
        <w:rPr>
          <w:color w:val="000000"/>
          <w:sz w:val="22"/>
          <w:szCs w:val="22"/>
        </w:rPr>
        <w:t xml:space="preserve">Flagged as unsuitable for fusion, single-modality in practice: mRFP_Expression (control only), Tc-Riboswitches, CoV_Vaccine_Degradation, MLOS.</w:t>
      </w:r>
    </w:p>
    <w:p w14:paraId="2BB3D484" w14:textId="77777777" w:rsidR="00C14CF4" w:rsidRDefault="00000000">
      <w:pPr>
        <w:pStyle w:val="ListParagraph"/>
        <w:numPr>
          <w:ilvl w:val="0"/>
          <w:numId w:val="1"/>
        </w:numPr>
        <w:spacing w:after="80"/>
      </w:pPr>
      <w:r>
        <w:rPr>
          <w:color w:val="000000"/>
          <w:sz w:val="22"/>
          <w:szCs w:val="22"/>
        </w:rPr>
        <w:lastRenderedPageBreak/>
        <w:t xml:space="preserve">Checks before starting, both now satisfied in the pilot notebook: confirm sequences start at a start codon and stay in frame (needed for a clean translation to protein), and confirm whether gene/transcript IDs exist (they do not, hence DNA-optional).</w:t>
      </w:r>
    </w:p>
    <w:p w14:paraId="2CEC8CFE" w14:textId="77777777" w:rsidR="00C14CF4" w:rsidRDefault="00000000">
      <w:pPr>
        <w:pStyle w:val="Heading1"/>
        <w:spacing w:before="320" w:after="160"/>
      </w:pPr>
      <w:r>
        <w:rPr>
          <w:b/>
          <w:bCs/>
          <w:color w:val="000000"/>
          <w:sz w:val="30"/>
          <w:szCs w:val="30"/>
        </w:rPr>
        <w:t>5. Extended Toolkit Reference</w:t>
      </w:r>
    </w:p>
    <w:p w14:paraId="09E9C4BB" w14:textId="77777777" w:rsidR="00C14CF4" w:rsidRDefault="00000000">
      <w:pPr>
        <w:pStyle w:val="Heading2"/>
        <w:spacing w:before="240" w:after="120"/>
      </w:pPr>
      <w:r>
        <w:rPr>
          <w:b/>
          <w:bCs/>
          <w:color w:val="000000"/>
          <w:sz w:val="25"/>
          <w:szCs w:val="25"/>
        </w:rPr>
        <w:t>5.1 Originally Shared Tools</w:t>
      </w:r>
    </w:p>
    <w:p w14:paraId="682CEA99" w14:textId="77777777" w:rsidR="00C14CF4" w:rsidRDefault="00000000">
      <w:pPr>
        <w:spacing w:after="160"/>
      </w:pPr>
      <w:r>
        <w:rPr>
          <w:color w:val="000000"/>
          <w:sz w:val="22"/>
          <w:szCs w:val="22"/>
        </w:rPr>
        <w:t>The five tools Mina found and shared directly, with the expectation of researching additional ones independently.</w:t>
      </w:r>
    </w:p>
    <w:p w14:paraId="1E30DBAB" w14:textId="77777777" w:rsidR="00C14CF4" w:rsidRDefault="00000000">
      <w:pPr>
        <w:pStyle w:val="ListParagraph"/>
        <w:numPr>
          <w:ilvl w:val="0"/>
          <w:numId w:val="1"/>
        </w:numPr>
        <w:spacing w:after="80"/>
      </w:pPr>
      <w:r>
        <w:rPr>
          <w:color w:val="000000"/>
          <w:sz w:val="22"/>
          <w:szCs w:val="22"/>
        </w:rPr>
        <w:t xml:space="preserve">Linear probe, for biological information content: a simple classifier or regressor trained on frozen representations to check what biological information is linearly recoverable (sklearn LogisticRegression / RidgeCV).</w:t>
      </w:r>
    </w:p>
    <w:p w14:paraId="5367F674" w14:textId="77777777" w:rsidR="00C14CF4" w:rsidRDefault="00000000">
      <w:pPr>
        <w:pStyle w:val="ListParagraph"/>
        <w:numPr>
          <w:ilvl w:val="0"/>
          <w:numId w:val="1"/>
        </w:numPr>
        <w:spacing w:after="80"/>
      </w:pPr>
      <w:r>
        <w:rPr>
          <w:color w:val="000000"/>
          <w:sz w:val="22"/>
          <w:szCs w:val="22"/>
        </w:rPr>
        <w:t xml:space="preserve">CKA (Centered Kernel Alignment), for representational similarity: compares representations layer by layer between two models; a PyTorch implementation supporting Hugging Face models is at github.com/ryusudol/Centered-Kernel-Alignment.</w:t>
      </w:r>
    </w:p>
    <w:p w14:paraId="566696FB" w14:textId="77777777" w:rsidR="00C14CF4" w:rsidRDefault="00000000">
      <w:pPr>
        <w:pStyle w:val="ListParagraph"/>
        <w:numPr>
          <w:ilvl w:val="0"/>
          <w:numId w:val="1"/>
        </w:numPr>
        <w:spacing w:after="80"/>
      </w:pPr>
      <w:r>
        <w:rPr>
          <w:color w:val="000000"/>
          <w:sz w:val="22"/>
          <w:szCs w:val="22"/>
        </w:rPr>
        <w:t xml:space="preserve">CCA (Canonical Correlation Analysis), for representational similarity and alignment: sklearn.cross_decomposition.CCA finds correlated directions between two representation spaces.</w:t>
      </w:r>
    </w:p>
    <w:p w14:paraId="38BB0907" w14:textId="77777777" w:rsidR="00C14CF4" w:rsidRDefault="00000000">
      <w:pPr>
        <w:pStyle w:val="ListParagraph"/>
        <w:numPr>
          <w:ilvl w:val="0"/>
          <w:numId w:val="1"/>
        </w:numPr>
        <w:spacing w:after="80"/>
      </w:pPr>
      <w:r>
        <w:rPr>
          <w:color w:val="000000"/>
          <w:sz w:val="22"/>
          <w:szCs w:val="22"/>
        </w:rPr>
        <w:t>Cross-modal retrieval, for correspondence: FAISS or an equivalent nearest-neighbor search between embedding spaces.</w:t>
      </w:r>
    </w:p>
    <w:p w14:paraId="7A563651" w14:textId="77777777" w:rsidR="00C14CF4" w:rsidRDefault="00000000">
      <w:pPr>
        <w:pStyle w:val="ListParagraph"/>
        <w:numPr>
          <w:ilvl w:val="0"/>
          <w:numId w:val="1"/>
        </w:numPr>
        <w:spacing w:after="80"/>
      </w:pPr>
      <w:r>
        <w:rPr>
          <w:color w:val="000000"/>
          <w:sz w:val="22"/>
          <w:szCs w:val="22"/>
        </w:rPr>
        <w:t xml:space="preserve">UMAP, for visual geometry: umap-learn projects high-dimensional representations into 2D for visual inspection.</w:t>
      </w:r>
    </w:p>
    <w:p w14:paraId="586ECD64" w14:textId="77777777" w:rsidR="00C14CF4" w:rsidRDefault="00000000">
      <w:pPr>
        <w:pStyle w:val="Heading2"/>
        <w:spacing w:before="240" w:after="120"/>
      </w:pPr>
      <w:r>
        <w:rPr>
          <w:b/>
          <w:bCs/>
          <w:color w:val="000000"/>
          <w:sz w:val="25"/>
          <w:szCs w:val="25"/>
        </w:rPr>
        <w:t>5.2 Representation and Alignment Measurement Methods, Extended</w:t>
      </w:r>
    </w:p>
    <w:tbl>
      <w:tblPr>
        <w:tblW w:w="1060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10" w:type="dxa"/>
          <w:right w:w="10" w:type="dxa"/>
        </w:tblCellMar>
        <w:tblLook w:val="04A0" w:firstRow="1" w:lastRow="0" w:firstColumn="1" w:lastColumn="0" w:noHBand="0" w:noVBand="1"/>
      </w:tblPr>
      <w:tblGrid>
        <w:gridCol w:w="2400"/>
        <w:gridCol w:w="4800"/>
        <w:gridCol w:w="3400"/>
      </w:tblGrid>
      <w:tr w:rsidR="00C14CF4" w14:paraId="0FEC3F13" w14:textId="77777777">
        <w:tc>
          <w:tcPr>
            <w:tcW w:w="2400" w:type="dxa"/>
            <w:shd w:val="clear" w:color="auto" w:fill="D9D9D9"/>
            <w:tcMar>
              <w:top w:w="80" w:type="dxa"/>
              <w:left w:w="100" w:type="dxa"/>
              <w:bottom w:w="80" w:type="dxa"/>
              <w:right w:w="100" w:type="dxa"/>
            </w:tcMar>
          </w:tcPr>
          <w:p w14:paraId="2DCA5ADB" w14:textId="77777777" w:rsidR="00C14CF4" w:rsidRDefault="00000000">
            <w:r>
              <w:rPr>
                <w:b/>
                <w:bCs/>
                <w:color w:val="000000"/>
              </w:rPr>
              <w:t>Method</w:t>
            </w:r>
          </w:p>
        </w:tc>
        <w:tc>
          <w:tcPr>
            <w:tcW w:w="4800" w:type="dxa"/>
            <w:shd w:val="clear" w:color="auto" w:fill="D9D9D9"/>
            <w:tcMar>
              <w:top w:w="80" w:type="dxa"/>
              <w:left w:w="100" w:type="dxa"/>
              <w:bottom w:w="80" w:type="dxa"/>
              <w:right w:w="100" w:type="dxa"/>
            </w:tcMar>
          </w:tcPr>
          <w:p w14:paraId="470C621E" w14:textId="77777777" w:rsidR="00C14CF4" w:rsidRDefault="00000000">
            <w:r>
              <w:rPr>
                <w:b/>
                <w:bCs/>
                <w:color w:val="000000"/>
              </w:rPr>
              <w:t>What It Measures</w:t>
            </w:r>
          </w:p>
        </w:tc>
        <w:tc>
          <w:tcPr>
            <w:tcW w:w="3400" w:type="dxa"/>
            <w:shd w:val="clear" w:color="auto" w:fill="D9D9D9"/>
            <w:tcMar>
              <w:top w:w="80" w:type="dxa"/>
              <w:left w:w="100" w:type="dxa"/>
              <w:bottom w:w="80" w:type="dxa"/>
              <w:right w:w="100" w:type="dxa"/>
            </w:tcMar>
          </w:tcPr>
          <w:p w14:paraId="411CFB94" w14:textId="77777777" w:rsidR="00C14CF4" w:rsidRDefault="00000000">
            <w:r>
              <w:rPr>
                <w:b/>
                <w:bCs/>
                <w:color w:val="000000"/>
              </w:rPr>
              <w:t>Notes</w:t>
            </w:r>
          </w:p>
        </w:tc>
      </w:tr>
      <w:tr w:rsidR="00C14CF4" w14:paraId="400450F0" w14:textId="77777777">
        <w:tc>
          <w:tcPr>
            <w:tcW w:w="2400" w:type="dxa"/>
            <w:tcMar>
              <w:top w:w="80" w:type="dxa"/>
              <w:left w:w="100" w:type="dxa"/>
              <w:bottom w:w="80" w:type="dxa"/>
              <w:right w:w="100" w:type="dxa"/>
            </w:tcMar>
          </w:tcPr>
          <w:p w14:paraId="753C7B5D" w14:textId="77777777" w:rsidR="00C14CF4" w:rsidRDefault="00000000">
            <w:r>
              <w:rPr>
                <w:color w:val="000000"/>
              </w:rPr>
              <w:t>Linear probing</w:t>
            </w:r>
          </w:p>
        </w:tc>
        <w:tc>
          <w:tcPr>
            <w:tcW w:w="4800" w:type="dxa"/>
            <w:tcMar>
              <w:top w:w="80" w:type="dxa"/>
              <w:left w:w="100" w:type="dxa"/>
              <w:bottom w:w="80" w:type="dxa"/>
              <w:right w:w="100" w:type="dxa"/>
            </w:tcMar>
          </w:tcPr>
          <w:p w14:paraId="2C559938" w14:textId="77777777" w:rsidR="00C14CF4" w:rsidRDefault="00000000">
            <w:r>
              <w:rPr>
                <w:color w:val="000000"/>
              </w:rPr>
              <w:t>Whether a known property is linearly decodable from frozen embeddings.</w:t>
            </w:r>
          </w:p>
        </w:tc>
        <w:tc>
          <w:tcPr>
            <w:tcW w:w="3400" w:type="dxa"/>
            <w:tcMar>
              <w:top w:w="80" w:type="dxa"/>
              <w:left w:w="100" w:type="dxa"/>
              <w:bottom w:w="80" w:type="dxa"/>
              <w:right w:w="100" w:type="dxa"/>
            </w:tcMar>
          </w:tcPr>
          <w:p w14:paraId="6AE3CB8A" w14:textId="77777777" w:rsidR="00C14CF4" w:rsidRDefault="00000000">
            <w:r>
              <w:rPr>
                <w:color w:val="000000"/>
              </w:rPr>
              <w:t xml:space="preserve">Fast and simple. A negative result only rules out linear decodability, not all encoding.</w:t>
            </w:r>
          </w:p>
        </w:tc>
      </w:tr>
      <w:tr w:rsidR="00C14CF4" w14:paraId="41905E86" w14:textId="77777777">
        <w:tc>
          <w:tcPr>
            <w:tcW w:w="2400" w:type="dxa"/>
            <w:tcMar>
              <w:top w:w="80" w:type="dxa"/>
              <w:left w:w="100" w:type="dxa"/>
              <w:bottom w:w="80" w:type="dxa"/>
              <w:right w:w="100" w:type="dxa"/>
            </w:tcMar>
          </w:tcPr>
          <w:p w14:paraId="00A1DEEF" w14:textId="77777777" w:rsidR="00C14CF4" w:rsidRDefault="00000000">
            <w:r>
              <w:rPr>
                <w:color w:val="000000"/>
              </w:rPr>
              <w:t>CKA</w:t>
            </w:r>
          </w:p>
        </w:tc>
        <w:tc>
          <w:tcPr>
            <w:tcW w:w="4800" w:type="dxa"/>
            <w:tcMar>
              <w:top w:w="80" w:type="dxa"/>
              <w:left w:w="100" w:type="dxa"/>
              <w:bottom w:w="80" w:type="dxa"/>
              <w:right w:w="100" w:type="dxa"/>
            </w:tcMar>
          </w:tcPr>
          <w:p w14:paraId="5CF21ED6" w14:textId="77777777" w:rsidR="00C14CF4" w:rsidRDefault="00000000">
            <w:r>
              <w:rPr>
                <w:color w:val="000000"/>
              </w:rPr>
              <w:t>Overall similarity of two representations' geometry, invariant to rotation and scaling.</w:t>
            </w:r>
          </w:p>
        </w:tc>
        <w:tc>
          <w:tcPr>
            <w:tcW w:w="3400" w:type="dxa"/>
            <w:tcMar>
              <w:top w:w="80" w:type="dxa"/>
              <w:left w:w="100" w:type="dxa"/>
              <w:bottom w:w="80" w:type="dxa"/>
              <w:right w:w="100" w:type="dxa"/>
            </w:tcMar>
          </w:tcPr>
          <w:p w14:paraId="4F95D16F" w14:textId="77777777" w:rsidR="00C14CF4" w:rsidRDefault="00000000">
            <w:r>
              <w:rPr>
                <w:color w:val="000000"/>
              </w:rPr>
              <w:t>Standard first check. A linear kernel only captures linear structure. Can show geometric-artifact inflation at high dimensionality; treat alongside mutual-KNN, not alone.</w:t>
            </w:r>
          </w:p>
        </w:tc>
      </w:tr>
      <w:tr w:rsidR="00C14CF4" w14:paraId="3E929997" w14:textId="77777777">
        <w:tc>
          <w:tcPr>
            <w:tcW w:w="2400" w:type="dxa"/>
            <w:tcMar>
              <w:top w:w="80" w:type="dxa"/>
              <w:left w:w="100" w:type="dxa"/>
              <w:bottom w:w="80" w:type="dxa"/>
              <w:right w:w="100" w:type="dxa"/>
            </w:tcMar>
          </w:tcPr>
          <w:p w14:paraId="5A87144B" w14:textId="77777777" w:rsidR="00C14CF4" w:rsidRDefault="00000000">
            <w:r>
              <w:rPr>
                <w:color w:val="000000"/>
              </w:rPr>
              <w:t>CCA, SVCCA, PWCCA</w:t>
            </w:r>
          </w:p>
        </w:tc>
        <w:tc>
          <w:tcPr>
            <w:tcW w:w="4800" w:type="dxa"/>
            <w:tcMar>
              <w:top w:w="80" w:type="dxa"/>
              <w:left w:w="100" w:type="dxa"/>
              <w:bottom w:w="80" w:type="dxa"/>
              <w:right w:w="100" w:type="dxa"/>
            </w:tcMar>
          </w:tcPr>
          <w:p w14:paraId="0B226461" w14:textId="77777777" w:rsidR="00C14CF4" w:rsidRDefault="00000000">
            <w:r>
              <w:rPr>
                <w:color w:val="000000"/>
              </w:rPr>
              <w:t>The specific correlated subspace shared between two representations.</w:t>
            </w:r>
          </w:p>
        </w:tc>
        <w:tc>
          <w:tcPr>
            <w:tcW w:w="3400" w:type="dxa"/>
            <w:tcMar>
              <w:top w:w="80" w:type="dxa"/>
              <w:left w:w="100" w:type="dxa"/>
              <w:bottom w:w="80" w:type="dxa"/>
              <w:right w:w="100" w:type="dxa"/>
            </w:tcMar>
          </w:tcPr>
          <w:p w14:paraId="41719CA1" w14:textId="77777777" w:rsidR="00C14CF4" w:rsidRDefault="00000000">
            <w:r>
              <w:rPr>
                <w:color w:val="000000"/>
              </w:rPr>
              <w:t>More specific than CKA. SVCCA and PWCCA remove noisy dimensions first.</w:t>
            </w:r>
          </w:p>
        </w:tc>
      </w:tr>
      <w:tr w:rsidR="00C14CF4" w14:paraId="24AAE08C" w14:textId="77777777">
        <w:tc>
          <w:tcPr>
            <w:tcW w:w="2400" w:type="dxa"/>
            <w:tcMar>
              <w:top w:w="80" w:type="dxa"/>
              <w:left w:w="100" w:type="dxa"/>
              <w:bottom w:w="80" w:type="dxa"/>
              <w:right w:w="100" w:type="dxa"/>
            </w:tcMar>
          </w:tcPr>
          <w:p w14:paraId="191B0C2D" w14:textId="77777777" w:rsidR="00C14CF4" w:rsidRDefault="00000000">
            <w:r>
              <w:rPr>
                <w:color w:val="000000"/>
              </w:rPr>
              <w:t>Mutual k-nearest-neighbor alignment</w:t>
            </w:r>
          </w:p>
        </w:tc>
        <w:tc>
          <w:tcPr>
            <w:tcW w:w="4800" w:type="dxa"/>
            <w:tcMar>
              <w:top w:w="80" w:type="dxa"/>
              <w:left w:w="100" w:type="dxa"/>
              <w:bottom w:w="80" w:type="dxa"/>
              <w:right w:w="100" w:type="dxa"/>
            </w:tcMar>
          </w:tcPr>
          <w:p w14:paraId="3DAED76A" w14:textId="77777777" w:rsidR="00C14CF4" w:rsidRDefault="00000000">
            <w:r>
              <w:rPr>
                <w:color w:val="000000"/>
              </w:rPr>
              <w:t>Overlap of nearest-neighbor sets between two embeddings of the same inputs.</w:t>
            </w:r>
          </w:p>
        </w:tc>
        <w:tc>
          <w:tcPr>
            <w:tcW w:w="3400" w:type="dxa"/>
            <w:tcMar>
              <w:top w:w="80" w:type="dxa"/>
              <w:left w:w="100" w:type="dxa"/>
              <w:bottom w:w="80" w:type="dxa"/>
              <w:right w:w="100" w:type="dxa"/>
            </w:tcMar>
          </w:tcPr>
          <w:p w14:paraId="778AD8C4" w14:textId="77777777" w:rsidR="00C14CF4" w:rsidRDefault="00000000">
            <w:r>
              <w:rPr>
                <w:color w:val="000000"/>
              </w:rPr>
              <w:t>Cheaper than CKA at scale. The metric used in the Platonic Representation Hypothesis and the ICML 2025 alignment paper; more robust to high-dimensional geometric artifacts than CKA.</w:t>
            </w:r>
          </w:p>
        </w:tc>
      </w:tr>
      <w:tr w:rsidR="00C14CF4" w14:paraId="596BF5D3" w14:textId="77777777">
        <w:tc>
          <w:tcPr>
            <w:tcW w:w="2400" w:type="dxa"/>
            <w:tcMar>
              <w:top w:w="80" w:type="dxa"/>
              <w:left w:w="100" w:type="dxa"/>
              <w:bottom w:w="80" w:type="dxa"/>
              <w:right w:w="100" w:type="dxa"/>
            </w:tcMar>
          </w:tcPr>
          <w:p w14:paraId="4A7532C0" w14:textId="77777777" w:rsidR="00C14CF4" w:rsidRDefault="00000000">
            <w:r>
              <w:rPr>
                <w:color w:val="000000"/>
              </w:rPr>
              <w:t>FAISS / nearest-neighbor cross-modal retrieval</w:t>
            </w:r>
          </w:p>
        </w:tc>
        <w:tc>
          <w:tcPr>
            <w:tcW w:w="4800" w:type="dxa"/>
            <w:tcMar>
              <w:top w:w="80" w:type="dxa"/>
              <w:left w:w="100" w:type="dxa"/>
              <w:bottom w:w="80" w:type="dxa"/>
              <w:right w:w="100" w:type="dxa"/>
            </w:tcMar>
          </w:tcPr>
          <w:p w14:paraId="0D28CC11" w14:textId="77777777" w:rsidR="00C14CF4" w:rsidRDefault="00000000">
            <w:r>
              <w:rPr>
                <w:color w:val="000000"/>
              </w:rPr>
              <w:t xml:space="preserve">Whether querying with one modality actually retrieves the correct match in another.</w:t>
            </w:r>
          </w:p>
        </w:tc>
        <w:tc>
          <w:tcPr>
            <w:tcW w:w="3400" w:type="dxa"/>
            <w:tcMar>
              <w:top w:w="80" w:type="dxa"/>
              <w:left w:w="100" w:type="dxa"/>
              <w:bottom w:w="80" w:type="dxa"/>
              <w:right w:w="100" w:type="dxa"/>
            </w:tcMar>
          </w:tcPr>
          <w:p w14:paraId="71295342" w14:textId="77777777" w:rsidR="00C14CF4" w:rsidRDefault="00000000">
            <w:r>
              <w:rPr>
                <w:color w:val="000000"/>
              </w:rPr>
              <w:t>A direct, task-grounded test rather than an abstract geometry comparison.</w:t>
            </w:r>
          </w:p>
        </w:tc>
      </w:tr>
      <w:tr w:rsidR="00C14CF4" w14:paraId="05B92D18" w14:textId="77777777">
        <w:tc>
          <w:tcPr>
            <w:tcW w:w="2400" w:type="dxa"/>
            <w:tcMar>
              <w:top w:w="80" w:type="dxa"/>
              <w:left w:w="100" w:type="dxa"/>
              <w:bottom w:w="80" w:type="dxa"/>
              <w:right w:w="100" w:type="dxa"/>
            </w:tcMar>
          </w:tcPr>
          <w:p w14:paraId="1DC27A3E" w14:textId="77777777" w:rsidR="00C14CF4" w:rsidRDefault="00000000">
            <w:r>
              <w:rPr>
                <w:color w:val="000000"/>
              </w:rPr>
              <w:t>UMAP</w:t>
            </w:r>
          </w:p>
        </w:tc>
        <w:tc>
          <w:tcPr>
            <w:tcW w:w="4800" w:type="dxa"/>
            <w:tcMar>
              <w:top w:w="80" w:type="dxa"/>
              <w:left w:w="100" w:type="dxa"/>
              <w:bottom w:w="80" w:type="dxa"/>
              <w:right w:w="100" w:type="dxa"/>
            </w:tcMar>
          </w:tcPr>
          <w:p w14:paraId="48D86727" w14:textId="77777777" w:rsidR="00C14CF4" w:rsidRDefault="00000000">
            <w:r>
              <w:rPr>
                <w:color w:val="000000"/>
              </w:rPr>
              <w:t>Two-dimensional visualization of embedding structure.</w:t>
            </w:r>
          </w:p>
        </w:tc>
        <w:tc>
          <w:tcPr>
            <w:tcW w:w="3400" w:type="dxa"/>
            <w:tcMar>
              <w:top w:w="80" w:type="dxa"/>
              <w:left w:w="100" w:type="dxa"/>
              <w:bottom w:w="80" w:type="dxa"/>
              <w:right w:w="100" w:type="dxa"/>
            </w:tcMar>
          </w:tcPr>
          <w:p w14:paraId="30FA19B6" w14:textId="77777777" w:rsidR="00C14CF4" w:rsidRDefault="00000000">
            <w:r>
              <w:rPr>
                <w:color w:val="000000"/>
              </w:rPr>
              <w:t>Qualitative only. Never treat as evidence by itself.</w:t>
            </w:r>
          </w:p>
        </w:tc>
      </w:tr>
      <w:tr w:rsidR="00C14CF4" w14:paraId="29FEC7F9" w14:textId="77777777">
        <w:tc>
          <w:tcPr>
            <w:tcW w:w="2400" w:type="dxa"/>
            <w:tcMar>
              <w:top w:w="80" w:type="dxa"/>
              <w:left w:w="100" w:type="dxa"/>
              <w:bottom w:w="80" w:type="dxa"/>
              <w:right w:w="100" w:type="dxa"/>
            </w:tcMar>
          </w:tcPr>
          <w:p w14:paraId="2C039A42" w14:textId="77777777" w:rsidR="00C14CF4" w:rsidRDefault="00000000">
            <w:r>
              <w:rPr>
                <w:color w:val="000000"/>
              </w:rPr>
              <w:t>RSA (Representational Similarity Analysis)</w:t>
            </w:r>
          </w:p>
        </w:tc>
        <w:tc>
          <w:tcPr>
            <w:tcW w:w="4800" w:type="dxa"/>
            <w:tcMar>
              <w:top w:w="80" w:type="dxa"/>
              <w:left w:w="100" w:type="dxa"/>
              <w:bottom w:w="80" w:type="dxa"/>
              <w:right w:w="100" w:type="dxa"/>
            </w:tcMar>
          </w:tcPr>
          <w:p w14:paraId="214193B8" w14:textId="77777777" w:rsidR="00C14CF4" w:rsidRDefault="00000000">
            <w:r>
              <w:rPr>
                <w:color w:val="000000"/>
              </w:rPr>
              <w:t>Correlation between the relative pairwise-distance structure of two representations.</w:t>
            </w:r>
          </w:p>
        </w:tc>
        <w:tc>
          <w:tcPr>
            <w:tcW w:w="3400" w:type="dxa"/>
            <w:tcMar>
              <w:top w:w="80" w:type="dxa"/>
              <w:left w:w="100" w:type="dxa"/>
              <w:bottom w:w="80" w:type="dxa"/>
              <w:right w:w="100" w:type="dxa"/>
            </w:tcMar>
          </w:tcPr>
          <w:p w14:paraId="6BCCC718" w14:textId="77777777" w:rsidR="00C14CF4" w:rsidRDefault="00000000">
            <w:r>
              <w:rPr>
                <w:color w:val="000000"/>
              </w:rPr>
              <w:t>Borrowed from neuroscience. Cheap to compute, complements CKA well.</w:t>
            </w:r>
          </w:p>
        </w:tc>
      </w:tr>
      <w:tr w:rsidR="00C14CF4" w14:paraId="624689CF" w14:textId="77777777">
        <w:tc>
          <w:tcPr>
            <w:tcW w:w="2400" w:type="dxa"/>
            <w:tcMar>
              <w:top w:w="80" w:type="dxa"/>
              <w:left w:w="100" w:type="dxa"/>
              <w:bottom w:w="80" w:type="dxa"/>
              <w:right w:w="100" w:type="dxa"/>
            </w:tcMar>
          </w:tcPr>
          <w:p w14:paraId="2E4A76A5" w14:textId="77777777" w:rsidR="00C14CF4" w:rsidRDefault="00000000">
            <w:r>
              <w:rPr>
                <w:color w:val="000000"/>
              </w:rPr>
              <w:lastRenderedPageBreak/>
              <w:t>Optimal transport / Gromov-Wasserstein distance</w:t>
            </w:r>
          </w:p>
        </w:tc>
        <w:tc>
          <w:tcPr>
            <w:tcW w:w="4800" w:type="dxa"/>
            <w:tcMar>
              <w:top w:w="80" w:type="dxa"/>
              <w:left w:w="100" w:type="dxa"/>
              <w:bottom w:w="80" w:type="dxa"/>
              <w:right w:w="100" w:type="dxa"/>
            </w:tcMar>
          </w:tcPr>
          <w:p w14:paraId="79B673F3" w14:textId="77777777" w:rsidR="00C14CF4" w:rsidRDefault="00000000">
            <w:r>
              <w:rPr>
                <w:color w:val="000000"/>
              </w:rPr>
              <w:t>Structural alignment between two spaces without requiring a linear correspondence or paired examples.</w:t>
            </w:r>
          </w:p>
        </w:tc>
        <w:tc>
          <w:tcPr>
            <w:tcW w:w="3400" w:type="dxa"/>
            <w:tcMar>
              <w:top w:w="80" w:type="dxa"/>
              <w:left w:w="100" w:type="dxa"/>
              <w:bottom w:w="80" w:type="dxa"/>
              <w:right w:w="100" w:type="dxa"/>
            </w:tcMar>
          </w:tcPr>
          <w:p w14:paraId="678B3393" w14:textId="77777777" w:rsidR="00C14CF4" w:rsidRDefault="00000000">
            <w:r>
              <w:rPr>
                <w:color w:val="000000"/>
              </w:rPr>
              <w:t>Heavier lift; a good future-work direction rather than a Stage 1 deliverable.</w:t>
            </w:r>
          </w:p>
        </w:tc>
      </w:tr>
      <w:tr w:rsidR="00C14CF4" w14:paraId="3FF940A0" w14:textId="77777777">
        <w:tc>
          <w:tcPr>
            <w:tcW w:w="2400" w:type="dxa"/>
            <w:tcMar>
              <w:top w:w="80" w:type="dxa"/>
              <w:left w:w="100" w:type="dxa"/>
              <w:bottom w:w="80" w:type="dxa"/>
              <w:right w:w="100" w:type="dxa"/>
            </w:tcMar>
          </w:tcPr>
          <w:p w14:paraId="4721AA42" w14:textId="77777777" w:rsidR="00C14CF4" w:rsidRDefault="00000000">
            <w:r>
              <w:rPr>
                <w:color w:val="000000"/>
              </w:rPr>
              <w:t>Mutual information / partial information decomposition</w:t>
            </w:r>
          </w:p>
        </w:tc>
        <w:tc>
          <w:tcPr>
            <w:tcW w:w="4800" w:type="dxa"/>
            <w:tcMar>
              <w:top w:w="80" w:type="dxa"/>
              <w:left w:w="100" w:type="dxa"/>
              <w:bottom w:w="80" w:type="dxa"/>
              <w:right w:w="100" w:type="dxa"/>
            </w:tcMar>
          </w:tcPr>
          <w:p w14:paraId="718D7A91" w14:textId="77777777" w:rsidR="00C14CF4" w:rsidRDefault="00000000">
            <w:r>
              <w:rPr>
                <w:color w:val="000000"/>
              </w:rPr>
              <w:t>How much task-relevant information is shared versus unique to each modality.</w:t>
            </w:r>
          </w:p>
        </w:tc>
        <w:tc>
          <w:tcPr>
            <w:tcW w:w="3400" w:type="dxa"/>
            <w:tcMar>
              <w:top w:w="80" w:type="dxa"/>
              <w:left w:w="100" w:type="dxa"/>
              <w:bottom w:w="80" w:type="dxa"/>
              <w:right w:w="100" w:type="dxa"/>
            </w:tcMar>
          </w:tcPr>
          <w:p w14:paraId="5BA40FA6" w14:textId="77777777" w:rsidR="00C14CF4" w:rsidRDefault="00000000">
            <w:r>
              <w:rPr>
                <w:color w:val="000000"/>
              </w:rPr>
              <w:t>More rigorous than an informal synergy check. Ties directly to the alignment theory framework's redundancy/uniqueness split.</w:t>
            </w:r>
          </w:p>
        </w:tc>
      </w:tr>
      <w:tr w:rsidR="00C14CF4" w14:paraId="0666C8D9" w14:textId="77777777">
        <w:tc>
          <w:tcPr>
            <w:tcW w:w="2400" w:type="dxa"/>
            <w:tcMar>
              <w:top w:w="80" w:type="dxa"/>
              <w:left w:w="100" w:type="dxa"/>
              <w:bottom w:w="80" w:type="dxa"/>
              <w:right w:w="100" w:type="dxa"/>
            </w:tcMar>
          </w:tcPr>
          <w:p w14:paraId="5831147D" w14:textId="77777777" w:rsidR="00C14CF4" w:rsidRDefault="00000000">
            <w:r>
              <w:rPr>
                <w:color w:val="000000"/>
              </w:rPr>
              <w:t>Model stitching</w:t>
            </w:r>
          </w:p>
        </w:tc>
        <w:tc>
          <w:tcPr>
            <w:tcW w:w="4800" w:type="dxa"/>
            <w:tcMar>
              <w:top w:w="80" w:type="dxa"/>
              <w:left w:w="100" w:type="dxa"/>
              <w:bottom w:w="80" w:type="dxa"/>
              <w:right w:w="100" w:type="dxa"/>
            </w:tcMar>
          </w:tcPr>
          <w:p w14:paraId="6DEBDB7F" w14:textId="77777777" w:rsidR="00C14CF4" w:rsidRDefault="00000000">
            <w:r>
              <w:rPr>
                <w:color w:val="000000"/>
              </w:rPr>
              <w:t>Whether a small trainable layer can splice one encoder into another without losing performance.</w:t>
            </w:r>
          </w:p>
        </w:tc>
        <w:tc>
          <w:tcPr>
            <w:tcW w:w="3400" w:type="dxa"/>
            <w:tcMar>
              <w:top w:w="80" w:type="dxa"/>
              <w:left w:w="100" w:type="dxa"/>
              <w:bottom w:w="80" w:type="dxa"/>
              <w:right w:w="100" w:type="dxa"/>
            </w:tcMar>
          </w:tcPr>
          <w:p w14:paraId="0C507A0C" w14:textId="77777777" w:rsidR="00C14CF4" w:rsidRDefault="00000000">
            <w:r>
              <w:rPr>
                <w:color w:val="000000"/>
              </w:rPr>
              <w:t>The most direct, operational test of alignment; a larger undertaking than the rest of this list.</w:t>
            </w:r>
          </w:p>
        </w:tc>
      </w:tr>
      <w:tr w:rsidR="00C14CF4" w14:paraId="530DC421" w14:textId="77777777">
        <w:tc>
          <w:tcPr>
            <w:tcW w:w="2400" w:type="dxa"/>
            <w:tcMar>
              <w:top w:w="80" w:type="dxa"/>
              <w:left w:w="100" w:type="dxa"/>
              <w:bottom w:w="80" w:type="dxa"/>
              <w:right w:w="100" w:type="dxa"/>
            </w:tcMar>
          </w:tcPr>
          <w:p w14:paraId="3033DFEF" w14:textId="77777777" w:rsidR="00C14CF4" w:rsidRDefault="00000000">
            <w:r>
              <w:rPr>
                <w:color w:val="000000"/>
              </w:rPr>
              <w:t>Alignment-performance slope</w:t>
            </w:r>
          </w:p>
        </w:tc>
        <w:tc>
          <w:tcPr>
            <w:tcW w:w="4800" w:type="dxa"/>
            <w:tcMar>
              <w:top w:w="80" w:type="dxa"/>
              <w:left w:w="100" w:type="dxa"/>
              <w:bottom w:w="80" w:type="dxa"/>
              <w:right w:w="100" w:type="dxa"/>
            </w:tcMar>
          </w:tcPr>
          <w:p w14:paraId="5122A904" w14:textId="77777777" w:rsidR="00C14CF4" w:rsidRDefault="00000000">
            <w:r>
              <w:rPr>
                <w:color w:val="000000"/>
              </w:rPr>
              <w:t>Whether alignment computed on frozen, unaligned encoders predicts if an explicit alignment loss will help or hurt downstream performance.</w:t>
            </w:r>
          </w:p>
        </w:tc>
        <w:tc>
          <w:tcPr>
            <w:tcW w:w="3400" w:type="dxa"/>
            <w:tcMar>
              <w:top w:w="80" w:type="dxa"/>
              <w:left w:w="100" w:type="dxa"/>
              <w:bottom w:w="80" w:type="dxa"/>
              <w:right w:w="100" w:type="dxa"/>
            </w:tcMar>
          </w:tcPr>
          <w:p w14:paraId="39BAEC73" w14:textId="77777777" w:rsidR="00C14CF4" w:rsidRDefault="00000000">
            <w:r>
              <w:rPr>
                <w:color w:val="000000"/>
              </w:rPr>
              <w:t>The ICML 2025 alignment paper's own practical diagnostic. Run in Stage 1 as an exploratory sample-level adaptation (alignment–error association, r = -0.013, p = 0.83); the paper's across-model version is not replicated.</w:t>
            </w:r>
          </w:p>
        </w:tc>
      </w:tr>
    </w:tbl>
    <w:p w14:paraId="522A0359" w14:textId="77777777" w:rsidR="00C14CF4" w:rsidRDefault="00000000">
      <w:pPr>
        <w:pStyle w:val="Heading2"/>
        <w:spacing w:before="240" w:after="120"/>
      </w:pPr>
      <w:r>
        <w:rPr>
          <w:b/>
          <w:bCs/>
          <w:color w:val="000000"/>
          <w:sz w:val="25"/>
          <w:szCs w:val="25"/>
        </w:rPr>
        <w:t>5.3 Fusion Architecture Candidates</w:t>
      </w:r>
    </w:p>
    <w:tbl>
      <w:tblPr>
        <w:tblW w:w="1060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10" w:type="dxa"/>
          <w:right w:w="10" w:type="dxa"/>
        </w:tblCellMar>
        <w:tblLook w:val="04A0" w:firstRow="1" w:lastRow="0" w:firstColumn="1" w:lastColumn="0" w:noHBand="0" w:noVBand="1"/>
      </w:tblPr>
      <w:tblGrid>
        <w:gridCol w:w="2400"/>
        <w:gridCol w:w="5200"/>
        <w:gridCol w:w="3000"/>
      </w:tblGrid>
      <w:tr w:rsidR="00C14CF4" w14:paraId="1694011F" w14:textId="77777777">
        <w:tc>
          <w:tcPr>
            <w:tcW w:w="2400" w:type="dxa"/>
            <w:shd w:val="clear" w:color="auto" w:fill="D9D9D9"/>
            <w:tcMar>
              <w:top w:w="80" w:type="dxa"/>
              <w:left w:w="100" w:type="dxa"/>
              <w:bottom w:w="80" w:type="dxa"/>
              <w:right w:w="100" w:type="dxa"/>
            </w:tcMar>
          </w:tcPr>
          <w:p w14:paraId="30CF539C" w14:textId="77777777" w:rsidR="00C14CF4" w:rsidRDefault="00000000">
            <w:r>
              <w:rPr>
                <w:b/>
                <w:bCs/>
                <w:color w:val="000000"/>
              </w:rPr>
              <w:t>Architecture</w:t>
            </w:r>
          </w:p>
        </w:tc>
        <w:tc>
          <w:tcPr>
            <w:tcW w:w="5200" w:type="dxa"/>
            <w:shd w:val="clear" w:color="auto" w:fill="D9D9D9"/>
            <w:tcMar>
              <w:top w:w="80" w:type="dxa"/>
              <w:left w:w="100" w:type="dxa"/>
              <w:bottom w:w="80" w:type="dxa"/>
              <w:right w:w="100" w:type="dxa"/>
            </w:tcMar>
          </w:tcPr>
          <w:p w14:paraId="1CC75F31" w14:textId="77777777" w:rsidR="00C14CF4" w:rsidRDefault="00000000">
            <w:r>
              <w:rPr>
                <w:b/>
                <w:bCs/>
                <w:color w:val="000000"/>
              </w:rPr>
              <w:t>Description</w:t>
            </w:r>
          </w:p>
        </w:tc>
        <w:tc>
          <w:tcPr>
            <w:tcW w:w="3000" w:type="dxa"/>
            <w:shd w:val="clear" w:color="auto" w:fill="D9D9D9"/>
            <w:tcMar>
              <w:top w:w="80" w:type="dxa"/>
              <w:left w:w="100" w:type="dxa"/>
              <w:bottom w:w="80" w:type="dxa"/>
              <w:right w:w="100" w:type="dxa"/>
            </w:tcMar>
          </w:tcPr>
          <w:p w14:paraId="279B9446" w14:textId="77777777" w:rsidR="00C14CF4" w:rsidRDefault="00000000">
            <w:r>
              <w:rPr>
                <w:b/>
                <w:bCs/>
                <w:color w:val="000000"/>
              </w:rPr>
              <w:t>Notes</w:t>
            </w:r>
          </w:p>
        </w:tc>
      </w:tr>
      <w:tr w:rsidR="00C14CF4" w14:paraId="2011B941" w14:textId="77777777">
        <w:tc>
          <w:tcPr>
            <w:tcW w:w="2400" w:type="dxa"/>
            <w:tcMar>
              <w:top w:w="80" w:type="dxa"/>
              <w:left w:w="100" w:type="dxa"/>
              <w:bottom w:w="80" w:type="dxa"/>
              <w:right w:w="100" w:type="dxa"/>
            </w:tcMar>
          </w:tcPr>
          <w:p w14:paraId="46FBC4DF" w14:textId="77777777" w:rsidR="00C14CF4" w:rsidRDefault="00000000">
            <w:r>
              <w:rPr>
                <w:color w:val="000000"/>
              </w:rPr>
              <w:t>Concatenation plus MLP</w:t>
            </w:r>
          </w:p>
        </w:tc>
        <w:tc>
          <w:tcPr>
            <w:tcW w:w="5200" w:type="dxa"/>
            <w:tcMar>
              <w:top w:w="80" w:type="dxa"/>
              <w:left w:w="100" w:type="dxa"/>
              <w:bottom w:w="80" w:type="dxa"/>
              <w:right w:w="100" w:type="dxa"/>
            </w:tcMar>
          </w:tcPr>
          <w:p w14:paraId="43BC8B35" w14:textId="77777777" w:rsidR="00C14CF4" w:rsidRDefault="00000000">
            <w:r>
              <w:rPr>
                <w:color w:val="000000"/>
              </w:rPr>
              <w:t>Simple concatenation of embeddings followed by a small feedforward network.</w:t>
            </w:r>
          </w:p>
        </w:tc>
        <w:tc>
          <w:tcPr>
            <w:tcW w:w="3000" w:type="dxa"/>
            <w:tcMar>
              <w:top w:w="80" w:type="dxa"/>
              <w:left w:w="100" w:type="dxa"/>
              <w:bottom w:w="80" w:type="dxa"/>
              <w:right w:w="100" w:type="dxa"/>
            </w:tcMar>
          </w:tcPr>
          <w:p w14:paraId="3335552F" w14:textId="77777777" w:rsidR="00C14CF4" w:rsidRDefault="00000000">
            <w:r>
              <w:rPr>
                <w:color w:val="000000"/>
              </w:rPr>
              <w:t>Mandatory baseline. Every other method must beat this to earn its cost.</w:t>
            </w:r>
          </w:p>
        </w:tc>
      </w:tr>
      <w:tr w:rsidR="00C14CF4" w14:paraId="3789DB61" w14:textId="77777777">
        <w:tc>
          <w:tcPr>
            <w:tcW w:w="2400" w:type="dxa"/>
            <w:tcMar>
              <w:top w:w="80" w:type="dxa"/>
              <w:left w:w="100" w:type="dxa"/>
              <w:bottom w:w="80" w:type="dxa"/>
              <w:right w:w="100" w:type="dxa"/>
            </w:tcMar>
          </w:tcPr>
          <w:p w14:paraId="62FCA989" w14:textId="77777777" w:rsidR="00C14CF4" w:rsidRDefault="00000000">
            <w:r>
              <w:rPr>
                <w:color w:val="000000"/>
              </w:rPr>
              <w:t>Gated fusion</w:t>
            </w:r>
          </w:p>
        </w:tc>
        <w:tc>
          <w:tcPr>
            <w:tcW w:w="5200" w:type="dxa"/>
            <w:tcMar>
              <w:top w:w="80" w:type="dxa"/>
              <w:left w:w="100" w:type="dxa"/>
              <w:bottom w:w="80" w:type="dxa"/>
              <w:right w:w="100" w:type="dxa"/>
            </w:tcMar>
          </w:tcPr>
          <w:p w14:paraId="1200CC15" w14:textId="77777777" w:rsidR="00C14CF4" w:rsidRDefault="00000000">
            <w:r>
              <w:rPr>
                <w:color w:val="000000"/>
              </w:rPr>
              <w:t>A learned gate controls how much each modality contributes to the fused representation.</w:t>
            </w:r>
          </w:p>
        </w:tc>
        <w:tc>
          <w:tcPr>
            <w:tcW w:w="3000" w:type="dxa"/>
            <w:tcMar>
              <w:top w:w="80" w:type="dxa"/>
              <w:left w:w="100" w:type="dxa"/>
              <w:bottom w:w="80" w:type="dxa"/>
              <w:right w:w="100" w:type="dxa"/>
            </w:tcMar>
          </w:tcPr>
          <w:p w14:paraId="43A1F6E7" w14:textId="77777777" w:rsidR="00C14CF4" w:rsidRDefault="00000000">
            <w:r>
              <w:rPr>
                <w:color w:val="000000"/>
              </w:rPr>
              <w:t>Cheap and interpretable middle ground.</w:t>
            </w:r>
          </w:p>
        </w:tc>
      </w:tr>
      <w:tr w:rsidR="00C14CF4" w14:paraId="273BF8C2" w14:textId="77777777">
        <w:tc>
          <w:tcPr>
            <w:tcW w:w="2400" w:type="dxa"/>
            <w:tcMar>
              <w:top w:w="80" w:type="dxa"/>
              <w:left w:w="100" w:type="dxa"/>
              <w:bottom w:w="80" w:type="dxa"/>
              <w:right w:w="100" w:type="dxa"/>
            </w:tcMar>
          </w:tcPr>
          <w:p w14:paraId="3EB1DB73" w14:textId="77777777" w:rsidR="00C14CF4" w:rsidRDefault="00000000">
            <w:r>
              <w:rPr>
                <w:color w:val="000000"/>
              </w:rPr>
              <w:t>Bilinear or tensor fusion</w:t>
            </w:r>
          </w:p>
        </w:tc>
        <w:tc>
          <w:tcPr>
            <w:tcW w:w="5200" w:type="dxa"/>
            <w:tcMar>
              <w:top w:w="80" w:type="dxa"/>
              <w:left w:w="100" w:type="dxa"/>
              <w:bottom w:w="80" w:type="dxa"/>
              <w:right w:w="100" w:type="dxa"/>
            </w:tcMar>
          </w:tcPr>
          <w:p w14:paraId="483CA1FE" w14:textId="77777777" w:rsidR="00C14CF4" w:rsidRDefault="00000000">
            <w:r>
              <w:rPr>
                <w:color w:val="000000"/>
              </w:rPr>
              <w:t>Explicitly models multiplicative interactions between modalities.</w:t>
            </w:r>
          </w:p>
        </w:tc>
        <w:tc>
          <w:tcPr>
            <w:tcW w:w="3000" w:type="dxa"/>
            <w:tcMar>
              <w:top w:w="80" w:type="dxa"/>
              <w:left w:w="100" w:type="dxa"/>
              <w:bottom w:w="80" w:type="dxa"/>
              <w:right w:w="100" w:type="dxa"/>
            </w:tcMar>
          </w:tcPr>
          <w:p w14:paraId="591F7798" w14:textId="77777777" w:rsidR="00C14CF4" w:rsidRDefault="00000000">
            <w:r>
              <w:rPr>
                <w:color w:val="000000"/>
              </w:rPr>
              <w:t>Tensor fusion is exhaustive across three modalities but expensive.</w:t>
            </w:r>
          </w:p>
        </w:tc>
      </w:tr>
      <w:tr w:rsidR="00C14CF4" w14:paraId="19BF3646" w14:textId="77777777">
        <w:tc>
          <w:tcPr>
            <w:tcW w:w="2400" w:type="dxa"/>
            <w:tcMar>
              <w:top w:w="80" w:type="dxa"/>
              <w:left w:w="100" w:type="dxa"/>
              <w:bottom w:w="80" w:type="dxa"/>
              <w:right w:w="100" w:type="dxa"/>
            </w:tcMar>
          </w:tcPr>
          <w:p w14:paraId="42C2EB97" w14:textId="77777777" w:rsidR="00C14CF4" w:rsidRDefault="00000000">
            <w:r>
              <w:rPr>
                <w:color w:val="000000"/>
              </w:rPr>
              <w:t xml:space="preserve">Cross-attention, Isoformer-style</w:t>
            </w:r>
          </w:p>
        </w:tc>
        <w:tc>
          <w:tcPr>
            <w:tcW w:w="5200" w:type="dxa"/>
            <w:tcMar>
              <w:top w:w="80" w:type="dxa"/>
              <w:left w:w="100" w:type="dxa"/>
              <w:bottom w:w="80" w:type="dxa"/>
              <w:right w:w="100" w:type="dxa"/>
            </w:tcMar>
          </w:tcPr>
          <w:p w14:paraId="4AD4D3C6" w14:textId="77777777" w:rsidR="00C14CF4" w:rsidRDefault="00000000">
            <w:r>
              <w:rPr>
                <w:color w:val="000000"/>
              </w:rPr>
              <w:t>Each modality attends to the others through learned attention.</w:t>
            </w:r>
          </w:p>
        </w:tc>
        <w:tc>
          <w:tcPr>
            <w:tcW w:w="3000" w:type="dxa"/>
            <w:tcMar>
              <w:top w:w="80" w:type="dxa"/>
              <w:left w:w="100" w:type="dxa"/>
              <w:bottom w:w="80" w:type="dxa"/>
              <w:right w:w="100" w:type="dxa"/>
            </w:tcMar>
          </w:tcPr>
          <w:p w14:paraId="61CD3D8D" w14:textId="77777777" w:rsidR="00C14CF4" w:rsidRDefault="00000000">
            <w:r>
              <w:rPr>
                <w:color w:val="000000"/>
              </w:rPr>
              <w:t>Well studied, but scales poorly with long DNA sequences.</w:t>
            </w:r>
          </w:p>
        </w:tc>
      </w:tr>
      <w:tr w:rsidR="00C14CF4" w14:paraId="618F9E6D" w14:textId="77777777">
        <w:tc>
          <w:tcPr>
            <w:tcW w:w="2400" w:type="dxa"/>
            <w:tcMar>
              <w:top w:w="80" w:type="dxa"/>
              <w:left w:w="100" w:type="dxa"/>
              <w:bottom w:w="80" w:type="dxa"/>
              <w:right w:w="100" w:type="dxa"/>
            </w:tcMar>
          </w:tcPr>
          <w:p w14:paraId="5791CC0F" w14:textId="77777777" w:rsidR="00C14CF4" w:rsidRDefault="00000000">
            <w:r>
              <w:rPr>
                <w:color w:val="000000"/>
              </w:rPr>
              <w:t>Perceiver-style attention</w:t>
            </w:r>
          </w:p>
        </w:tc>
        <w:tc>
          <w:tcPr>
            <w:tcW w:w="5200" w:type="dxa"/>
            <w:tcMar>
              <w:top w:w="80" w:type="dxa"/>
              <w:left w:w="100" w:type="dxa"/>
              <w:bottom w:w="80" w:type="dxa"/>
              <w:right w:w="100" w:type="dxa"/>
            </w:tcMar>
          </w:tcPr>
          <w:p w14:paraId="0F4E30DF" w14:textId="77777777" w:rsidR="00C14CF4" w:rsidRDefault="00000000">
            <w:r>
              <w:rPr>
                <w:color w:val="000000"/>
              </w:rPr>
              <w:t>Asymmetric cross-attention that compresses long sequences into a smaller latent array first.</w:t>
            </w:r>
          </w:p>
        </w:tc>
        <w:tc>
          <w:tcPr>
            <w:tcW w:w="3000" w:type="dxa"/>
            <w:tcMar>
              <w:top w:w="80" w:type="dxa"/>
              <w:left w:w="100" w:type="dxa"/>
              <w:bottom w:w="80" w:type="dxa"/>
              <w:right w:w="100" w:type="dxa"/>
            </w:tcMar>
          </w:tcPr>
          <w:p w14:paraId="45B5912F" w14:textId="77777777" w:rsidR="00C14CF4" w:rsidRDefault="00000000">
            <w:r>
              <w:rPr>
                <w:color w:val="000000"/>
              </w:rPr>
              <w:t>Better suited to long DNA sequences than full cross-attention.</w:t>
            </w:r>
          </w:p>
        </w:tc>
      </w:tr>
      <w:tr w:rsidR="00C14CF4" w14:paraId="7F6C135B" w14:textId="77777777">
        <w:tc>
          <w:tcPr>
            <w:tcW w:w="2400" w:type="dxa"/>
            <w:tcMar>
              <w:top w:w="80" w:type="dxa"/>
              <w:left w:w="100" w:type="dxa"/>
              <w:bottom w:w="80" w:type="dxa"/>
              <w:right w:w="100" w:type="dxa"/>
            </w:tcMar>
          </w:tcPr>
          <w:p w14:paraId="5DBD9A15" w14:textId="77777777" w:rsidR="00C14CF4" w:rsidRDefault="00000000">
            <w:r>
              <w:rPr>
                <w:color w:val="000000"/>
              </w:rPr>
              <w:t>Coupled Mamba, Cross-Mamba</w:t>
            </w:r>
          </w:p>
        </w:tc>
        <w:tc>
          <w:tcPr>
            <w:tcW w:w="5200" w:type="dxa"/>
            <w:tcMar>
              <w:top w:w="80" w:type="dxa"/>
              <w:left w:w="100" w:type="dxa"/>
              <w:bottom w:w="80" w:type="dxa"/>
              <w:right w:w="100" w:type="dxa"/>
            </w:tcMar>
          </w:tcPr>
          <w:p w14:paraId="4DCCF357" w14:textId="77777777" w:rsidR="00C14CF4" w:rsidRDefault="00000000">
            <w:r>
              <w:rPr>
                <w:color w:val="000000"/>
              </w:rPr>
              <w:t xml:space="preserve">State-space model based fusion.</w:t>
            </w:r>
          </w:p>
        </w:tc>
        <w:tc>
          <w:tcPr>
            <w:tcW w:w="3000" w:type="dxa"/>
            <w:tcMar>
              <w:top w:w="80" w:type="dxa"/>
              <w:left w:w="100" w:type="dxa"/>
              <w:bottom w:w="80" w:type="dxa"/>
              <w:right w:w="100" w:type="dxa"/>
            </w:tcMar>
          </w:tcPr>
          <w:p w14:paraId="4AA03708" w14:textId="77777777" w:rsidR="00C14CF4" w:rsidRDefault="00000000">
            <w:r>
              <w:rPr>
                <w:color w:val="000000"/>
              </w:rPr>
              <w:t>Efficient on long sequences. Newer and less studied than attention-based fusion.</w:t>
            </w:r>
          </w:p>
        </w:tc>
      </w:tr>
      <w:tr w:rsidR="00C14CF4" w14:paraId="4FB02A96" w14:textId="77777777">
        <w:tc>
          <w:tcPr>
            <w:tcW w:w="2400" w:type="dxa"/>
            <w:tcMar>
              <w:top w:w="80" w:type="dxa"/>
              <w:left w:w="100" w:type="dxa"/>
              <w:bottom w:w="80" w:type="dxa"/>
              <w:right w:w="100" w:type="dxa"/>
            </w:tcMar>
          </w:tcPr>
          <w:p w14:paraId="702F8803" w14:textId="77777777" w:rsidR="00C14CF4" w:rsidRDefault="00000000">
            <w:r>
              <w:rPr>
                <w:color w:val="000000"/>
              </w:rPr>
              <w:t>Mixture-of-experts fusion</w:t>
            </w:r>
          </w:p>
        </w:tc>
        <w:tc>
          <w:tcPr>
            <w:tcW w:w="5200" w:type="dxa"/>
            <w:tcMar>
              <w:top w:w="80" w:type="dxa"/>
              <w:left w:w="100" w:type="dxa"/>
              <w:bottom w:w="80" w:type="dxa"/>
              <w:right w:w="100" w:type="dxa"/>
            </w:tcMar>
          </w:tcPr>
          <w:p w14:paraId="6A81C1F7" w14:textId="77777777" w:rsidR="00C14CF4" w:rsidRDefault="00000000">
            <w:r>
              <w:rPr>
                <w:color w:val="000000"/>
              </w:rPr>
              <w:t>Learns to route different examples through different combination strategies.</w:t>
            </w:r>
          </w:p>
        </w:tc>
        <w:tc>
          <w:tcPr>
            <w:tcW w:w="3000" w:type="dxa"/>
            <w:tcMar>
              <w:top w:w="80" w:type="dxa"/>
              <w:left w:w="100" w:type="dxa"/>
              <w:bottom w:w="80" w:type="dxa"/>
              <w:right w:w="100" w:type="dxa"/>
            </w:tcMar>
          </w:tcPr>
          <w:p w14:paraId="0EFB09B5" w14:textId="77777777" w:rsidR="00C14CF4" w:rsidRDefault="00000000">
            <w:r>
              <w:rPr>
                <w:color w:val="000000"/>
              </w:rPr>
              <w:t>Useful if different genes or transcripts call for different fusion strategies.</w:t>
            </w:r>
          </w:p>
        </w:tc>
      </w:tr>
      <w:tr w:rsidR="00C14CF4" w14:paraId="0DA5F146" w14:textId="77777777">
        <w:tc>
          <w:tcPr>
            <w:tcW w:w="2400" w:type="dxa"/>
            <w:tcMar>
              <w:top w:w="80" w:type="dxa"/>
              <w:left w:w="100" w:type="dxa"/>
              <w:bottom w:w="80" w:type="dxa"/>
              <w:right w:w="100" w:type="dxa"/>
            </w:tcMar>
          </w:tcPr>
          <w:p w14:paraId="345EA16C" w14:textId="77777777" w:rsidR="00C14CF4" w:rsidRDefault="00000000">
            <w:r>
              <w:rPr>
                <w:color w:val="000000"/>
              </w:rPr>
              <w:t>CoMM</w:t>
            </w:r>
          </w:p>
        </w:tc>
        <w:tc>
          <w:tcPr>
            <w:tcW w:w="5200" w:type="dxa"/>
            <w:tcMar>
              <w:top w:w="80" w:type="dxa"/>
              <w:left w:w="100" w:type="dxa"/>
              <w:bottom w:w="80" w:type="dxa"/>
              <w:right w:w="100" w:type="dxa"/>
            </w:tcMar>
          </w:tcPr>
          <w:p w14:paraId="2D637969" w14:textId="77777777" w:rsidR="00C14CF4" w:rsidRDefault="00000000">
            <w:r>
              <w:rPr>
                <w:color w:val="000000"/>
              </w:rPr>
              <w:t>Nonlinear, synergy-maximizing fusion objective proposed as an alternative to alignment-based fusion.</w:t>
            </w:r>
          </w:p>
        </w:tc>
        <w:tc>
          <w:tcPr>
            <w:tcW w:w="3000" w:type="dxa"/>
            <w:tcMar>
              <w:top w:w="80" w:type="dxa"/>
              <w:left w:w="100" w:type="dxa"/>
              <w:bottom w:w="80" w:type="dxa"/>
              <w:right w:w="100" w:type="dxa"/>
            </w:tcMar>
          </w:tcPr>
          <w:p w14:paraId="5C358E6E" w14:textId="77777777" w:rsidR="00C14CF4" w:rsidRDefault="00000000">
            <w:r>
              <w:rPr>
                <w:color w:val="000000"/>
              </w:rPr>
              <w:t>Directly relevant, since it answers the spectral ceiling critique of CKA and CCA.</w:t>
            </w:r>
          </w:p>
        </w:tc>
      </w:tr>
      <w:tr w:rsidR="00C14CF4" w14:paraId="02A6B614" w14:textId="77777777">
        <w:tc>
          <w:tcPr>
            <w:tcW w:w="2400" w:type="dxa"/>
            <w:tcMar>
              <w:top w:w="80" w:type="dxa"/>
              <w:left w:w="100" w:type="dxa"/>
              <w:bottom w:w="80" w:type="dxa"/>
              <w:right w:w="100" w:type="dxa"/>
            </w:tcMar>
          </w:tcPr>
          <w:p w14:paraId="3225BFB4" w14:textId="77777777" w:rsidR="00C14CF4" w:rsidRDefault="00000000">
            <w:r>
              <w:rPr>
                <w:color w:val="000000"/>
              </w:rPr>
              <w:t>Graph-based fusion</w:t>
            </w:r>
          </w:p>
        </w:tc>
        <w:tc>
          <w:tcPr>
            <w:tcW w:w="5200" w:type="dxa"/>
            <w:tcMar>
              <w:top w:w="80" w:type="dxa"/>
              <w:left w:w="100" w:type="dxa"/>
              <w:bottom w:w="80" w:type="dxa"/>
              <w:right w:w="100" w:type="dxa"/>
            </w:tcMar>
          </w:tcPr>
          <w:p w14:paraId="6D383BD9" w14:textId="77777777" w:rsidR="00C14CF4" w:rsidRDefault="00000000">
            <w:r>
              <w:rPr>
                <w:color w:val="000000"/>
              </w:rPr>
              <w:t>Represents DNA, RNA, and protein as connected nodes and uses message passing to fuse them.</w:t>
            </w:r>
          </w:p>
        </w:tc>
        <w:tc>
          <w:tcPr>
            <w:tcW w:w="3000" w:type="dxa"/>
            <w:tcMar>
              <w:top w:w="80" w:type="dxa"/>
              <w:left w:w="100" w:type="dxa"/>
              <w:bottom w:w="80" w:type="dxa"/>
              <w:right w:w="100" w:type="dxa"/>
            </w:tcMar>
          </w:tcPr>
          <w:p w14:paraId="215CDD68" w14:textId="77777777" w:rsidR="00C14CF4" w:rsidRDefault="00000000">
            <w:r>
              <w:rPr>
                <w:color w:val="000000"/>
              </w:rPr>
              <w:t>Encodes the central dogma's direction explicitly, rather than learning it purely from attention.</w:t>
            </w:r>
          </w:p>
        </w:tc>
      </w:tr>
    </w:tbl>
    <w:p w14:paraId="50A3C1D4" w14:textId="77777777" w:rsidR="00C14CF4" w:rsidRDefault="00000000">
      <w:pPr>
        <w:pStyle w:val="Heading1"/>
        <w:spacing w:before="320" w:after="160"/>
      </w:pPr>
      <w:r>
        <w:rPr>
          <w:b/>
          <w:bCs/>
          <w:color w:val="000000"/>
          <w:sz w:val="30"/>
          <w:szCs w:val="30"/>
        </w:rPr>
        <w:t>6. Additional Literature Found</w:t>
      </w:r>
    </w:p>
    <w:p w14:paraId="354FD46F" w14:textId="77777777" w:rsidR="00C14CF4" w:rsidRDefault="00000000">
      <w:pPr>
        <w:spacing w:after="160"/>
      </w:pPr>
      <w:r>
        <w:rPr>
          <w:color w:val="000000"/>
          <w:sz w:val="22"/>
          <w:szCs w:val="22"/>
        </w:rPr>
        <w:t xml:space="preserve">Beyond the six papers with full reviews, following up on the assigned reading turned up direct sequels, a serious counter-argument, and several concrete fusion architecture options.</w:t>
      </w:r>
    </w:p>
    <w:p w14:paraId="52957ED0" w14:textId="77777777" w:rsidR="00C14CF4" w:rsidRDefault="00000000">
      <w:pPr>
        <w:pStyle w:val="Heading2"/>
        <w:spacing w:before="240" w:after="120"/>
      </w:pPr>
      <w:r>
        <w:rPr>
          <w:b/>
          <w:bCs/>
          <w:color w:val="000000"/>
          <w:sz w:val="25"/>
          <w:szCs w:val="25"/>
        </w:rPr>
        <w:lastRenderedPageBreak/>
        <w:t>6.1 Direct Sequels to Central Dogma Transformer</w:t>
      </w:r>
    </w:p>
    <w:p w14:paraId="4C2EDF42" w14:textId="77777777" w:rsidR="00C14CF4" w:rsidRDefault="00000000">
      <w:pPr>
        <w:pStyle w:val="ListParagraph"/>
        <w:numPr>
          <w:ilvl w:val="0"/>
          <w:numId w:val="1"/>
        </w:numPr>
        <w:spacing w:after="80"/>
      </w:pPr>
      <w:r>
        <w:rPr>
          <w:color w:val="000000"/>
          <w:sz w:val="22"/>
          <w:szCs w:val="22"/>
        </w:rPr>
        <w:t>CDT-II: adds DNA and RNA self-attention plus cross-attention specifically for transcriptional control, using genomic embeddings and per-cell expression data. Predicts perturbation effects with strong accuracy (per-gene r = 0.84) and recovered a known regulatory network (GFI1B); its cross-attention weights land on real regulatory elements such as CTCF sites.</w:t>
      </w:r>
    </w:p>
    <w:p w14:paraId="3D37BDD2" w14:textId="77777777" w:rsidR="00C14CF4" w:rsidRDefault="00000000">
      <w:pPr>
        <w:pStyle w:val="ListParagraph"/>
        <w:numPr>
          <w:ilvl w:val="0"/>
          <w:numId w:val="1"/>
        </w:numPr>
        <w:spacing w:after="80"/>
      </w:pPr>
      <w:r>
        <w:rPr>
          <w:color w:val="000000"/>
          <w:sz w:val="22"/>
          <w:szCs w:val="22"/>
        </w:rPr>
        <w:t>CDT-III: extends prediction across the full DNA-RNA-protein chain with a two-stage "Virtual Cell Embedder." Adding protein-level supervision improved both RNA-level predictions and DNA-level interpretability, evidence that multi-task, multi-modality training regularizes each modality's representation rather than adding noise. Found that 66.7% of genes with observable mRNA changes show the opposite direction of change at the protein level, a concrete example of the RNA-to-protein uniqueness the alignment theory framework predicts should exist.</w:t>
      </w:r>
    </w:p>
    <w:p w14:paraId="1E79E8C6" w14:textId="77777777" w:rsidR="00C14CF4" w:rsidRDefault="00000000">
      <w:pPr>
        <w:pStyle w:val="Heading2"/>
        <w:spacing w:before="240" w:after="120"/>
      </w:pPr>
      <w:r>
        <w:rPr>
          <w:b/>
          <w:bCs/>
          <w:color w:val="000000"/>
          <w:sz w:val="25"/>
          <w:szCs w:val="25"/>
        </w:rPr>
        <w:t xml:space="preserve">6.2 Two More Joint-Training Approaches, Alongside LucaOne</w:t>
      </w:r>
    </w:p>
    <w:p w14:paraId="45E3B258" w14:textId="77777777" w:rsidR="00C14CF4" w:rsidRDefault="00000000">
      <w:pPr>
        <w:pStyle w:val="ListParagraph"/>
        <w:numPr>
          <w:ilvl w:val="0"/>
          <w:numId w:val="1"/>
        </w:numPr>
        <w:spacing w:after="80"/>
      </w:pPr>
      <w:r>
        <w:rPr>
          <w:color w:val="000000"/>
          <w:sz w:val="22"/>
          <w:szCs w:val="22"/>
        </w:rPr>
        <w:t xml:space="preserve">Life-Code: unifies DNA, RNA, and protein into one nucleotide-level vocabulary, trained with a codon-aware tokenizer, masked modeling, and knowledge distillation from ESM2. A genuinely different joint-training bet from LucaOne's separate-modules approach.</w:t>
      </w:r>
    </w:p>
    <w:p w14:paraId="4B3DBF92" w14:textId="77777777" w:rsidR="00C14CF4" w:rsidRDefault="00000000">
      <w:pPr>
        <w:pStyle w:val="ListParagraph"/>
        <w:numPr>
          <w:ilvl w:val="0"/>
          <w:numId w:val="1"/>
        </w:numPr>
        <w:spacing w:after="80"/>
      </w:pPr>
      <w:r>
        <w:rPr>
          <w:color w:val="000000"/>
          <w:sz w:val="22"/>
          <w:szCs w:val="22"/>
        </w:rPr>
        <w:t xml:space="preserve">CAPTAIN: pretrained directly on co-assayed single-cell RNA and protein data, rather than fusing independently pretrained encoders. A reference point for what is achievable with true paired multi-omic training data.</w:t>
      </w:r>
    </w:p>
    <w:p w14:paraId="1AEB2992" w14:textId="77777777" w:rsidR="00C14CF4" w:rsidRDefault="00000000">
      <w:pPr>
        <w:pStyle w:val="Heading2"/>
        <w:spacing w:before="240" w:after="120"/>
      </w:pPr>
      <w:r>
        <w:rPr>
          <w:b/>
          <w:bCs/>
          <w:color w:val="000000"/>
          <w:sz w:val="25"/>
          <w:szCs w:val="25"/>
        </w:rPr>
        <w:t>6.3 A Very Recent Unifying Framework</w:t>
      </w:r>
    </w:p>
    <w:p w14:paraId="4AA67E3C" w14:textId="77777777" w:rsidR="00C14CF4" w:rsidRDefault="00000000">
      <w:pPr>
        <w:spacing w:after="160"/>
      </w:pPr>
      <w:r>
        <w:rPr>
          <w:color w:val="000000"/>
          <w:sz w:val="22"/>
          <w:szCs w:val="22"/>
        </w:rPr>
        <w:t>"Dependency, Compression, and Synergy: A Unified Information-Theoretic View of Multimodal Learning" appears to unify the redundancy/uniqueness framing from the ICML 2025 alignment paper with the synergy framing from the beyond-alignment critique into one information-theoretic picture. Worth a closer read since it may mean these two diagnostics do not need to be run as two separate, unrelated checks.</w:t>
      </w:r>
    </w:p>
    <w:p w14:paraId="7045A67A" w14:textId="77777777" w:rsidR="00C14CF4" w:rsidRDefault="00000000">
      <w:pPr>
        <w:pStyle w:val="Heading2"/>
        <w:spacing w:before="240" w:after="120"/>
      </w:pPr>
      <w:r>
        <w:rPr>
          <w:b/>
          <w:bCs/>
          <w:color w:val="000000"/>
          <w:sz w:val="25"/>
          <w:szCs w:val="25"/>
        </w:rPr>
        <w:t>6.4 More Fusion Architecture Options</w:t>
      </w:r>
    </w:p>
    <w:p w14:paraId="3B1078A0" w14:textId="77777777" w:rsidR="00C14CF4" w:rsidRDefault="00000000">
      <w:pPr>
        <w:pStyle w:val="ListParagraph"/>
        <w:numPr>
          <w:ilvl w:val="0"/>
          <w:numId w:val="1"/>
        </w:numPr>
        <w:spacing w:after="80"/>
      </w:pPr>
      <w:r>
        <w:rPr>
          <w:color w:val="000000"/>
          <w:sz w:val="22"/>
          <w:szCs w:val="22"/>
        </w:rPr>
        <w:t xml:space="preserve">Cross-Mamba / BiMamba interaction (CrossLLM-Mamba): built for RNA interaction prediction with ESM-2 and RiNALMo; stacks modality representations through a bidirectional Mamba block instead of concatenating.</w:t>
      </w:r>
    </w:p>
    <w:p w14:paraId="01F077F5" w14:textId="77777777" w:rsidR="00C14CF4" w:rsidRDefault="00000000">
      <w:pPr>
        <w:pStyle w:val="ListParagraph"/>
        <w:numPr>
          <w:ilvl w:val="0"/>
          <w:numId w:val="1"/>
        </w:numPr>
        <w:spacing w:after="80"/>
      </w:pPr>
      <w:r>
        <w:rPr>
          <w:color w:val="000000"/>
          <w:sz w:val="22"/>
          <w:szCs w:val="22"/>
        </w:rPr>
        <w:t>Mamba-3 (Princeton): an improved state-space backbone, the natural upgrade path if Coupled Mamba's specific implementation underperforms.</w:t>
      </w:r>
    </w:p>
    <w:p w14:paraId="01369FB7" w14:textId="77777777" w:rsidR="00C14CF4" w:rsidRDefault="00000000">
      <w:pPr>
        <w:pStyle w:val="ListParagraph"/>
        <w:numPr>
          <w:ilvl w:val="0"/>
          <w:numId w:val="1"/>
        </w:numPr>
        <w:spacing w:after="80"/>
      </w:pPr>
      <w:r>
        <w:rPr>
          <w:color w:val="000000"/>
          <w:sz w:val="22"/>
          <w:szCs w:val="22"/>
        </w:rPr>
        <w:t>Perceiver-style asymmetric cross-attention for DNA and protein beat a strong DNA-only baseline on mRNA prediction (r-squared 0.62 versus 0.59), using learnable query vectors so attention cost scales closer to linearly with sequence length.</w:t>
      </w:r>
    </w:p>
    <w:p w14:paraId="2799DB51" w14:textId="77777777" w:rsidR="00C14CF4" w:rsidRDefault="00000000">
      <w:pPr>
        <w:pStyle w:val="ListParagraph"/>
        <w:numPr>
          <w:ilvl w:val="0"/>
          <w:numId w:val="1"/>
        </w:numPr>
        <w:spacing w:after="80"/>
      </w:pPr>
      <w:r>
        <w:rPr>
          <w:color w:val="000000"/>
          <w:sz w:val="22"/>
          <w:szCs w:val="22"/>
        </w:rPr>
        <w:t>Mixture-of-experts fusion: several 2026 papers route different examples to different modality-expert combinations rather than always fusing all modalities equally.</w:t>
      </w:r>
    </w:p>
    <w:p w14:paraId="547F86DD" w14:textId="77777777" w:rsidR="00C14CF4" w:rsidRDefault="00000000">
      <w:pPr>
        <w:pStyle w:val="Heading2"/>
        <w:spacing w:before="240" w:after="120"/>
      </w:pPr>
      <w:r>
        <w:rPr>
          <w:b/>
          <w:bCs/>
          <w:color w:val="000000"/>
          <w:sz w:val="25"/>
          <w:szCs w:val="25"/>
        </w:rPr>
        <w:t>6.5 Practical Tooling</w:t>
      </w:r>
    </w:p>
    <w:p w14:paraId="3B65AE38" w14:textId="77777777" w:rsidR="00C14CF4" w:rsidRDefault="00000000">
      <w:pPr>
        <w:spacing w:after="160"/>
      </w:pPr>
      <w:r>
        <w:rPr>
          <w:color w:val="000000"/>
          <w:sz w:val="22"/>
          <w:szCs w:val="22"/>
        </w:rPr>
        <w:t xml:space="preserve">GenBio AI's AIDO.ModelGenerator is a framework built for fast, reproducible multimodal biological foundation model development. Once past Stage 1 and prototyping fusion, worth checking whether it already wraps the planned encoders.</w:t>
      </w:r>
    </w:p>
    <w:p w14:paraId="46D95D54" w14:textId="77777777" w:rsidR="00C14CF4" w:rsidRDefault="00000000">
      <w:pPr>
        <w:pStyle w:val="Heading1"/>
        <w:spacing w:before="320" w:after="160"/>
      </w:pPr>
      <w:r>
        <w:rPr>
          <w:b/>
          <w:bCs/>
          <w:color w:val="000000"/>
          <w:sz w:val="30"/>
          <w:szCs w:val="30"/>
        </w:rPr>
        <w:t>7. GitHub Repo Notes</w:t>
      </w:r>
    </w:p>
    <w:p w14:paraId="1BDE4831" w14:textId="77777777" w:rsidR="00C14CF4" w:rsidRDefault="00000000">
      <w:pPr>
        <w:pStyle w:val="ListParagraph"/>
        <w:numPr>
          <w:ilvl w:val="0"/>
          <w:numId w:val="1"/>
        </w:numPr>
        <w:spacing w:after="80"/>
      </w:pPr>
      <w:r>
        <w:rPr>
          <w:color w:val="000000"/>
          <w:sz w:val="22"/>
          <w:szCs w:val="22"/>
        </w:rPr>
        <w:t xml:space="preserve">Coupled Mamba (github.com/hustcselwb/coupled-mamba): official NeurIPS 2024 implementation. Installation needs causal-conv1d and mamba-ssm. Includes training and evaluation code for the sentiment-analysis benchmarks discussed in its paper. No released pretrained checkpoints, only training code; would need adaptation from scratch for genomic sequences.</w:t>
      </w:r>
    </w:p>
    <w:p w14:paraId="39845020" w14:textId="77777777" w:rsidR="00C14CF4" w:rsidRDefault="00000000">
      <w:pPr>
        <w:pStyle w:val="ListParagraph"/>
        <w:numPr>
          <w:ilvl w:val="0"/>
          <w:numId w:val="1"/>
        </w:numPr>
        <w:spacing w:after="80"/>
      </w:pPr>
      <w:r>
        <w:rPr>
          <w:color w:val="000000"/>
          <w:sz w:val="22"/>
          <w:szCs w:val="22"/>
        </w:rPr>
        <w:lastRenderedPageBreak/>
        <w:t xml:space="preserve">Isoformer docs (github.com/instadeepai/nucleotide-transformer): documentation and an inference notebook, hosted under InstaDeep's nucleotide-transformer repository. Unlike Coupled Mamba, a trained checkpoint is published on Hugging Face, with an example notebook for running inference to predict transcript isoform expression from DNA, RNA, and protein inputs.</w:t>
      </w:r>
    </w:p>
    <w:p w14:paraId="2402AAAD" w14:textId="77777777" w:rsidR="00C14CF4" w:rsidRDefault="00000000">
      <w:pPr>
        <w:pStyle w:val="Heading1"/>
        <w:spacing w:before="320" w:after="160"/>
      </w:pPr>
      <w:r>
        <w:rPr>
          <w:b/>
          <w:bCs/>
          <w:color w:val="000000"/>
          <w:sz w:val="30"/>
          <w:szCs w:val="30"/>
        </w:rPr>
        <w:t>8. Side-by-Side Comparison of the Core Papers</w:t>
      </w:r>
    </w:p>
    <w:tbl>
      <w:tblPr>
        <w:tblW w:w="1080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10" w:type="dxa"/>
          <w:right w:w="10" w:type="dxa"/>
        </w:tblCellMar>
        <w:tblLook w:val="04A0" w:firstRow="1" w:lastRow="0" w:firstColumn="1" w:lastColumn="0" w:noHBand="0" w:noVBand="1"/>
      </w:tblPr>
      <w:tblGrid>
        <w:gridCol w:w="1800"/>
        <w:gridCol w:w="2400"/>
        <w:gridCol w:w="3600"/>
        <w:gridCol w:w="3000"/>
      </w:tblGrid>
      <w:tr w:rsidR="00C14CF4" w14:paraId="057DB5B9" w14:textId="77777777">
        <w:tc>
          <w:tcPr>
            <w:tcW w:w="1800" w:type="dxa"/>
            <w:shd w:val="clear" w:color="auto" w:fill="D9D9D9"/>
            <w:tcMar>
              <w:top w:w="80" w:type="dxa"/>
              <w:left w:w="100" w:type="dxa"/>
              <w:bottom w:w="80" w:type="dxa"/>
              <w:right w:w="100" w:type="dxa"/>
            </w:tcMar>
          </w:tcPr>
          <w:p w14:paraId="155A7A87" w14:textId="77777777" w:rsidR="00C14CF4" w:rsidRDefault="00000000">
            <w:r>
              <w:rPr>
                <w:b/>
                <w:bCs/>
                <w:color w:val="000000"/>
              </w:rPr>
              <w:t>Paper</w:t>
            </w:r>
          </w:p>
        </w:tc>
        <w:tc>
          <w:tcPr>
            <w:tcW w:w="2400" w:type="dxa"/>
            <w:shd w:val="clear" w:color="auto" w:fill="D9D9D9"/>
            <w:tcMar>
              <w:top w:w="80" w:type="dxa"/>
              <w:left w:w="100" w:type="dxa"/>
              <w:bottom w:w="80" w:type="dxa"/>
              <w:right w:w="100" w:type="dxa"/>
            </w:tcMar>
          </w:tcPr>
          <w:p w14:paraId="4B1B520D" w14:textId="77777777" w:rsidR="00C14CF4" w:rsidRDefault="00000000">
            <w:r>
              <w:rPr>
                <w:b/>
                <w:bCs/>
                <w:color w:val="000000"/>
              </w:rPr>
              <w:t>Strategy</w:t>
            </w:r>
          </w:p>
        </w:tc>
        <w:tc>
          <w:tcPr>
            <w:tcW w:w="3600" w:type="dxa"/>
            <w:shd w:val="clear" w:color="auto" w:fill="D9D9D9"/>
            <w:tcMar>
              <w:top w:w="80" w:type="dxa"/>
              <w:left w:w="100" w:type="dxa"/>
              <w:bottom w:w="80" w:type="dxa"/>
              <w:right w:w="100" w:type="dxa"/>
            </w:tcMar>
          </w:tcPr>
          <w:p w14:paraId="7227A1B9" w14:textId="77777777" w:rsidR="00C14CF4" w:rsidRDefault="00000000">
            <w:r>
              <w:rPr>
                <w:b/>
                <w:bCs/>
                <w:color w:val="000000"/>
              </w:rPr>
              <w:t>Fusion / Alignment Mechanism</w:t>
            </w:r>
          </w:p>
        </w:tc>
        <w:tc>
          <w:tcPr>
            <w:tcW w:w="3000" w:type="dxa"/>
            <w:shd w:val="clear" w:color="auto" w:fill="D9D9D9"/>
            <w:tcMar>
              <w:top w:w="80" w:type="dxa"/>
              <w:left w:w="100" w:type="dxa"/>
              <w:bottom w:w="80" w:type="dxa"/>
              <w:right w:w="100" w:type="dxa"/>
            </w:tcMar>
          </w:tcPr>
          <w:p w14:paraId="757430B6" w14:textId="77777777" w:rsidR="00C14CF4" w:rsidRDefault="00000000">
            <w:r>
              <w:rPr>
                <w:b/>
                <w:bCs/>
                <w:color w:val="000000"/>
              </w:rPr>
              <w:t>Best For</w:t>
            </w:r>
          </w:p>
        </w:tc>
      </w:tr>
      <w:tr w:rsidR="00C14CF4" w14:paraId="45CCB709" w14:textId="77777777">
        <w:tc>
          <w:tcPr>
            <w:tcW w:w="1800" w:type="dxa"/>
            <w:tcMar>
              <w:top w:w="80" w:type="dxa"/>
              <w:left w:w="100" w:type="dxa"/>
              <w:bottom w:w="80" w:type="dxa"/>
              <w:right w:w="100" w:type="dxa"/>
            </w:tcMar>
          </w:tcPr>
          <w:p w14:paraId="42B13A92" w14:textId="77777777" w:rsidR="00C14CF4" w:rsidRDefault="00000000">
            <w:r>
              <w:rPr>
                <w:color w:val="000000"/>
              </w:rPr>
              <w:t>BioLangFusion</w:t>
            </w:r>
          </w:p>
        </w:tc>
        <w:tc>
          <w:tcPr>
            <w:tcW w:w="2400" w:type="dxa"/>
            <w:tcMar>
              <w:top w:w="80" w:type="dxa"/>
              <w:left w:w="100" w:type="dxa"/>
              <w:bottom w:w="80" w:type="dxa"/>
              <w:right w:w="100" w:type="dxa"/>
            </w:tcMar>
          </w:tcPr>
          <w:p w14:paraId="2420CE01" w14:textId="77777777" w:rsidR="00C14CF4" w:rsidRDefault="00000000">
            <w:r>
              <w:rPr>
                <w:color w:val="000000"/>
              </w:rPr>
              <w:t>Fuse frozen pretrained encoders</w:t>
            </w:r>
          </w:p>
        </w:tc>
        <w:tc>
          <w:tcPr>
            <w:tcW w:w="3600" w:type="dxa"/>
            <w:tcMar>
              <w:top w:w="80" w:type="dxa"/>
              <w:left w:w="100" w:type="dxa"/>
              <w:bottom w:w="80" w:type="dxa"/>
              <w:right w:w="100" w:type="dxa"/>
            </w:tcMar>
          </w:tcPr>
          <w:p w14:paraId="198BC379" w14:textId="77777777" w:rsidR="00C14CF4" w:rsidRDefault="00000000">
            <w:r>
              <w:rPr>
                <w:color w:val="000000"/>
              </w:rPr>
              <w:t>Resample all modalities to codon resolution, then concatenation, entropy-regularized attention pooling, or cross-attention</w:t>
            </w:r>
          </w:p>
        </w:tc>
        <w:tc>
          <w:tcPr>
            <w:tcW w:w="3000" w:type="dxa"/>
            <w:tcMar>
              <w:top w:w="80" w:type="dxa"/>
              <w:left w:w="100" w:type="dxa"/>
              <w:bottom w:w="80" w:type="dxa"/>
              <w:right w:w="100" w:type="dxa"/>
            </w:tcMar>
          </w:tcPr>
          <w:p w14:paraId="21D6BAE5" w14:textId="77777777" w:rsidR="00C14CF4" w:rsidRDefault="00000000">
            <w:r>
              <w:rPr>
                <w:color w:val="000000"/>
              </w:rPr>
              <w:t>Cheap, modular fusion when sequences are cleanly codon-aligned</w:t>
            </w:r>
          </w:p>
        </w:tc>
      </w:tr>
      <w:tr w:rsidR="00C14CF4" w14:paraId="3A33ECE5" w14:textId="77777777">
        <w:tc>
          <w:tcPr>
            <w:tcW w:w="1800" w:type="dxa"/>
            <w:tcMar>
              <w:top w:w="80" w:type="dxa"/>
              <w:left w:w="100" w:type="dxa"/>
              <w:bottom w:w="80" w:type="dxa"/>
              <w:right w:w="100" w:type="dxa"/>
            </w:tcMar>
          </w:tcPr>
          <w:p w14:paraId="5996B7EC" w14:textId="77777777" w:rsidR="00C14CF4" w:rsidRDefault="00000000">
            <w:r>
              <w:rPr>
                <w:color w:val="000000"/>
              </w:rPr>
              <w:t>Isoformer</w:t>
            </w:r>
          </w:p>
        </w:tc>
        <w:tc>
          <w:tcPr>
            <w:tcW w:w="2400" w:type="dxa"/>
            <w:tcMar>
              <w:top w:w="80" w:type="dxa"/>
              <w:left w:w="100" w:type="dxa"/>
              <w:bottom w:w="80" w:type="dxa"/>
              <w:right w:w="100" w:type="dxa"/>
            </w:tcMar>
          </w:tcPr>
          <w:p w14:paraId="061AC8E8" w14:textId="77777777" w:rsidR="00C14CF4" w:rsidRDefault="00000000">
            <w:r>
              <w:rPr>
                <w:color w:val="000000"/>
              </w:rPr>
              <w:t>Fuse frozen pretrained encoders</w:t>
            </w:r>
          </w:p>
        </w:tc>
        <w:tc>
          <w:tcPr>
            <w:tcW w:w="3600" w:type="dxa"/>
            <w:tcMar>
              <w:top w:w="80" w:type="dxa"/>
              <w:left w:w="100" w:type="dxa"/>
              <w:bottom w:w="80" w:type="dxa"/>
              <w:right w:w="100" w:type="dxa"/>
            </w:tcMar>
          </w:tcPr>
          <w:p w14:paraId="4C9A1C89" w14:textId="77777777" w:rsidR="00C14CF4" w:rsidRDefault="00000000">
            <w:r>
              <w:rPr>
                <w:color w:val="000000"/>
              </w:rPr>
              <w:t>Successive cross-attention with residual connections across DNA, RNA, protein embeddings</w:t>
            </w:r>
          </w:p>
        </w:tc>
        <w:tc>
          <w:tcPr>
            <w:tcW w:w="3000" w:type="dxa"/>
            <w:tcMar>
              <w:top w:w="80" w:type="dxa"/>
              <w:left w:w="100" w:type="dxa"/>
              <w:bottom w:w="80" w:type="dxa"/>
              <w:right w:w="100" w:type="dxa"/>
            </w:tcMar>
          </w:tcPr>
          <w:p w14:paraId="4F458CB5" w14:textId="77777777" w:rsidR="00C14CF4" w:rsidRDefault="00000000">
            <w:r>
              <w:rPr>
                <w:color w:val="000000"/>
              </w:rPr>
              <w:t>Tasks where no single modality is sufficient on its own</w:t>
            </w:r>
          </w:p>
        </w:tc>
      </w:tr>
      <w:tr w:rsidR="00C14CF4" w14:paraId="09BF9AA1" w14:textId="77777777">
        <w:tc>
          <w:tcPr>
            <w:tcW w:w="1800" w:type="dxa"/>
            <w:tcMar>
              <w:top w:w="80" w:type="dxa"/>
              <w:left w:w="100" w:type="dxa"/>
              <w:bottom w:w="80" w:type="dxa"/>
              <w:right w:w="100" w:type="dxa"/>
            </w:tcMar>
          </w:tcPr>
          <w:p w14:paraId="7513F1AB" w14:textId="77777777" w:rsidR="00C14CF4" w:rsidRDefault="00000000">
            <w:r>
              <w:rPr>
                <w:color w:val="000000"/>
              </w:rPr>
              <w:t>Central Dogma Transformer</w:t>
            </w:r>
          </w:p>
        </w:tc>
        <w:tc>
          <w:tcPr>
            <w:tcW w:w="2400" w:type="dxa"/>
            <w:tcMar>
              <w:top w:w="80" w:type="dxa"/>
              <w:left w:w="100" w:type="dxa"/>
              <w:bottom w:w="80" w:type="dxa"/>
              <w:right w:w="100" w:type="dxa"/>
            </w:tcMar>
          </w:tcPr>
          <w:p w14:paraId="192B1D37" w14:textId="77777777" w:rsidR="00C14CF4" w:rsidRDefault="00000000">
            <w:r>
              <w:rPr>
                <w:color w:val="000000"/>
              </w:rPr>
              <w:t>Fuse frozen pretrained encoders</w:t>
            </w:r>
          </w:p>
        </w:tc>
        <w:tc>
          <w:tcPr>
            <w:tcW w:w="3600" w:type="dxa"/>
            <w:tcMar>
              <w:top w:w="80" w:type="dxa"/>
              <w:left w:w="100" w:type="dxa"/>
              <w:bottom w:w="80" w:type="dxa"/>
              <w:right w:w="100" w:type="dxa"/>
            </w:tcMar>
          </w:tcPr>
          <w:p w14:paraId="260C96A2" w14:textId="77777777" w:rsidR="00C14CF4" w:rsidRDefault="00000000">
            <w:r>
              <w:rPr>
                <w:color w:val="000000"/>
              </w:rPr>
              <w:t>One-directional cross-attention (DNA to RNA to protein), mirroring transcription/translation</w:t>
            </w:r>
          </w:p>
        </w:tc>
        <w:tc>
          <w:tcPr>
            <w:tcW w:w="3000" w:type="dxa"/>
            <w:tcMar>
              <w:top w:w="80" w:type="dxa"/>
              <w:left w:w="100" w:type="dxa"/>
              <w:bottom w:w="80" w:type="dxa"/>
              <w:right w:w="100" w:type="dxa"/>
            </w:tcMar>
          </w:tcPr>
          <w:p w14:paraId="4BFB7B8C" w14:textId="77777777" w:rsidR="00C14CF4" w:rsidRDefault="00000000">
            <w:r>
              <w:rPr>
                <w:color w:val="000000"/>
              </w:rPr>
              <w:t>Cases where interpretability matters as much as accuracy</w:t>
            </w:r>
          </w:p>
        </w:tc>
      </w:tr>
      <w:tr w:rsidR="00C14CF4" w14:paraId="09464F18" w14:textId="77777777">
        <w:tc>
          <w:tcPr>
            <w:tcW w:w="1800" w:type="dxa"/>
            <w:tcMar>
              <w:top w:w="80" w:type="dxa"/>
              <w:left w:w="100" w:type="dxa"/>
              <w:bottom w:w="80" w:type="dxa"/>
              <w:right w:w="100" w:type="dxa"/>
            </w:tcMar>
          </w:tcPr>
          <w:p w14:paraId="169BD421" w14:textId="77777777" w:rsidR="00C14CF4" w:rsidRDefault="00000000">
            <w:r>
              <w:rPr>
                <w:color w:val="000000"/>
              </w:rPr>
              <w:t>LucaOne</w:t>
            </w:r>
          </w:p>
        </w:tc>
        <w:tc>
          <w:tcPr>
            <w:tcW w:w="2400" w:type="dxa"/>
            <w:tcMar>
              <w:top w:w="80" w:type="dxa"/>
              <w:left w:w="100" w:type="dxa"/>
              <w:bottom w:w="80" w:type="dxa"/>
              <w:right w:w="100" w:type="dxa"/>
            </w:tcMar>
          </w:tcPr>
          <w:p w14:paraId="7325ADF5" w14:textId="77777777" w:rsidR="00C14CF4" w:rsidRDefault="00000000">
            <w:r>
              <w:rPr>
                <w:color w:val="000000"/>
              </w:rPr>
              <w:t>Single joint model, trained from scratch</w:t>
            </w:r>
          </w:p>
        </w:tc>
        <w:tc>
          <w:tcPr>
            <w:tcW w:w="3600" w:type="dxa"/>
            <w:tcMar>
              <w:top w:w="80" w:type="dxa"/>
              <w:left w:w="100" w:type="dxa"/>
              <w:bottom w:w="80" w:type="dxa"/>
              <w:right w:w="100" w:type="dxa"/>
            </w:tcMar>
          </w:tcPr>
          <w:p w14:paraId="078F8426" w14:textId="77777777" w:rsidR="00C14CF4" w:rsidRDefault="00000000">
            <w:r>
              <w:rPr>
                <w:color w:val="000000"/>
              </w:rPr>
              <w:t>Shared 39-token vocabulary (nucleotides and amino acids) with a token-type embedding; no explicit fusion step</w:t>
            </w:r>
          </w:p>
        </w:tc>
        <w:tc>
          <w:tcPr>
            <w:tcW w:w="3000" w:type="dxa"/>
            <w:tcMar>
              <w:top w:w="80" w:type="dxa"/>
              <w:left w:w="100" w:type="dxa"/>
              <w:bottom w:w="80" w:type="dxa"/>
              <w:right w:w="100" w:type="dxa"/>
            </w:tcMar>
          </w:tcPr>
          <w:p w14:paraId="27CD47C0" w14:textId="77777777" w:rsidR="00C14CF4" w:rsidRDefault="00000000">
            <w:r>
              <w:rPr>
                <w:color w:val="000000"/>
              </w:rPr>
              <w:t>Learning cross-modal structure implicitly, without an alignment scheme</w:t>
            </w:r>
          </w:p>
        </w:tc>
      </w:tr>
      <w:tr w:rsidR="00C14CF4" w14:paraId="28DE7C02" w14:textId="77777777">
        <w:tc>
          <w:tcPr>
            <w:tcW w:w="1800" w:type="dxa"/>
            <w:tcMar>
              <w:top w:w="80" w:type="dxa"/>
              <w:left w:w="100" w:type="dxa"/>
              <w:bottom w:w="80" w:type="dxa"/>
              <w:right w:w="100" w:type="dxa"/>
            </w:tcMar>
          </w:tcPr>
          <w:p w14:paraId="695503FD" w14:textId="77777777" w:rsidR="00C14CF4" w:rsidRDefault="00000000">
            <w:r>
              <w:rPr>
                <w:color w:val="000000"/>
              </w:rPr>
              <w:t>Coupled Mamba (supplementary)</w:t>
            </w:r>
          </w:p>
        </w:tc>
        <w:tc>
          <w:tcPr>
            <w:tcW w:w="2400" w:type="dxa"/>
            <w:tcMar>
              <w:top w:w="80" w:type="dxa"/>
              <w:left w:w="100" w:type="dxa"/>
              <w:bottom w:w="80" w:type="dxa"/>
              <w:right w:w="100" w:type="dxa"/>
            </w:tcMar>
          </w:tcPr>
          <w:p w14:paraId="7D86EA8E" w14:textId="77777777" w:rsidR="00C14CF4" w:rsidRDefault="00000000">
            <w:r>
              <w:rPr>
                <w:color w:val="000000"/>
              </w:rPr>
              <w:t>General-purpose fusion mechanism</w:t>
            </w:r>
          </w:p>
        </w:tc>
        <w:tc>
          <w:tcPr>
            <w:tcW w:w="3600" w:type="dxa"/>
            <w:tcMar>
              <w:top w:w="80" w:type="dxa"/>
              <w:left w:w="100" w:type="dxa"/>
              <w:bottom w:w="80" w:type="dxa"/>
              <w:right w:w="100" w:type="dxa"/>
            </w:tcMar>
          </w:tcPr>
          <w:p w14:paraId="3BE14E22" w14:textId="77777777" w:rsidR="00C14CF4" w:rsidRDefault="00000000">
            <w:r>
              <w:rPr>
                <w:color w:val="000000"/>
              </w:rPr>
              <w:t>State-space model where each modality's hidden state depends on a summation of all modalities' prior states</w:t>
            </w:r>
          </w:p>
        </w:tc>
        <w:tc>
          <w:tcPr>
            <w:tcW w:w="3000" w:type="dxa"/>
            <w:tcMar>
              <w:top w:w="80" w:type="dxa"/>
              <w:left w:w="100" w:type="dxa"/>
              <w:bottom w:w="80" w:type="dxa"/>
              <w:right w:w="100" w:type="dxa"/>
            </w:tcMar>
          </w:tcPr>
          <w:p w14:paraId="4D7F54A1" w14:textId="77777777" w:rsidR="00C14CF4" w:rsidRDefault="00000000">
            <w:r>
              <w:rPr>
                <w:color w:val="000000"/>
              </w:rPr>
              <w:t>Linear-cost fusion with no alignment loss, once both streams share a step grid (the codon grid here)</w:t>
            </w:r>
          </w:p>
        </w:tc>
      </w:tr>
      <w:tr w:rsidR="00C14CF4" w14:paraId="04D27EAD" w14:textId="77777777">
        <w:tc>
          <w:tcPr>
            <w:tcW w:w="1800" w:type="dxa"/>
            <w:tcMar>
              <w:top w:w="80" w:type="dxa"/>
              <w:left w:w="100" w:type="dxa"/>
              <w:bottom w:w="80" w:type="dxa"/>
              <w:right w:w="100" w:type="dxa"/>
            </w:tcMar>
          </w:tcPr>
          <w:p w14:paraId="7A481231" w14:textId="77777777" w:rsidR="00C14CF4" w:rsidRDefault="00000000">
            <w:r>
              <w:rPr>
                <w:color w:val="000000"/>
              </w:rPr>
              <w:t>Alignment Theory (ICML 2025)</w:t>
            </w:r>
          </w:p>
        </w:tc>
        <w:tc>
          <w:tcPr>
            <w:tcW w:w="2400" w:type="dxa"/>
            <w:tcMar>
              <w:top w:w="80" w:type="dxa"/>
              <w:left w:w="100" w:type="dxa"/>
              <w:bottom w:w="80" w:type="dxa"/>
              <w:right w:w="100" w:type="dxa"/>
            </w:tcMar>
          </w:tcPr>
          <w:p w14:paraId="39EEEE38" w14:textId="77777777" w:rsidR="00C14CF4" w:rsidRDefault="00000000">
            <w:r>
              <w:rPr>
                <w:color w:val="000000"/>
              </w:rPr>
              <w:t>Empirical analysis, no architecture proposed</w:t>
            </w:r>
          </w:p>
        </w:tc>
        <w:tc>
          <w:tcPr>
            <w:tcW w:w="3600" w:type="dxa"/>
            <w:tcMar>
              <w:top w:w="80" w:type="dxa"/>
              <w:left w:w="100" w:type="dxa"/>
              <w:bottom w:w="80" w:type="dxa"/>
              <w:right w:w="100" w:type="dxa"/>
            </w:tcMar>
          </w:tcPr>
          <w:p w14:paraId="1E359CF5" w14:textId="77777777" w:rsidR="00C14CF4" w:rsidRDefault="00000000">
            <w:r>
              <w:rPr>
                <w:color w:val="000000"/>
              </w:rPr>
              <w:t>Post-hoc CKA / mutual-KNN measurement between independently trained frozen encoders</w:t>
            </w:r>
          </w:p>
        </w:tc>
        <w:tc>
          <w:tcPr>
            <w:tcW w:w="3000" w:type="dxa"/>
            <w:tcMar>
              <w:top w:w="80" w:type="dxa"/>
              <w:left w:w="100" w:type="dxa"/>
              <w:bottom w:w="80" w:type="dxa"/>
              <w:right w:w="100" w:type="dxa"/>
            </w:tcMar>
          </w:tcPr>
          <w:p w14:paraId="09D328D7" w14:textId="77777777" w:rsidR="00C14CF4" w:rsidRDefault="00000000">
            <w:r>
              <w:rPr>
                <w:color w:val="000000"/>
              </w:rPr>
              <w:t>Deciding whether alignment is worth pursuing at all for a given modality pair</w:t>
            </w:r>
          </w:p>
        </w:tc>
      </w:tr>
    </w:tbl>
    <w:p w14:paraId="1A5259AA" w14:textId="77777777" w:rsidR="00C14CF4" w:rsidRDefault="00000000">
      <w:pPr>
        <w:pStyle w:val="Heading1"/>
        <w:spacing w:before="320" w:after="160"/>
      </w:pPr>
      <w:r>
        <w:rPr>
          <w:b/>
          <w:bCs/>
          <w:color w:val="000000"/>
          <w:sz w:val="30"/>
          <w:szCs w:val="30"/>
        </w:rPr>
        <w:t>9. Progress So Far</w:t>
      </w:r>
    </w:p>
    <w:p w14:paraId="644685AE" w14:textId="77777777" w:rsidR="00C14CF4" w:rsidRDefault="00000000">
      <w:pPr>
        <w:spacing w:after="160"/>
      </w:pPr>
      <w:r>
        <w:rPr>
          <w:color w:val="000000"/>
          <w:sz w:val="22"/>
          <w:szCs w:val="22"/>
        </w:rPr>
        <w:t>This section replaces the earlier "not yet started, no code or experiments run" status. Stage 1 is now complete.</w:t>
      </w:r>
    </w:p>
    <w:p w14:paraId="00834386" w14:textId="77777777" w:rsidR="00C14CF4" w:rsidRDefault="00000000">
      <w:pPr>
        <w:pStyle w:val="Heading2"/>
        <w:spacing w:before="240" w:after="120"/>
      </w:pPr>
      <w:r>
        <w:rPr>
          <w:b/>
          <w:bCs/>
          <w:color w:val="000000"/>
          <w:sz w:val="25"/>
          <w:szCs w:val="25"/>
        </w:rPr>
        <w:t>9.1 What Has Been Built and Run</w:t>
      </w:r>
    </w:p>
    <w:p w14:paraId="46C220F4" w14:textId="77777777" w:rsidR="00C14CF4" w:rsidRDefault="00000000">
      <w:pPr>
        <w:pStyle w:val="ListParagraph"/>
        <w:numPr>
          <w:ilvl w:val="0"/>
          <w:numId w:val="1"/>
        </w:numPr>
        <w:spacing w:after="80"/>
      </w:pPr>
      <w:r>
        <w:rPr>
          <w:color w:val="000000"/>
          <w:sz w:val="22"/>
          <w:szCs w:val="22"/>
        </w:rPr>
        <w:t xml:space="preserve">A working pilot notebook that loads the mRNA_Stability dataset, filters for valid, in-frame, start-codon sequences, translates each kept sequence to its real protein via the genetic code, and embeds both the RNA (Nucleotide Transformer) and protein (ESM-2) sequences with frozen, off-the-shelf encoders. Of 1,000 sampled sequences, 981 survived the biological validity filter, a 98 percent retention rate.</w:t>
      </w:r>
    </w:p>
    <w:p w14:paraId="2077101A" w14:textId="77777777" w:rsidR="00C14CF4" w:rsidRDefault="00000000">
      <w:pPr>
        <w:pStyle w:val="ListParagraph"/>
        <w:numPr>
          <w:ilvl w:val="0"/>
          <w:numId w:val="1"/>
        </w:numPr>
        <w:spacing w:after="80"/>
      </w:pPr>
      <w:r>
        <w:rPr>
          <w:color w:val="000000"/>
          <w:sz w:val="22"/>
          <w:szCs w:val="22"/>
        </w:rPr>
        <w:t xml:space="preserve">A pipeline-correctness control using mRFP_Expression: all 1,000 synonymous-recoding variants translate to one identical protein, exactly as expected; protein embeddings for these variants collapse almost to a single point (average distance to centroid of 0.00003) while RNA embeddings, which see the codon-level differences, spread out clearly (4.72). This confirms the translation, frame-checking, and embedding pipeline behave correctly, and is what makes the results below trustworthy rather than artifacts of a broken pipeline.</w:t>
      </w:r>
    </w:p>
    <w:p w14:paraId="12B18420" w14:textId="77777777" w:rsidR="00C14CF4" w:rsidRDefault="00000000">
      <w:pPr>
        <w:pStyle w:val="Heading2"/>
        <w:spacing w:before="240" w:after="120"/>
      </w:pPr>
      <w:r>
        <w:rPr>
          <w:b/>
          <w:bCs/>
          <w:color w:val="000000"/>
          <w:sz w:val="25"/>
          <w:szCs w:val="25"/>
        </w:rPr>
        <w:t xml:space="preserve">9.2 Track A Results (Task-Relevant Decodability)</w:t>
      </w:r>
    </w:p>
    <w:p w14:paraId="3F266876" w14:textId="77777777" w:rsidR="00C14CF4" w:rsidRDefault="00000000">
      <w:pPr>
        <w:pStyle w:val="ListParagraph"/>
        <w:numPr>
          <w:ilvl w:val="0"/>
          <w:numId w:val="1"/>
        </w:numPr>
        <w:spacing w:after="80"/>
      </w:pPr>
      <w:r>
        <w:rPr>
          <w:color w:val="000000"/>
          <w:sz w:val="22"/>
          <w:szCs w:val="22"/>
        </w:rPr>
        <w:t>Linear probing for mRNA stability: RNA embeddings reach R-squared 0.015 plus or minus 0.072 and protein embeddings 0.103 plus or minus 0.034. Protein carries a modest, reliable signal, about three fold standard deviations above zero, while RNA's score is indistinguishable from zero since its standard deviation exceeds its mean.</w:t>
      </w:r>
    </w:p>
    <w:p w14:paraId="3F82507B" w14:textId="77777777" w:rsidR="00C14CF4" w:rsidRDefault="00000000">
      <w:pPr>
        <w:pStyle w:val="ListParagraph"/>
        <w:numPr>
          <w:ilvl w:val="0"/>
          <w:numId w:val="1"/>
        </w:numPr>
        <w:spacing w:after="80"/>
      </w:pPr>
      <w:r>
        <w:rPr>
          <w:color w:val="000000"/>
          <w:sz w:val="22"/>
          <w:szCs w:val="22"/>
        </w:rPr>
        <w:t>Sequence-length baseline: R-squared -0.006 plus or minus 0.013, indistinguishable from zero. This rules out the concern that the probe scores above are secretly a length proxy rather than real embedding content.</w:t>
      </w:r>
    </w:p>
    <w:p w14:paraId="055661D1" w14:textId="77777777" w:rsidR="00C14CF4" w:rsidRDefault="00000000">
      <w:pPr>
        <w:pStyle w:val="ListParagraph"/>
        <w:numPr>
          <w:ilvl w:val="0"/>
          <w:numId w:val="1"/>
        </w:numPr>
        <w:spacing w:after="80"/>
      </w:pPr>
      <w:r>
        <w:rPr>
          <w:color w:val="000000"/>
          <w:sz w:val="22"/>
          <w:szCs w:val="22"/>
        </w:rPr>
        <w:t>GC content probe, a known-property validity check: RNA embeddings recover GC content nearly perfectly (R-squared 0.986), expected since it is a direct compositional property of the sequence. Protein embeddings recover 0.678 of that same signal, an interesting result attributable to genetic code redundancy: certain amino acids are preferentially encoded by GC-rich versus AT-rich codons, so protein composition carries a real, indirect signature of the source gene's GC content.</w:t>
      </w:r>
    </w:p>
    <w:p w14:paraId="5DF34E50" w14:textId="77777777" w:rsidR="00C14CF4" w:rsidRDefault="00000000">
      <w:pPr>
        <w:pStyle w:val="ListParagraph"/>
        <w:numPr>
          <w:ilvl w:val="0"/>
          <w:numId w:val="1"/>
        </w:numPr>
        <w:spacing w:after="80"/>
      </w:pPr>
      <w:r>
        <w:rPr>
          <w:color w:val="000000"/>
          <w:sz w:val="22"/>
          <w:szCs w:val="22"/>
        </w:rPr>
        <w:t>Synergy check: naive concatenation of RNA and protein embeddings scores R-squared 0.100 versus 0.103 for protein alone, a difference entirely within noise. At the level of simple concatenation, there is no measurable synergy, consistent with the beyond-alignment critique's warning that concatenation cannot access synergistic information even if it exists.</w:t>
      </w:r>
    </w:p>
    <w:p w14:paraId="1582BEF6" w14:textId="77777777" w:rsidR="00C14CF4" w:rsidRDefault="00000000">
      <w:pPr>
        <w:pStyle w:val="ListParagraph"/>
        <w:numPr>
          <w:ilvl w:val="0"/>
          <w:numId w:val="1"/>
        </w:numPr>
        <w:spacing w:after="80"/>
      </w:pPr>
      <w:r>
        <w:rPr>
          <w:color w:val="000000"/>
          <w:sz w:val="22"/>
          <w:szCs w:val="22"/>
        </w:rPr>
        <w:t>Codon usage bias probe (GC3), an extended Track A check: RNA embeddings recover GC3, the GC fraction at each codon's third position and the classical proxy for codon usage bias, at R-squared 0.969, protein embeddings at 0.380. GC3 correlates 0.922 with overall GC content, so this mostly confirms rather than extends that result; the one new detail is that protein embeddings lose noticeably more ground on this codon-position-specific signal than they did on overall GC, consistent with translation collapsing synonymous codons to the same amino acid.</w:t>
      </w:r>
    </w:p>
    <w:p w14:paraId="53E49831" w14:textId="77777777" w:rsidR="00C14CF4" w:rsidRDefault="00000000">
      <w:pPr>
        <w:pStyle w:val="ListParagraph"/>
        <w:numPr>
          <w:ilvl w:val="0"/>
          <w:numId w:val="1"/>
        </w:numPr>
        <w:spacing w:after="80"/>
      </w:pPr>
      <w:r>
        <w:rPr>
          <w:color w:val="000000"/>
          <w:sz w:val="22"/>
          <w:szCs w:val="22"/>
        </w:rPr>
        <w:t>Secondary structure probe (Nussinov pairing fraction), the second extended Track A check: using the classical Nussinov and Jacobson (1980) maximum-base-pairing algorithm on a 200-sequence subsample cropped to each sequence's first 200 nucleotides (needed for runtime, since the algorithm is cubic in sequence length), RNA embeddings reach R-squared 0.089 plus or minus 0.033 and protein embeddings 0.093 plus or minus 0.055. Both are weak and roughly equal, so the RNA encoder shows no advantage on this folding proxy despite reading the nucleotides directly. The result is most likely limited by the small sample, the simplified pairing model, and the 5' region-only crop; at face value it says composition (GC, GC3) is what these frozen encoders linearly capture, not this proxy's structural signal.</w:t>
      </w:r>
    </w:p>
    <w:p w14:paraId="53E49831" w14:textId="77777777" w:rsidR="00C14CF4" w:rsidRDefault="00000000">
      <w:pPr>
        <w:pStyle w:val="ListParagraph"/>
        <w:numPr>
          <w:ilvl w:val="0"/>
          <w:numId w:val="1"/>
        </w:numPr>
        <w:spacing w:after="80"/>
      </w:pPr>
      <w:r>
        <w:rPr>
          <w:color w:val="000000"/>
          <w:sz w:val="22"/>
          <w:szCs w:val="22"/>
        </w:rPr>
        <w:t>Evaluation setup for every probe above and the Track B synergy check: the scaler is fit inside a Pipeline within each cross-validation fold, and GroupKFold keys the folds on sequence identity. The local CSV has substantial sequence duplication (65,356 rows but only 29,949 distinct sequences; the 981 retained rows contain 964 distinct sequences), so grouping keeps identical sequences from landing on both sides of a split.</w:t>
      </w:r>
    </w:p>
    <w:p w14:paraId="5A104687" w14:textId="77777777" w:rsidR="00C14CF4" w:rsidRDefault="00000000">
      <w:pPr>
        <w:pStyle w:val="Heading2"/>
        <w:spacing w:before="240" w:after="120"/>
      </w:pPr>
      <w:r>
        <w:rPr>
          <w:b/>
          <w:bCs/>
          <w:color w:val="000000"/>
          <w:sz w:val="25"/>
          <w:szCs w:val="25"/>
        </w:rPr>
        <w:t>9.3 Track B Results (Cross-Modal Comparability)</w:t>
      </w:r>
    </w:p>
    <w:p w14:paraId="3D6E7F5C" w14:textId="77777777" w:rsidR="00C14CF4" w:rsidRDefault="00000000">
      <w:pPr>
        <w:pStyle w:val="ListParagraph"/>
        <w:numPr>
          <w:ilvl w:val="0"/>
          <w:numId w:val="1"/>
        </w:numPr>
        <w:spacing w:after="80"/>
      </w:pPr>
      <w:r>
        <w:rPr>
          <w:color w:val="000000"/>
          <w:sz w:val="22"/>
          <w:szCs w:val="22"/>
        </w:rPr>
        <w:t>Final-layer linear CKA between RNA and protein embeddings: 0.128, indicating the two full embedding spaces are structured quite differently from each other as wholes.</w:t>
      </w:r>
    </w:p>
    <w:p w14:paraId="5318CFDA" w14:textId="77777777" w:rsidR="00C14CF4" w:rsidRDefault="00000000">
      <w:pPr>
        <w:pStyle w:val="ListParagraph"/>
        <w:numPr>
          <w:ilvl w:val="0"/>
          <w:numId w:val="1"/>
        </w:numPr>
        <w:spacing w:after="80"/>
      </w:pPr>
      <w:r>
        <w:rPr>
          <w:color w:val="000000"/>
          <w:sz w:val="22"/>
          <w:szCs w:val="22"/>
        </w:rPr>
        <w:t>Layer-wise CKA, extending the single final-layer number across every internal layer of both encoders (25 hidden-state outputs for the 24-layer RNA encoder, 13 for the 12-layer protein encoder): the overall peak is 0.400, at RNA layer 16 against protein layer 0, the protein encoder's embedding layer, before self-attention has mixed in any context. Restricting to protein's contextualized layers only, the peak drops to 0.359, at RNA layer 0 against protein layer 1. Both of the strongest alignment points in the matrix involve one encoder sitting at or immediately next to its own embedding layer, which is consistent with the GC content probe result: a compositional signal on each side, tied to genetic code redundancy, looks like the more likely driver of most of the measured cross-modal alignment here, rather than deep functional overlap between the two encoders' learned representations. This tempers, without undoing, the case for fusion: the shared structure looks real but more modest than deep semantic convergence. Recomputing the final-layer score on this same 200-sequence subsample gives 0.187, versus 0.128 on the full 981-sequence sample used for the headline final-layer CKA figure; since the final hidden-state layer is mathematically identical to the pooled embedding used in that full-sample calculation, the gap reflects sampling noise at n=200 rather than a change in what's being measured, so the layer-wise heatmap values should be read as indicative rather than precise.</w:t>
      </w:r>
    </w:p>
    <w:p w14:paraId="79EAB974" w14:textId="77777777" w:rsidR="00C14CF4" w:rsidRDefault="00000000">
      <w:pPr>
        <w:pStyle w:val="ListParagraph"/>
        <w:numPr>
          <w:ilvl w:val="0"/>
          <w:numId w:val="1"/>
        </w:numPr>
        <w:spacing w:after="80"/>
      </w:pPr>
      <w:r>
        <w:rPr>
          <w:color w:val="000000"/>
          <w:sz w:val="22"/>
          <w:szCs w:val="22"/>
        </w:rPr>
        <w:t>Mutual k-nearest-neighbor alignment (k=10): 0.070, against a chance level of roughly 0.010, about seven times above random, corroborating CKA's read of modest but real global alignment.</w:t>
      </w:r>
    </w:p>
    <w:p w14:paraId="3CD9A07C" w14:textId="77777777" w:rsidR="00C14CF4" w:rsidRDefault="00000000">
      <w:pPr>
        <w:pStyle w:val="ListParagraph"/>
        <w:numPr>
          <w:ilvl w:val="0"/>
          <w:numId w:val="1"/>
        </w:numPr>
        <w:spacing w:after="80"/>
      </w:pPr>
      <w:r>
        <w:rPr>
          <w:color w:val="000000"/>
          <w:sz w:val="22"/>
          <w:szCs w:val="22"/>
        </w:rPr>
        <w:t>CCA (PCA-reduced to 50 dimensions per modality, then 10 canonical components, evaluated on a held-out 30 percent test split): canonical correlations reach as high as 0.955 in the top component. Cross-modal retrieval built on that learned subspace finds the correct matching protein embedding as the top candidate 36.6 percent of the time (chance: 0.3 percent), 61.4 percent within the top 5, and 75.9 percent within the top 10.</w:t>
      </w:r>
    </w:p>
    <w:p w14:paraId="03EE8CF1" w14:textId="77777777" w:rsidR="00C14CF4" w:rsidRDefault="00000000">
      <w:pPr>
        <w:pStyle w:val="ListParagraph"/>
        <w:numPr>
          <w:ilvl w:val="0"/>
          <w:numId w:val="1"/>
        </w:numPr>
        <w:spacing w:after="80"/>
      </w:pPr>
      <w:r>
        <w:rPr>
          <w:color w:val="000000"/>
          <w:sz w:val="22"/>
          <w:szCs w:val="22"/>
        </w:rPr>
        <w:t xml:space="preserve">Reading Track B together: CKA and mutual-KNN say the two full spaces mostly disagree; CCA and retrieval say a specific, strong, learnable shared subspace exists within them, plausibly the same compositional signal the GC content and layer-wise CKA results point to. This is the strongest evidence </w:t>
        <w:lastRenderedPageBreak/>
        <w:t>so far for why a trained fusion mechanism, rather than naive concatenation, is worth building: real cross-modal structure exists, but it is not accessible without a method that can learn where to look for it.</w:t>
      </w:r>
    </w:p>
    <w:p w14:paraId="71A1AF7F" w14:textId="77777777" w:rsidR="00C14CF4" w:rsidRDefault="00000000">
      <w:pPr>
        <w:pStyle w:val="ListParagraph"/>
        <w:numPr>
          <w:ilvl w:val="0"/>
          <w:numId w:val="1"/>
        </w:numPr>
        <w:spacing w:after="80"/>
      </w:pPr>
      <w:r>
        <w:rPr>
          <w:color w:val="000000"/>
          <w:sz w:val="22"/>
          <w:szCs w:val="22"/>
        </w:rPr>
        <w:t>UMAP: both RNA and protein embeddings show one large main cluster plus a small separate subgroup. Two independently trained encoders isolating a similar small subgroup is unlikely to be coincidental and may reflect a species subpopulation within this multi-species dataset; worth checking against the dataset's species information if time allows. Illustrative, not evidence on its own.</w:t>
      </w:r>
    </w:p>
    <w:p w14:paraId="62D692F2" w14:textId="77777777" w:rsidR="00C14CF4" w:rsidRDefault="00000000">
      <w:pPr>
        <w:pStyle w:val="Heading2"/>
        <w:spacing w:before="240" w:after="120"/>
      </w:pPr>
      <w:r>
        <w:rPr>
          <w:b/>
          <w:bCs/>
          <w:color w:val="000000"/>
          <w:sz w:val="25"/>
          <w:szCs w:val="25"/>
        </w:rPr>
        <w:t>9.4 Track C Results (Interpretability)</w:t>
      </w:r>
    </w:p>
    <w:p w14:paraId="03AF6BD1" w14:textId="77777777" w:rsidR="00C14CF4" w:rsidRDefault="00000000">
      <w:pPr>
        <w:pStyle w:val="ListParagraph"/>
        <w:numPr>
          <w:ilvl w:val="0"/>
          <w:numId w:val="1"/>
        </w:numPr>
        <w:spacing w:after="80"/>
      </w:pPr>
      <w:r>
        <w:rPr>
          <w:color w:val="000000"/>
          <w:sz w:val="22"/>
          <w:szCs w:val="22"/>
        </w:rPr>
        <w:t>Attention-motif overlap test: the motif scan targets the AU-rich element pentamer (AUUUA) and nonamer (UUAUUUAUU), the two most-cited motifs mediating ARE-directed mRNA decay (Lagnado et al., 1994; Zubiaga et al., 1995), and the DRACH consensus for m6A sites (Dominissini et al., 2012; Meyer et al., 2012), a direct, independent regulator of mRNA half-life, scanned as degenerate IUPAC patterns. The overlap test reports a per-motif-class breakdown alongside the pooled result, since ARE- and m6A-mediated decay work through different mechanisms and a pooled-only result can hide an effect specific to one of them.</w:t>
      </w:r>
    </w:p>
    <w:p w14:paraId="7BC7E67F" w14:textId="77777777" w:rsidR="00C14CF4" w:rsidRDefault="00000000">
      <w:pPr>
        <w:pStyle w:val="ListParagraph"/>
        <w:numPr>
          <w:ilvl w:val="0"/>
          <w:numId w:val="1"/>
        </w:numPr>
        <w:spacing w:after="80"/>
      </w:pPr>
      <w:r>
        <w:rPr>
          <w:color w:val="000000"/>
          <w:sz w:val="22"/>
          <w:szCs w:val="22"/>
        </w:rPr>
        <w:t>Results: in the single-example check, 63 motif hits covering 311 positions show mean attention of 0.0031 versus 0.0033 elsewhere, not significant (p = 0.60), with neither motif class significant on its own. Across the 100-sequence aggregate, all 100 sequences yielded usable hits, only 7 percent showed significantly higher attention at motif positions against a 5 percent chance baseline, and the mean attention gap was -0.0009, essentially zero. The ARE pentamer appeared in 41 sequences (5 percent significant, mean gap -0.0027), the ARE nonamer produced no usable hits in this sample, and the m6A DRACH consensus appeared in all 100 (8 percent significant, mean gap -0.0009). The frozen RNA encoder's final-layer attention does not preferentially track these canonical stability elements. One important limit: the mRNA_Stability sequences are coding-only. Every length is a multiple of three, 98.5 percent start with ATG, and 99.3 percent end exactly at their first in-frame stop codon, so there is no UTR context. AREs and m6A sites are canonically enriched in 3' UTRs, so this test only covers coding regions, where these elements are less concentrated, and the null result should be given limited weight.</w:t>
      </w:r>
    </w:p>
    <w:p w14:paraId="3EE29178" w14:textId="77777777" w:rsidR="00C14CF4" w:rsidRDefault="00000000">
      <w:pPr>
        <w:pStyle w:val="ListParagraph"/>
        <w:numPr>
          <w:ilvl w:val="0"/>
          <w:numId w:val="1"/>
        </w:numPr>
        <w:spacing w:after="80"/>
      </w:pPr>
      <w:r>
        <w:rPr>
          <w:color w:val="000000"/>
          <w:sz w:val="22"/>
          <w:szCs w:val="22"/>
        </w:rPr>
        <w:t>Alignment–error association (an exploratory adaptation of the ICML 2025 paper's own diagnostic, reported as a Spearman correlation rather than a fitted slope): computed on the held-out CCA test-set vectors, the Spearman correlation between per-sample local alignment and downstream prediction error is -0.013 (p = 0.83), not significant. Read against the paper's framework, a near-zero correlation under real modality uniqueness is consistent with the pattern that says an explicit alignment loss is unlikely to help Stage 2's fusion architecture, and could hurt, though this is a one-encoder-pair adaptation of the paper's own across-model diagnostic, not a replication of it. This agrees with, without formally replicating, the same conclusion Track B's CKA and mutual k-NN results already pointed toward.</w:t>
      </w:r>
    </w:p>
    <w:p w14:paraId="14F381B0" w14:textId="77777777" w:rsidR="00C14CF4" w:rsidRDefault="00000000">
      <w:pPr>
        <w:pStyle w:val="ListParagraph"/>
        <w:numPr>
          <w:ilvl w:val="0"/>
          <w:numId w:val="1"/>
        </w:numPr>
        <w:spacing w:after="80"/>
      </w:pPr>
      <w:r>
        <w:rPr>
          <w:color w:val="000000"/>
          <w:sz w:val="22"/>
          <w:szCs w:val="22"/>
        </w:rPr>
        <w:t>Representational Similarity Analysis (RSA): the Spearman correlation between the RNA and protein modalities' internal pairwise-distance structures is 0.234 (p &lt; 0.001). This is a fourth line of evidence consistent with the modest but real shared structure CCA and retrieval found, this time from comparing each modality's own internal geometry rather than comparing embeddings across modalities directly, and it does not depend on the two encoders' embedding dimensions matching. It reuses the same embeddings as the other diagnostics, so it is supporting evidence rather than a fully independent confirmation.</w:t>
      </w:r>
    </w:p>
    <w:p w14:paraId="3B214B4D" w14:textId="77777777" w:rsidR="00C14CF4" w:rsidRDefault="00000000">
      <w:pPr>
        <w:pStyle w:val="Heading2"/>
        <w:spacing w:before="240" w:after="120"/>
      </w:pPr>
      <w:r>
        <w:rPr>
          <w:b/>
          <w:bCs/>
          <w:color w:val="000000"/>
          <w:sz w:val="25"/>
          <w:szCs w:val="25"/>
        </w:rPr>
        <w:t>9.5 Toolkit and Literature Status</w:t>
      </w:r>
    </w:p>
    <w:p w14:paraId="07528F7C" w14:textId="77777777" w:rsidR="00C14CF4" w:rsidRDefault="00000000">
      <w:pPr>
        <w:pStyle w:val="ListParagraph"/>
        <w:numPr>
          <w:ilvl w:val="0"/>
          <w:numId w:val="1"/>
        </w:numPr>
        <w:spacing w:after="80"/>
      </w:pPr>
      <w:r>
        <w:rPr>
          <w:color w:val="000000"/>
          <w:sz w:val="22"/>
          <w:szCs w:val="22"/>
        </w:rPr>
        <w:t xml:space="preserve">Papers reviewed with full standalone reviews: BioLangFusion, Isoformer, Central Dogma Transformer, LucaOne, Coupled Mamba, and the alignment theory paper (ICML 2025).</w:t>
      </w:r>
    </w:p>
    <w:p w14:paraId="0557389B" w14:textId="77777777" w:rsidR="00C14CF4" w:rsidRDefault="00000000">
      <w:pPr>
        <w:pStyle w:val="ListParagraph"/>
        <w:numPr>
          <w:ilvl w:val="0"/>
          <w:numId w:val="1"/>
        </w:numPr>
        <w:spacing w:after="80"/>
      </w:pPr>
      <w:r>
        <w:rPr>
          <w:color w:val="000000"/>
          <w:sz w:val="22"/>
          <w:szCs w:val="22"/>
        </w:rPr>
        <w:t xml:space="preserve">Additional literature surveyed at a lighter level: CDT-II, CDT-III, Life-Code, CAPTAIN, the beyond-alignment / Synergistic Information Score critique, the dependency-compression-synergy preprint, CrossLLM-Mamba, Mamba-3, the DNA-protein Perceiver paper, and DNABERT-viz.</w:t>
      </w:r>
    </w:p>
    <w:p w14:paraId="7E233A64" w14:textId="77777777" w:rsidR="00C14CF4" w:rsidRDefault="00000000">
      <w:pPr>
        <w:pStyle w:val="ListParagraph"/>
        <w:numPr>
          <w:ilvl w:val="0"/>
          <w:numId w:val="1"/>
        </w:numPr>
        <w:spacing w:after="80"/>
      </w:pPr>
      <w:r>
        <w:rPr>
          <w:color w:val="000000"/>
          <w:sz w:val="22"/>
          <w:szCs w:val="22"/>
        </w:rPr>
        <w:t>Toolkit implemented and run: linear probing (RidgeCV, 5-fold cross-validation), CKA (final-layer and full layer-wise breakdown), mutual k-NN alignment, CCA with held-out cross-modal retrieval, UMAP, a GC content validity probe, a sequence-length confound check, a synergy check, and a full pipeline-correctness control dataset, the alignment–error association, attention extraction with real AU-rich-element and m6A motif matching (Track C), RSA as a fourth alignment metric, and the two extended Track A checks, codon usage bias (GC3) and secondary structure (Nussinov pairing fraction).</w:t>
      </w:r>
    </w:p>
    <w:p w14:paraId="2884155A" w14:textId="77777777" w:rsidR="00C14CF4" w:rsidRDefault="00000000">
      <w:pPr>
        <w:pStyle w:val="ListParagraph"/>
        <w:numPr>
          <w:ilvl w:val="0"/>
          <w:numId w:val="1"/>
        </w:numPr>
        <w:spacing w:after="80"/>
      </w:pPr>
      <w:r>
        <w:rPr>
          <w:color w:val="000000"/>
          <w:sz w:val="22"/>
          <w:szCs w:val="22"/>
        </w:rPr>
        <w:t>Toolkit status: every check listed at the outset, including the two extended Track A probes (codon usage bias and secondary structure), is implemented and run. Nothing from the toolkit list remains unimplemented.</w:t>
      </w:r>
    </w:p>
    <w:p w14:paraId="6E33DD4F" w14:textId="77777777" w:rsidR="00C14CF4" w:rsidRDefault="00000000">
      <w:pPr>
        <w:pStyle w:val="Heading2"/>
        <w:spacing w:before="240" w:after="120"/>
      </w:pPr>
      <w:r>
        <w:rPr>
          <w:b/>
          <w:bCs/>
          <w:color w:val="000000"/>
          <w:sz w:val="25"/>
          <w:szCs w:val="25"/>
        </w:rPr>
        <w:t>9.6 Honest Summary for Wednesday</w:t>
      </w:r>
    </w:p>
    <w:p w14:paraId="56BE01B4" w14:textId="77777777" w:rsidR="00C14CF4" w:rsidRDefault="00000000">
      <w:pPr>
        <w:spacing w:after="160"/>
      </w:pPr>
      <w:r>
        <w:rPr>
          <w:color w:val="000000"/>
          <w:sz w:val="22"/>
          <w:szCs w:val="22"/>
        </w:rPr>
        <w:t>Frozen protein embeddings carry a real, modest, non-length-driven signal about mRNA stability (R-squared 0.103); RNA embeddings do not (0.015, indistinguishable from zero). The pipeline itself is verified correct via the synonymous-recoding control. The two embedding spaces mostly disagree as whole spaces (CKA, mutual k-NN) but share one specific, real subspace (CCA and retrieval, with RSA consistent), and layer-wise analysis suggests that shared subspace is likely driven by a compositional, genetic-code-linked signal rather than deep functional overlap. The alignment–error association, run directly on this project's own data, agrees: local alignment does not predict downstream error, so an explicit alignment loss is unlikely to help Stage 2's fusion architecture. The attention-motif overlap test, run against AU-rich-element and m6A motifs with a per-motif-class breakdown, is null: across 100 sequences, only 7 percent show significantly higher attention at motif positions against a 5 percent chance baseline, and the mean attention gap is essentially zero and in the wrong direction. This frozen encoder's final-layer attention does not concentrate at canonical RNA stability elements, at least not in the aggregated, single-layer form tested here, and only within coding sequence, since the dataset has no UTR context. Linear concatenation shows no synergy and does not exploit the shared subspace that does exist (0.100 versus 0.103 for protein alone); whether a learned fusion mechanism can is the Stage 3 question. The two extended Track A checks are also run: GC3 mostly confirms the GC content result rather than adding new signal, and the secondary structure proxy is weakly and about equally decodable from either embedding (0.089 RNA, 0.093 protein). Stage 1 is complete, with every item from the toolkit implemented and run, and it goes beyond the original minimum bar of one probe, one CKA score, and one UMAP plot.</w:t>
      </w:r>
    </w:p>
    <w:p w14:paraId="5CC2EF4A" w14:textId="77777777" w:rsidR="00C14CF4" w:rsidRDefault="00000000">
      <w:pPr>
        <w:pStyle w:val="Heading2"/>
        <w:spacing w:before="240" w:after="120"/>
      </w:pPr>
      <w:r>
        <w:rPr>
          <w:b/>
          <w:bCs/>
          <w:color w:val="000000"/>
          <w:sz w:val="25"/>
          <w:szCs w:val="25"/>
        </w:rPr>
        <w:t>9.7 Talking Points and Asks for Mina</w:t>
      </w:r>
    </w:p>
    <w:p w14:paraId="3D62C61F" w14:textId="77777777" w:rsidR="00C14CF4" w:rsidRDefault="00000000">
      <w:pPr>
        <w:spacing w:after="160"/>
      </w:pPr>
      <w:r>
        <w:rPr>
          <w:color w:val="000000"/>
          <w:sz w:val="22"/>
          <w:szCs w:val="22"/>
        </w:rPr>
        <w:t>The following translates the Track A and Track B results above into what to actually say and ask on Wednesday, not just what was measured.</w:t>
      </w:r>
    </w:p>
    <w:p w14:paraId="11575DBE" w14:textId="77777777" w:rsidR="00C14CF4" w:rsidRDefault="00000000">
      <w:pPr>
        <w:pStyle w:val="ListParagraph"/>
        <w:numPr>
          <w:ilvl w:val="0"/>
          <w:numId w:val="1"/>
        </w:numPr>
        <w:spacing w:after="80"/>
      </w:pPr>
      <w:r>
        <w:rPr>
          <w:color w:val="000000"/>
          <w:sz w:val="22"/>
          <w:szCs w:val="22"/>
        </w:rPr>
        <w:t>Lead with the tension between the alignment metrics rather than a single number: CKA and mutual k-NN say the two embedding spaces mostly disagree, while CCA and retrieval find, and RSA is consistent with, one specific, strong, learnable shared subspace within them. That disagreement between metrics is the actual finding worth presenting, not a gap to explain away.</w:t>
      </w:r>
    </w:p>
    <w:p w14:paraId="5FB40AA1" w14:textId="77777777" w:rsidR="00C14CF4" w:rsidRDefault="00000000">
      <w:pPr>
        <w:pStyle w:val="ListParagraph"/>
        <w:numPr>
          <w:ilvl w:val="0"/>
          <w:numId w:val="1"/>
        </w:numPr>
        <w:spacing w:after="80"/>
      </w:pPr>
      <w:r>
        <w:rPr>
          <w:color w:val="000000"/>
          <w:sz w:val="22"/>
          <w:szCs w:val="22"/>
        </w:rPr>
        <w:t>Propose an answer to Mina's own open question, what alignment means here: Stage 1 suggests this modality pair is a case of high uniqueness with a narrow pocket of real redundancy, not uniformly redundant or uniformly unique. That is the redundancy, uniqueness, and heterogeneity framing from the alignment theory paper she pointed to, backed by several methods (CKA, mutual k-NN, CCA, retrieval, RSA), not just one or two. Synergy is a separate question: linear concatenation shows none, and Stage 3 tests it properly.</w:t>
      </w:r>
    </w:p>
    <w:p w14:paraId="19089CB4" w14:textId="77777777" w:rsidR="00C14CF4" w:rsidRDefault="00000000">
      <w:pPr>
        <w:pStyle w:val="ListParagraph"/>
        <w:numPr>
          <w:ilvl w:val="0"/>
          <w:numId w:val="1"/>
        </w:numPr>
        <w:spacing w:after="80"/>
      </w:pPr>
      <w:r>
        <w:rPr>
          <w:color w:val="000000"/>
          <w:sz w:val="22"/>
          <w:szCs w:val="22"/>
        </w:rPr>
        <w:t>State the fusion architecture implication directly: linear concatenation shows no synergy (0.100 versus 0.103 for protein alone), while a targeted method, CCA, finds real structure the same two encoders already contain. That supports prioritizing a learned fusion mechanism, cross-attention or Coupled Mamba, which can learn where that structure is. Concatenation plus an MLP stays in as the baseline to beat, since Stage 1 only tested a linear probe on concatenated embeddings, not a nonlinear head.</w:t>
      </w:r>
    </w:p>
    <w:p w14:paraId="7A70738A" w14:textId="77777777" w:rsidR="00C14CF4" w:rsidRDefault="00000000">
      <w:pPr>
        <w:pStyle w:val="ListParagraph"/>
        <w:numPr>
          <w:ilvl w:val="0"/>
          <w:numId w:val="1"/>
        </w:numPr>
        <w:spacing w:after="80"/>
      </w:pPr>
      <w:r>
        <w:rPr>
          <w:color w:val="000000"/>
          <w:sz w:val="22"/>
          <w:szCs w:val="22"/>
        </w:rPr>
        <w:t>The alignment–error association, an exploratory adaptation of the ICML 2025 paper's own diagnostic run directly on this project's data, gives a second, independent line of evidence for the same answer: local alignment does not predict downstream error, so an explicit alignment loss for Stage 2's fusion module is unlikely to help, and could hurt. Two different diagnostics, from two different parts of the pipeline, now agree.</w:t>
      </w:r>
    </w:p>
    <w:p w14:paraId="470D6048" w14:textId="77777777" w:rsidR="00C14CF4" w:rsidRDefault="00000000">
      <w:pPr>
        <w:pStyle w:val="ListParagraph"/>
        <w:numPr>
          <w:ilvl w:val="0"/>
          <w:numId w:val="1"/>
        </w:numPr>
        <w:spacing w:after="80"/>
      </w:pPr>
      <w:r>
        <w:rPr>
          <w:color w:val="000000"/>
          <w:sz w:val="22"/>
          <w:szCs w:val="22"/>
        </w:rPr>
        <w:t>Be direct about the one result that comes back null: the attention-motif overlap test, run against real AU-rich elements and m6A sites, finds no significant relationship between attention and motif position, only 7 percent of 100 sequences reach significance against a 5 percent chance baseline, and the mean attention gap is essentially zero. Worth framing this as a real, defensible finding rather than an unresolved loose end: it says the frozen encoder's aggregated final-layer attention does not track these canonical stability elements, whatever the underlying reason turns out to be. State the limit alongside it: the sequences are coding-only, so the test could not reach the 3' UTRs where these elements concentrate. Ask whether a different layer or attention head, or a dataset with UTR context, would be worth checking next.</w:t>
      </w:r>
    </w:p>
    <w:p w14:paraId="67337A41" w14:textId="77777777" w:rsidR="00C14CF4" w:rsidRDefault="00000000">
      <w:pPr>
        <w:pStyle w:val="ListParagraph"/>
        <w:numPr>
          <w:ilvl w:val="0"/>
          <w:numId w:val="1"/>
        </w:numPr>
        <w:spacing w:after="80"/>
      </w:pPr>
      <w:r>
        <w:rPr>
          <w:color w:val="000000"/>
          <w:sz w:val="22"/>
          <w:szCs w:val="22"/>
        </w:rPr>
        <w:t>Frame both outcomes as legitimate results, not placeholders: alignment metrics disagreeing with each other, and an interpretability test coming back null even against the correct biological ground truth, are both defensible, informative methods findings on real biological data, not simply work in progress.</w:t>
      </w:r>
    </w:p>
    <w:p w14:paraId="525446B5" w14:textId="77777777" w:rsidR="00C14CF4" w:rsidRDefault="00000000">
      <w:pPr>
        <w:pStyle w:val="Heading1"/>
        <w:spacing w:before="320" w:after="160"/>
      </w:pPr>
      <w:r>
        <w:rPr>
          <w:b/>
          <w:bCs/>
          <w:color w:val="000000"/>
          <w:sz w:val="30"/>
          <w:szCs w:val="30"/>
        </w:rPr>
        <w:t>10. Open Questions for Wednesday</w:t>
      </w:r>
    </w:p>
    <w:p w14:paraId="06297250" w14:textId="77777777" w:rsidR="00C14CF4" w:rsidRDefault="00000000">
      <w:pPr>
        <w:pStyle w:val="ListParagraph"/>
        <w:numPr>
          <w:ilvl w:val="0"/>
          <w:numId w:val="1"/>
        </w:numPr>
        <w:spacing w:after="80"/>
      </w:pPr>
      <w:r>
        <w:rPr>
          <w:color w:val="000000"/>
          <w:sz w:val="22"/>
          <w:szCs w:val="22"/>
        </w:rPr>
        <w:t xml:space="preserve">Whether the codon-level positional alignment in BioLangFusion is a limitation to design around, or whether Mina already has a learned or contrastive alignment approach in mind.</w:t>
      </w:r>
    </w:p>
    <w:p w14:paraId="7F131165" w14:textId="77777777" w:rsidR="00C14CF4" w:rsidRDefault="00000000">
      <w:pPr>
        <w:pStyle w:val="ListParagraph"/>
        <w:numPr>
          <w:ilvl w:val="0"/>
          <w:numId w:val="1"/>
        </w:numPr>
        <w:spacing w:after="80"/>
      </w:pPr>
      <w:r>
        <w:rPr>
          <w:color w:val="000000"/>
          <w:sz w:val="22"/>
          <w:szCs w:val="22"/>
        </w:rPr>
        <w:t xml:space="preserve">Whether the project leans toward reusing frozen pretrained encoders (BioLangFusion / Isoformer style) or joint training from scratch (LucaOne style).</w:t>
      </w:r>
    </w:p>
    <w:p w14:paraId="198F4196" w14:textId="77777777" w:rsidR="00C14CF4" w:rsidRDefault="00000000">
      <w:pPr>
        <w:pStyle w:val="ListParagraph"/>
        <w:numPr>
          <w:ilvl w:val="0"/>
          <w:numId w:val="1"/>
        </w:numPr>
        <w:spacing w:after="80"/>
      </w:pPr>
      <w:r>
        <w:rPr>
          <w:color w:val="000000"/>
          <w:sz w:val="22"/>
          <w:szCs w:val="22"/>
        </w:rPr>
        <w:t>How much interpretability, versus raw performance, should matter as a project goal.</w:t>
      </w:r>
    </w:p>
    <w:p w14:paraId="27D3CE91" w14:textId="77777777" w:rsidR="00C14CF4" w:rsidRDefault="00000000">
      <w:pPr>
        <w:pStyle w:val="ListParagraph"/>
        <w:numPr>
          <w:ilvl w:val="0"/>
          <w:numId w:val="1"/>
        </w:numPr>
        <w:spacing w:after="80"/>
      </w:pPr>
      <w:r>
        <w:rPr>
          <w:color w:val="000000"/>
          <w:sz w:val="22"/>
          <w:szCs w:val="22"/>
        </w:rPr>
        <w:t>Whether Coupled Mamba is a serious architecture candidate to prototype or a pointer to fusion without an alignment loss generally, and whether Cross-Mamba or Mamba-3 are worth adding as fallback options.</w:t>
      </w:r>
    </w:p>
    <w:p w14:paraId="03A85790" w14:textId="77777777" w:rsidR="00C14CF4" w:rsidRDefault="00000000">
      <w:pPr>
        <w:pStyle w:val="ListParagraph"/>
        <w:numPr>
          <w:ilvl w:val="0"/>
          <w:numId w:val="1"/>
        </w:numPr>
        <w:spacing w:after="80"/>
      </w:pPr>
      <w:r>
        <w:rPr>
          <w:color w:val="000000"/>
          <w:sz w:val="22"/>
          <w:szCs w:val="22"/>
        </w:rPr>
        <w:t>Whether this project is meant to stay separate from the RNA tokenization project with Jahid and Zeynep, or feed into it later.</w:t>
      </w:r>
    </w:p>
    <w:p w14:paraId="6C33DC58" w14:textId="77777777" w:rsidR="00C14CF4" w:rsidRDefault="00000000">
      <w:pPr>
        <w:pStyle w:val="ListParagraph"/>
        <w:numPr>
          <w:ilvl w:val="0"/>
          <w:numId w:val="1"/>
        </w:numPr>
        <w:spacing w:after="80"/>
      </w:pPr>
      <w:r>
        <w:rPr>
          <w:color w:val="000000"/>
          <w:sz w:val="22"/>
          <w:szCs w:val="22"/>
        </w:rPr>
        <w:t>What counts as a "biologically meaningful" pattern when interpreting probing, CKA, or UMAP results, and whether specific known signals (codon usage, GC content, structural motifs) are worth checking against first, given that the GC content and layer-wise CKA results already point toward a compositional explanation.</w:t>
      </w:r>
    </w:p>
    <w:p w14:paraId="1C98FC2E" w14:textId="77777777" w:rsidR="00C14CF4" w:rsidRDefault="00000000">
      <w:pPr>
        <w:pStyle w:val="ListParagraph"/>
        <w:numPr>
          <w:ilvl w:val="0"/>
          <w:numId w:val="1"/>
        </w:numPr>
        <w:spacing w:after="80"/>
      </w:pPr>
      <w:r>
        <w:rPr>
          <w:color w:val="000000"/>
          <w:sz w:val="22"/>
          <w:szCs w:val="22"/>
        </w:rPr>
        <w:t>What Mina's own lab alignment study looks like, and whether this analysis should feed into it or run as a separate check.</w:t>
      </w:r>
    </w:p>
    <w:p w14:paraId="340F2CE1" w14:textId="77777777" w:rsidR="00C14CF4" w:rsidRDefault="00000000">
      <w:pPr>
        <w:pStyle w:val="ListParagraph"/>
        <w:numPr>
          <w:ilvl w:val="0"/>
          <w:numId w:val="1"/>
        </w:numPr>
        <w:spacing w:after="80"/>
      </w:pPr>
      <w:r>
        <w:rPr>
          <w:color w:val="000000"/>
          <w:sz w:val="22"/>
          <w:szCs w:val="22"/>
        </w:rPr>
        <w:t>Whether the synergy check should be a formal Stage 1 deliverable alongside CKA and mutual-KNN, given the results already computed, or whether alignment metrics alone are considered sufficient.</w:t>
      </w:r>
    </w:p>
    <w:p w14:paraId="4539881C" w14:textId="77777777" w:rsidR="00C14CF4" w:rsidRDefault="00000000">
      <w:pPr>
        <w:pStyle w:val="ListParagraph"/>
        <w:numPr>
          <w:ilvl w:val="0"/>
          <w:numId w:val="1"/>
        </w:numPr>
        <w:spacing w:after="80"/>
      </w:pPr>
      <w:r>
        <w:rPr>
          <w:color w:val="000000"/>
          <w:sz w:val="22"/>
          <w:szCs w:val="22"/>
        </w:rPr>
        <w:lastRenderedPageBreak/>
        <w:t>Given Central Dogma Transformer's sequel finding that RNA and protein changes often move in opposite directions, should Stage 2 plan from the start for asymmetric, per-pair alignment decisions rather than one method applied uniformly.</w:t>
      </w:r>
    </w:p>
    <w:p w14:paraId="4B2761E1" w14:textId="77777777" w:rsidR="00C14CF4" w:rsidRDefault="00000000">
      <w:pPr>
        <w:pStyle w:val="ListParagraph"/>
        <w:numPr>
          <w:ilvl w:val="0"/>
          <w:numId w:val="1"/>
        </w:numPr>
        <w:spacing w:after="80"/>
      </w:pPr>
      <w:r>
        <w:rPr>
          <w:color w:val="000000"/>
          <w:sz w:val="22"/>
          <w:szCs w:val="22"/>
        </w:rPr>
        <w:t>Does the mRNA-stability task become the confirmed Stage 4 benchmark, or is it one of several candidates? The DNA-optional scoping (Section 4) has been necessary given the dataset's missing gene and transcript IDs; worth confirming this is an acceptable path forward rather than a gap.</w:t>
      </w:r>
    </w:p>
    <w:p w14:paraId="44EA0697" w14:textId="77777777" w:rsidR="00C14CF4" w:rsidRPr="00D54E0F" w:rsidRDefault="00000000">
      <w:pPr>
        <w:pStyle w:val="ListParagraph"/>
        <w:numPr>
          <w:ilvl w:val="0"/>
          <w:numId w:val="1"/>
        </w:numPr>
        <w:spacing w:after="80"/>
      </w:pPr>
      <w:r>
        <w:rPr>
          <w:color w:val="000000"/>
          <w:sz w:val="22"/>
          <w:szCs w:val="22"/>
        </w:rPr>
        <w:t>Who else is joining the Wednesday meeting, referenced as "both of you" in Mina's earlier email?</w:t>
      </w:r>
    </w:p>
    <w:sectPr w:rsidR="00D54E0F" w:rsidRPr="00D54E0F">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C942158"/>
    <w:multiLevelType w:val="hybridMultilevel"/>
    <w:tmpl w:val="E786C778"/>
    <w:lvl w:ilvl="0" w:tplc="FA8086EE">
      <w:start w:val="1"/>
      <w:numFmt w:val="bullet"/>
      <w:lvlText w:val="●"/>
      <w:lvlJc w:val="left"/>
      <w:pPr>
        <w:ind w:left="720" w:hanging="360"/>
      </w:pPr>
    </w:lvl>
    <w:lvl w:ilvl="1" w:tplc="D0049F58">
      <w:start w:val="1"/>
      <w:numFmt w:val="bullet"/>
      <w:lvlText w:val="○"/>
      <w:lvlJc w:val="left"/>
      <w:pPr>
        <w:ind w:left="1440" w:hanging="360"/>
      </w:pPr>
    </w:lvl>
    <w:lvl w:ilvl="2" w:tplc="8BF6CCE2">
      <w:start w:val="1"/>
      <w:numFmt w:val="bullet"/>
      <w:lvlText w:val="■"/>
      <w:lvlJc w:val="left"/>
      <w:pPr>
        <w:ind w:left="2160" w:hanging="360"/>
      </w:pPr>
    </w:lvl>
    <w:lvl w:ilvl="3" w:tplc="75408190">
      <w:start w:val="1"/>
      <w:numFmt w:val="bullet"/>
      <w:lvlText w:val="●"/>
      <w:lvlJc w:val="left"/>
      <w:pPr>
        <w:ind w:left="2880" w:hanging="360"/>
      </w:pPr>
    </w:lvl>
    <w:lvl w:ilvl="4" w:tplc="FCE20CD2">
      <w:start w:val="1"/>
      <w:numFmt w:val="bullet"/>
      <w:lvlText w:val="○"/>
      <w:lvlJc w:val="left"/>
      <w:pPr>
        <w:ind w:left="3600" w:hanging="360"/>
      </w:pPr>
    </w:lvl>
    <w:lvl w:ilvl="5" w:tplc="331ACD70">
      <w:start w:val="1"/>
      <w:numFmt w:val="bullet"/>
      <w:lvlText w:val="■"/>
      <w:lvlJc w:val="left"/>
      <w:pPr>
        <w:ind w:left="4320" w:hanging="360"/>
      </w:pPr>
    </w:lvl>
    <w:lvl w:ilvl="6" w:tplc="C374D49C">
      <w:start w:val="1"/>
      <w:numFmt w:val="bullet"/>
      <w:lvlText w:val="●"/>
      <w:lvlJc w:val="left"/>
      <w:pPr>
        <w:ind w:left="5040" w:hanging="360"/>
      </w:pPr>
    </w:lvl>
    <w:lvl w:ilvl="7" w:tplc="FFDE8B06">
      <w:start w:val="1"/>
      <w:numFmt w:val="bullet"/>
      <w:lvlText w:val="●"/>
      <w:lvlJc w:val="left"/>
      <w:pPr>
        <w:ind w:left="5760" w:hanging="360"/>
      </w:pPr>
    </w:lvl>
    <w:lvl w:ilvl="8" w:tplc="D6C02586">
      <w:start w:val="1"/>
      <w:numFmt w:val="bullet"/>
      <w:lvlText w:val="●"/>
      <w:lvlJc w:val="left"/>
      <w:pPr>
        <w:ind w:left="6480" w:hanging="360"/>
      </w:pPr>
    </w:lvl>
  </w:abstractNum>
  <w:num w:numId="1" w16cid:durableId="143204236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4CF4"/>
    <w:rsid w:val="000C4F5D"/>
    <w:rsid w:val="0081101D"/>
    <w:rsid w:val="00873529"/>
    <w:rsid w:val="008E6103"/>
    <w:rsid w:val="00C14CF4"/>
    <w:rsid w:val="00D54E0F"/>
    <w:rsid w:val="00E519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0DD7718"/>
  <w15:docId w15:val="{43EB73B7-0CCE-4347-933D-CF4F1B1FA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8582</Words>
  <Characters>48923</Characters>
  <Application>Microsoft Office Word</Application>
  <DocSecurity>0</DocSecurity>
  <Lines>407</Lines>
  <Paragraphs>114</Paragraphs>
  <ScaleCrop>false</ScaleCrop>
  <Company/>
  <LinksUpToDate>false</LinksUpToDate>
  <CharactersWithSpaces>57391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Julian Mckinley</cp:lastModifiedBy>
  <cp:revision>4</cp:revision>
  <dcterms:created xsi:type="dcterms:W3CDTF">2026-09-20T04:27:00Z</dcterms:created>
  <dcterms:modified xsi:type="dcterms:W3CDTF">2026-09-22T03:10:00Z</dcterms:modified>
</cp:coreProperties>
</file>