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color w:val="000000"/>
          <w:sz w:val="24"/>
          <w:szCs w:val="24"/>
        </w:rPr>
        <w:t xml:space="preserve">Annotated Bibliography</w:t>
      </w:r>
    </w:p>
    <w:p>
      <w:pPr>
        <w:spacing w:after="0" w:before="0" w:line="480"/>
        <w:jc w:val="center"/>
      </w:pPr>
      <w:r>
        <w:rPr>
          <w:rFonts w:ascii="Times New Roman" w:cs="Times New Roman" w:eastAsia="Times New Roman" w:hAnsi="Times New Roman"/>
          <w:b w:val="false"/>
          <w:bCs w:val="false"/>
          <w:color w:val="000000"/>
          <w:sz w:val="24"/>
          <w:szCs w:val="24"/>
        </w:rPr>
        <w:t xml:space="preserve">Aligning and Fusing Frozen RNA and Protein Foundation Models for mRNA Property Prediction</w:t>
      </w:r>
    </w:p>
    <w:p>
      <w:pPr>
        <w:spacing w:after="0" w:before="0" w:line="480"/>
        <w:jc w:val="center"/>
      </w:pPr>
      <w:r>
        <w:rPr>
          <w:rFonts w:ascii="Times New Roman" w:cs="Times New Roman" w:eastAsia="Times New Roman" w:hAnsi="Times New Roman"/>
          <w:b w:val="false"/>
          <w:bCs w:val="false"/>
          <w:color w:val="000000"/>
          <w:sz w:val="24"/>
          <w:szCs w:val="24"/>
        </w:rPr>
        <w:t xml:space="preserve">Julian McKinley</w:t>
      </w:r>
    </w:p>
    <w:p>
      <w:pPr>
        <w:spacing w:after="0" w:before="0" w:line="480"/>
        <w:jc w:val="center"/>
      </w:pPr>
      <w:r>
        <w:rPr>
          <w:rFonts w:ascii="Times New Roman" w:cs="Times New Roman" w:eastAsia="Times New Roman" w:hAnsi="Times New Roman"/>
          <w:b w:val="false"/>
          <w:bCs w:val="false"/>
          <w:color w:val="000000"/>
          <w:sz w:val="24"/>
          <w:szCs w:val="24"/>
        </w:rPr>
        <w:t xml:space="preserve">Master of Science in Data Analytics (AI Track), University of Central Florida</w:t>
      </w:r>
    </w:p>
    <w:p>
      <w:pPr>
        <w:spacing w:after="0" w:before="0" w:line="480"/>
        <w:jc w:val="center"/>
      </w:pPr>
      <w:r>
        <w:rPr>
          <w:rFonts w:ascii="Times New Roman" w:cs="Times New Roman" w:eastAsia="Times New Roman" w:hAnsi="Times New Roman"/>
          <w:b w:val="false"/>
          <w:bCs w:val="false"/>
          <w:color w:val="000000"/>
          <w:sz w:val="24"/>
          <w:szCs w:val="24"/>
        </w:rPr>
        <w:t xml:space="preserve">Capstone Project, Advisor: Mina Basirat, PhD</w:t>
      </w:r>
    </w:p>
    <w:p>
      <w:pPr>
        <w:spacing w:after="0" w:before="0" w:line="480"/>
        <w:jc w:val="center"/>
      </w:pPr>
      <w:r>
        <w:rPr>
          <w:rFonts w:ascii="Times New Roman" w:cs="Times New Roman" w:eastAsia="Times New Roman" w:hAnsi="Times New Roman"/>
          <w:b w:val="false"/>
          <w:bCs w:val="false"/>
          <w:color w:val="000000"/>
          <w:sz w:val="24"/>
          <w:szCs w:val="24"/>
        </w:rPr>
        <w:t xml:space="preserve">September 2026</w:t>
      </w:r>
    </w:p>
    <w:p>
      <w:pPr>
        <w:spacing w:line="480"/>
      </w:pPr>
    </w:p>
    <w:p>
      <w:pPr>
        <w:spacing w:after="0" w:before="0" w:line="480"/>
        <w:ind w:left="720" w:hanging="720"/>
      </w:pPr>
      <w:r>
        <w:rPr>
          <w:rFonts w:ascii="Times New Roman" w:cs="Times New Roman" w:eastAsia="Times New Roman" w:hAnsi="Times New Roman"/>
          <w:color w:val="000000"/>
          <w:sz w:val="24"/>
          <w:szCs w:val="24"/>
        </w:rPr>
        <w:t xml:space="preserve">Garau-Luis, J. J., Bordes, P., Gonzalez, L., Roller, M., de Almeida, B. P., Hexemer, L., Blum, C., Laurent, S., Grzegorzewski, J., Lang, M., Pierrot, T., &amp; Richard, G. (2024). Multi-modal transfer learning between biological foundation models. In </w:t>
      </w:r>
      <w:r>
        <w:rPr>
          <w:rFonts w:ascii="Times New Roman" w:cs="Times New Roman" w:eastAsia="Times New Roman" w:hAnsi="Times New Roman"/>
          <w:i/>
          <w:iCs/>
          <w:color w:val="000000"/>
          <w:sz w:val="24"/>
          <w:szCs w:val="24"/>
        </w:rPr>
        <w:t xml:space="preserve">Advances in Neural Information Processing Systems</w:t>
      </w:r>
      <w:r>
        <w:rPr>
          <w:rFonts w:ascii="Times New Roman" w:cs="Times New Roman" w:eastAsia="Times New Roman" w:hAnsi="Times New Roman"/>
          <w:color w:val="000000"/>
          <w:sz w:val="24"/>
          <w:szCs w:val="24"/>
        </w:rPr>
        <w:t xml:space="preserve"> (Vol. 37, pp. 78431-78450). https://doi.org/10.52202/079017-2493</w:t>
      </w:r>
    </w:p>
    <w:p>
      <w:pPr>
        <w:spacing w:after="0" w:before="0" w:line="480"/>
        <w:ind w:left="720" w:firstLine="720"/>
      </w:pPr>
      <w:r>
        <w:rPr>
          <w:rFonts w:ascii="Times New Roman" w:cs="Times New Roman" w:eastAsia="Times New Roman" w:hAnsi="Times New Roman"/>
          <w:color w:val="000000"/>
          <w:sz w:val="24"/>
          <w:szCs w:val="24"/>
        </w:rPr>
        <w:t xml:space="preserve">Garau-Luis et al. introduce IsoFormer, a model that combines three separately pretrained encoders (Enformer or Nucleotide Transformer for DNA, Nucleotide Transformer for RNA, and ESM-2 for protein) through cross-attention aggregation layers and a task-specific prediction head, fine-tuning the encoders jointly on the downstream task. They apply it to tissue-specific RNA transcript isoform expression, a problem that no single modality can fully explain because one gene can produce many isoforms. Performance rises as modalities are added (R-squared of 0.36 for RNA alone versus 0.43 for DNA, RNA, and protein together), and IsoFormer outperforms single-modality baselines, which the authors present as evidence of transfer between biological foundation models.</w:t>
      </w:r>
    </w:p>
    <w:p>
      <w:pPr>
        <w:spacing w:after="0" w:before="0" w:line="480"/>
        <w:ind w:left="720" w:firstLine="720"/>
      </w:pPr>
      <w:r>
        <w:rPr>
          <w:rFonts w:ascii="Times New Roman" w:cs="Times New Roman" w:eastAsia="Times New Roman" w:hAnsi="Times New Roman"/>
          <w:color w:val="000000"/>
          <w:sz w:val="24"/>
          <w:szCs w:val="24"/>
        </w:rPr>
        <w:t xml:space="preserve">The study is a strong, peer-reviewed demonstration that pretrained biological encoders can be fused instead of training a multimodal model from scratch. Its main limitation for my purposes is that it never aligns positions across modalities; fusion happens only implicitly inside the cross-attention layers, so it says little about how or whether the modalities share structure.</w:t>
      </w:r>
    </w:p>
    <w:p>
      <w:pPr>
        <w:spacing w:after="0" w:before="0" w:line="480"/>
        <w:ind w:left="720" w:firstLine="720"/>
      </w:pPr>
      <w:r>
        <w:rPr>
          <w:rFonts w:ascii="Times New Roman" w:cs="Times New Roman" w:eastAsia="Times New Roman" w:hAnsi="Times New Roman"/>
          <w:color w:val="000000"/>
          <w:sz w:val="24"/>
          <w:szCs w:val="24"/>
        </w:rPr>
        <w:t xml:space="preserve">IsoFormer is the direct template for my project. I use the same two encoder families it relies on (Nucleotide Transformer for RNA and ESM-2 for protein), and cross-attention fusion is one of the two fusion architectures I plan to benchmark in Stage 2. My advisor also framed our downstream task, mRNA stability and expression prediction, as an IsoFormer-style multimodal prediction problem.</w:t>
      </w:r>
    </w:p>
    <w:p>
      <w:pPr>
        <w:spacing w:after="0" w:before="0" w:line="480"/>
        <w:ind w:left="720" w:hanging="720"/>
      </w:pPr>
      <w:r>
        <w:rPr>
          <w:rFonts w:ascii="Times New Roman" w:cs="Times New Roman" w:eastAsia="Times New Roman" w:hAnsi="Times New Roman"/>
          <w:color w:val="000000"/>
          <w:sz w:val="24"/>
          <w:szCs w:val="24"/>
        </w:rPr>
        <w:t xml:space="preserve">He, Y., Fang, P., Shan, Y., Pan, Y., Wei, Y., Chen, Y., Chen, Y., Liu, Y., Zeng, Z., Zhou, Z., Zhu, F., Holmes, E. C., Ye, J., Li, J., Shu, Y., Shi, M., &amp; Li, Z. (2025). Generalized biological foundation model with unified nucleic acid and protein language. </w:t>
      </w:r>
      <w:r>
        <w:rPr>
          <w:rFonts w:ascii="Times New Roman" w:cs="Times New Roman" w:eastAsia="Times New Roman" w:hAnsi="Times New Roman"/>
          <w:i/>
          <w:iCs/>
          <w:color w:val="000000"/>
          <w:sz w:val="24"/>
          <w:szCs w:val="24"/>
        </w:rPr>
        <w:t xml:space="preserve">Nature Machine Intelligence, 7</w:t>
      </w:r>
      <w:r>
        <w:rPr>
          <w:rFonts w:ascii="Times New Roman" w:cs="Times New Roman" w:eastAsia="Times New Roman" w:hAnsi="Times New Roman"/>
          <w:color w:val="000000"/>
          <w:sz w:val="24"/>
          <w:szCs w:val="24"/>
        </w:rPr>
        <w:t xml:space="preserve">, 942-953. https://doi.org/10.1038/s42256-025-01044-4</w:t>
      </w:r>
    </w:p>
    <w:p>
      <w:pPr>
        <w:spacing w:after="0" w:before="0" w:line="480"/>
        <w:ind w:left="720" w:firstLine="720"/>
      </w:pPr>
      <w:r>
        <w:rPr>
          <w:rFonts w:ascii="Times New Roman" w:cs="Times New Roman" w:eastAsia="Times New Roman" w:hAnsi="Times New Roman"/>
          <w:color w:val="000000"/>
          <w:sz w:val="24"/>
          <w:szCs w:val="24"/>
        </w:rPr>
        <w:t xml:space="preserve">He et al. present LucaOne, a 1.8 billion parameter transformer trained from scratch on nucleic acid and protein sequences from roughly 170,000 species using a single shared 39-token vocabulary, with a token-type embedding that tells the model which alphabet it is reading. Without any explicit paired supervision, LucaOne learns a correspondence between DNA and protein consistent with the central dogma, and it performs competitively on downstream tasks spanning DNA, RNA, and protein inputs.</w:t>
      </w:r>
    </w:p>
    <w:p>
      <w:pPr>
        <w:spacing w:after="0" w:before="0" w:line="480"/>
        <w:ind w:left="720" w:firstLine="720"/>
      </w:pPr>
      <w:r>
        <w:rPr>
          <w:rFonts w:ascii="Times New Roman" w:cs="Times New Roman" w:eastAsia="Times New Roman" w:hAnsi="Times New Roman"/>
          <w:color w:val="000000"/>
          <w:sz w:val="24"/>
          <w:szCs w:val="24"/>
        </w:rPr>
        <w:t xml:space="preserve">This is a high-impact journal article and the clearest evidence that unifying molecular modalities has real value. Its approach, however, requires massive pretraining compute that is out of reach for most academic groups, which is exactly the gap that post hoc fusion of frozen models tries to fill.</w:t>
      </w:r>
    </w:p>
    <w:p>
      <w:pPr>
        <w:spacing w:after="0" w:before="0" w:line="480"/>
        <w:ind w:left="720" w:firstLine="720"/>
      </w:pPr>
      <w:r>
        <w:rPr>
          <w:rFonts w:ascii="Times New Roman" w:cs="Times New Roman" w:eastAsia="Times New Roman" w:hAnsi="Times New Roman"/>
          <w:color w:val="000000"/>
          <w:sz w:val="24"/>
          <w:szCs w:val="24"/>
        </w:rPr>
        <w:t xml:space="preserve">LucaOne serves as the contrasting design point in my literature review. It represents the "train one unified model" strategy, while my project tests the cheaper "fuse separately pretrained models" strategy. Its finding that cross-modal structure emerges from joint training motivates my Stage 1 question of how much of that structure already exists between independently trained RNA and protein encoders.</w:t>
      </w:r>
    </w:p>
    <w:p>
      <w:pPr>
        <w:spacing w:after="0" w:before="0" w:line="480"/>
        <w:ind w:left="720" w:hanging="720"/>
      </w:pPr>
      <w:r>
        <w:rPr>
          <w:rFonts w:ascii="Times New Roman" w:cs="Times New Roman" w:eastAsia="Times New Roman" w:hAnsi="Times New Roman"/>
          <w:color w:val="000000"/>
          <w:sz w:val="24"/>
          <w:szCs w:val="24"/>
        </w:rPr>
        <w:t xml:space="preserve">Li, W., Zhou, H., Yu, J., Song, Z., &amp; Yang, W. (2024). Coupled Mamba: Enhanced multi-modal fusion with coupled state space model. In </w:t>
      </w:r>
      <w:r>
        <w:rPr>
          <w:rFonts w:ascii="Times New Roman" w:cs="Times New Roman" w:eastAsia="Times New Roman" w:hAnsi="Times New Roman"/>
          <w:i/>
          <w:iCs/>
          <w:color w:val="000000"/>
          <w:sz w:val="24"/>
          <w:szCs w:val="24"/>
        </w:rPr>
        <w:t xml:space="preserve">Advances in Neural Information Processing Systems</w:t>
      </w:r>
      <w:r>
        <w:rPr>
          <w:rFonts w:ascii="Times New Roman" w:cs="Times New Roman" w:eastAsia="Times New Roman" w:hAnsi="Times New Roman"/>
          <w:color w:val="000000"/>
          <w:sz w:val="24"/>
          <w:szCs w:val="24"/>
        </w:rPr>
        <w:t xml:space="preserve"> (Vol. 37, pp. 59808-59832). https://doi.org/10.52202/079017-1910</w:t>
      </w:r>
    </w:p>
    <w:p>
      <w:pPr>
        <w:spacing w:after="0" w:before="0" w:line="480"/>
        <w:ind w:left="720" w:firstLine="720"/>
      </w:pPr>
      <w:r>
        <w:rPr>
          <w:rFonts w:ascii="Times New Roman" w:cs="Times New Roman" w:eastAsia="Times New Roman" w:hAnsi="Times New Roman"/>
          <w:color w:val="000000"/>
          <w:sz w:val="24"/>
          <w:szCs w:val="24"/>
        </w:rPr>
        <w:t xml:space="preserve">Li et al. propose Coupled Mamba, a multimodal fusion method built on selective state space models. Each modality keeps its own Mamba state chain, but the hidden state of each chain at a given step depends on the summed previous states of all chains, which couples the modalities while keeping intra-modality processing independent. The authors derive a global convolution kernel so the coupled model stays compatible with Mamba's hardware-efficient parallel scan. On three multimodal sentiment analysis benchmarks (CMU-MOSEI, CH-SIMS, and CH-SIMSV2) it improves F1 score over prior state of the art while running 49% faster and using 83.7% less GPU memory.</w:t>
      </w:r>
    </w:p>
    <w:p>
      <w:pPr>
        <w:spacing w:after="0" w:before="0" w:line="480"/>
        <w:ind w:left="720" w:firstLine="720"/>
      </w:pPr>
      <w:r>
        <w:rPr>
          <w:rFonts w:ascii="Times New Roman" w:cs="Times New Roman" w:eastAsia="Times New Roman" w:hAnsi="Times New Roman"/>
          <w:color w:val="000000"/>
          <w:sz w:val="24"/>
          <w:szCs w:val="24"/>
        </w:rPr>
        <w:t xml:space="preserve">The paper is methodologically solid but was evaluated only on audio, text, and video features, not biological sequences, so its benefits for genomic data are untested. Its key advantage is that it fuses sequences that are not position-aligned, and it scales linearly with sequence length rather than quadratically like attention.</w:t>
      </w:r>
    </w:p>
    <w:p>
      <w:pPr>
        <w:spacing w:after="0" w:before="0" w:line="480"/>
        <w:ind w:left="720" w:firstLine="720"/>
      </w:pPr>
      <w:r>
        <w:rPr>
          <w:rFonts w:ascii="Times New Roman" w:cs="Times New Roman" w:eastAsia="Times New Roman" w:hAnsi="Times New Roman"/>
          <w:color w:val="000000"/>
          <w:sz w:val="24"/>
          <w:szCs w:val="24"/>
        </w:rPr>
        <w:t xml:space="preserve">Coupled Mamba is the second fusion architecture I will benchmark against cross-attention in Stage 2. Because RNA and protein sequences differ in length by a factor of three and my Stage 1 results suggest that forcing explicit alignment may not help, an alignment-free and memory-efficient fusion method is a natural candidate to test on long mRNA sequences.</w:t>
      </w:r>
    </w:p>
    <w:p>
      <w:pPr>
        <w:spacing w:after="0" w:before="0" w:line="480"/>
        <w:ind w:left="720" w:hanging="720"/>
      </w:pPr>
      <w:r>
        <w:rPr>
          <w:rFonts w:ascii="Times New Roman" w:cs="Times New Roman" w:eastAsia="Times New Roman" w:hAnsi="Times New Roman"/>
          <w:color w:val="000000"/>
          <w:sz w:val="24"/>
          <w:szCs w:val="24"/>
        </w:rPr>
        <w:t xml:space="preserve">Mollaysa, A., Moskalev, A., Pati, P., Mansi, T., Prakash, M., &amp; Liao, R. (2025). </w:t>
      </w:r>
      <w:r>
        <w:rPr>
          <w:rFonts w:ascii="Times New Roman" w:cs="Times New Roman" w:eastAsia="Times New Roman" w:hAnsi="Times New Roman"/>
          <w:i/>
          <w:iCs/>
          <w:color w:val="000000"/>
          <w:sz w:val="24"/>
          <w:szCs w:val="24"/>
        </w:rPr>
        <w:t xml:space="preserve">BioLangFusion: Multimodal fusion of DNA, mRNA, and protein language models</w:t>
      </w:r>
      <w:r>
        <w:rPr>
          <w:rFonts w:ascii="Times New Roman" w:cs="Times New Roman" w:eastAsia="Times New Roman" w:hAnsi="Times New Roman"/>
          <w:color w:val="000000"/>
          <w:sz w:val="24"/>
          <w:szCs w:val="24"/>
        </w:rPr>
        <w:t xml:space="preserve"> [Paper presentation]. ICML 2025 Workshop on Multi-modal Foundation Models and Large Language Models for Life Sciences, Vancouver, Canada. https://arxiv.org/abs/2506.08936</w:t>
      </w:r>
    </w:p>
    <w:p>
      <w:pPr>
        <w:spacing w:after="0" w:before="0" w:line="480"/>
        <w:ind w:left="720" w:firstLine="720"/>
      </w:pPr>
      <w:r>
        <w:rPr>
          <w:rFonts w:ascii="Times New Roman" w:cs="Times New Roman" w:eastAsia="Times New Roman" w:hAnsi="Times New Roman"/>
          <w:color w:val="000000"/>
          <w:sz w:val="24"/>
          <w:szCs w:val="24"/>
        </w:rPr>
        <w:t xml:space="preserve">Mollaysa et al. fuse frozen DNA (Nucleotide Transformer v2), mRNA (RNA-FM), and protein (ESM-2) language model embeddings by resampling all three to a shared codon resolution, so that each position refers to the same codon in every modality. They compare three lightweight fusion schemes (codon-level concatenation, entropy-regularized attention pooling, and cross-modal multi-head attention) and show that fused representations outperform single-modality baselines on several molecular property prediction tasks, including mRNA stability and expression benchmarks.</w:t>
      </w:r>
    </w:p>
    <w:p>
      <w:pPr>
        <w:spacing w:after="0" w:before="0" w:line="480"/>
        <w:ind w:left="720" w:firstLine="720"/>
      </w:pPr>
      <w:r>
        <w:rPr>
          <w:rFonts w:ascii="Times New Roman" w:cs="Times New Roman" w:eastAsia="Times New Roman" w:hAnsi="Times New Roman"/>
          <w:color w:val="000000"/>
          <w:sz w:val="24"/>
          <w:szCs w:val="24"/>
        </w:rPr>
        <w:t xml:space="preserve">The paper is a short workshop paper, so its evaluation is narrower than a full conference paper, but it is the most directly comparable prior work to my project. Its alignment step is purely mechanical (pooling and upsampling to codon resolution), which my advisor identified as the open question: resampling to a shared resolution is not the same as learning a meaningful alignment.</w:t>
      </w:r>
    </w:p>
    <w:p>
      <w:pPr>
        <w:spacing w:after="0" w:before="0" w:line="480"/>
        <w:ind w:left="720" w:firstLine="720"/>
      </w:pPr>
      <w:r>
        <w:rPr>
          <w:rFonts w:ascii="Times New Roman" w:cs="Times New Roman" w:eastAsia="Times New Roman" w:hAnsi="Times New Roman"/>
          <w:color w:val="000000"/>
          <w:sz w:val="24"/>
          <w:szCs w:val="24"/>
        </w:rPr>
        <w:t xml:space="preserve">BioLangFusion defines the baseline my fusion experiments must beat and supplies the codon-level resampling scheme I will reuse. It also evaluates on the same mRNA stability dataset (human, mouse, frog, and fish sequences) that I use, which allows direct comparison of results.</w:t>
      </w:r>
    </w:p>
    <w:p>
      <w:pPr>
        <w:spacing w:after="0" w:before="0" w:line="480"/>
        <w:ind w:left="720" w:hanging="720"/>
      </w:pPr>
      <w:r>
        <w:rPr>
          <w:rFonts w:ascii="Times New Roman" w:cs="Times New Roman" w:eastAsia="Times New Roman" w:hAnsi="Times New Roman"/>
          <w:color w:val="000000"/>
          <w:sz w:val="24"/>
          <w:szCs w:val="24"/>
        </w:rPr>
        <w:t xml:space="preserve">Ota, N. (2026). </w:t>
      </w:r>
      <w:r>
        <w:rPr>
          <w:rFonts w:ascii="Times New Roman" w:cs="Times New Roman" w:eastAsia="Times New Roman" w:hAnsi="Times New Roman"/>
          <w:i/>
          <w:iCs/>
          <w:color w:val="000000"/>
          <w:sz w:val="24"/>
          <w:szCs w:val="24"/>
        </w:rPr>
        <w:t xml:space="preserve">Central Dogma Transformer: Towards mechanism-oriented AI for cellular understanding</w:t>
      </w:r>
      <w:r>
        <w:rPr>
          <w:rFonts w:ascii="Times New Roman" w:cs="Times New Roman" w:eastAsia="Times New Roman" w:hAnsi="Times New Roman"/>
          <w:color w:val="000000"/>
          <w:sz w:val="24"/>
          <w:szCs w:val="24"/>
        </w:rPr>
        <w:t xml:space="preserve"> (arXiv:2601.01089). arXiv. https://arxiv.org/abs/2601.01089</w:t>
      </w:r>
    </w:p>
    <w:p>
      <w:pPr>
        <w:spacing w:after="0" w:before="0" w:line="480"/>
        <w:ind w:left="720" w:firstLine="720"/>
      </w:pPr>
      <w:r>
        <w:rPr>
          <w:rFonts w:ascii="Times New Roman" w:cs="Times New Roman" w:eastAsia="Times New Roman" w:hAnsi="Times New Roman"/>
          <w:color w:val="000000"/>
          <w:sz w:val="24"/>
          <w:szCs w:val="24"/>
        </w:rPr>
        <w:t xml:space="preserve">Ota proposes the Central Dogma Transformer (CDT), which combines frozen DNA (Enformer), RNA (scGPT), and protein (ESM-C or ProteomeLM) embeddings through one-directional cross-attention that follows biological information flow, with DNA attending to RNA to model transcription and RNA attending to protein to model translation. Trained on CRISPRi enhancer perturbation data from K562 cells, CDT reaches a Pearson correlation of 0.503, about 63% of the ceiling set by cross-experiment variability, and attention and gradient analyses highlight a CTCF binding site that Hi-C data confirm contacts both the enhancer and its target gene.</w:t>
      </w:r>
    </w:p>
    <w:p>
      <w:pPr>
        <w:spacing w:after="0" w:before="0" w:line="480"/>
        <w:ind w:left="720" w:firstLine="720"/>
      </w:pPr>
      <w:r>
        <w:rPr>
          <w:rFonts w:ascii="Times New Roman" w:cs="Times New Roman" w:eastAsia="Times New Roman" w:hAnsi="Times New Roman"/>
          <w:color w:val="000000"/>
          <w:sz w:val="24"/>
          <w:szCs w:val="24"/>
        </w:rPr>
        <w:t xml:space="preserve">CDT is a single-author preprint that has not yet been peer reviewed, and its RNA and protein embeddings are fixed per gene rather than cell-specific, so its results should be treated as a proof of concept. Its contribution is conceptual: it argues that a fusion architecture should mirror biology in order to be interpretable, not only accurate.</w:t>
      </w:r>
    </w:p>
    <w:p>
      <w:pPr>
        <w:spacing w:after="0" w:before="0" w:line="480"/>
        <w:ind w:left="720" w:firstLine="720"/>
      </w:pPr>
      <w:r>
        <w:rPr>
          <w:rFonts w:ascii="Times New Roman" w:cs="Times New Roman" w:eastAsia="Times New Roman" w:hAnsi="Times New Roman"/>
          <w:color w:val="000000"/>
          <w:sz w:val="24"/>
          <w:szCs w:val="24"/>
        </w:rPr>
        <w:t xml:space="preserve">CDT informs the interpretability track of my project. It motivated my Stage 1 test of whether the frozen RNA encoder's attention concentrates on known mRNA stability motifs, and it offers a directional (RNA to protein) cross-attention variant that I can include as an ablation when benchmarking fusion designs.</w:t>
      </w:r>
    </w:p>
    <w:p>
      <w:pPr>
        <w:spacing w:after="0" w:before="0" w:line="480"/>
        <w:ind w:left="720" w:hanging="720"/>
      </w:pPr>
      <w:r>
        <w:rPr>
          <w:rFonts w:ascii="Times New Roman" w:cs="Times New Roman" w:eastAsia="Times New Roman" w:hAnsi="Times New Roman"/>
          <w:color w:val="000000"/>
          <w:sz w:val="24"/>
          <w:szCs w:val="24"/>
        </w:rPr>
        <w:t xml:space="preserve">Tjandrasuwita, M., Ekbote, C., Ziyin, L., &amp; Liang, P. P. (2025). Understanding the emergence of multimodal representation alignment. In </w:t>
      </w:r>
      <w:r>
        <w:rPr>
          <w:rFonts w:ascii="Times New Roman" w:cs="Times New Roman" w:eastAsia="Times New Roman" w:hAnsi="Times New Roman"/>
          <w:i/>
          <w:iCs/>
          <w:color w:val="000000"/>
          <w:sz w:val="24"/>
          <w:szCs w:val="24"/>
        </w:rPr>
        <w:t xml:space="preserve">Proceedings of the 42nd International Conference on Machine Learning</w:t>
      </w:r>
      <w:r>
        <w:rPr>
          <w:rFonts w:ascii="Times New Roman" w:cs="Times New Roman" w:eastAsia="Times New Roman" w:hAnsi="Times New Roman"/>
          <w:color w:val="000000"/>
          <w:sz w:val="24"/>
          <w:szCs w:val="24"/>
        </w:rPr>
        <w:t xml:space="preserve"> (Vol. 267, pp. 59723-59760). PMLR. https://arxiv.org/abs/2502.16282</w:t>
      </w:r>
    </w:p>
    <w:p>
      <w:pPr>
        <w:spacing w:after="0" w:before="0" w:line="480"/>
        <w:ind w:left="720" w:firstLine="720"/>
      </w:pPr>
      <w:r>
        <w:rPr>
          <w:rFonts w:ascii="Times New Roman" w:cs="Times New Roman" w:eastAsia="Times New Roman" w:hAnsi="Times New Roman"/>
          <w:color w:val="000000"/>
          <w:sz w:val="24"/>
          <w:szCs w:val="24"/>
        </w:rPr>
        <w:t xml:space="preserve">Tjandrasuwita et al. test the Platonic Representation Hypothesis, the claim that independently trained unimodal models grow more aligned as they scale and that higher alignment predicts better multimodal performance. Using controlled synthetic data and real vision-language benchmarks, they show that the maximum achievable alignment is limited by modality heterogeneity and by how much task-relevant information is unique to each modality. Alignment only predicts downstream performance when redundant information dominates, and when uniqueness is substantial, pushing for more alignment can hurt performance.</w:t>
      </w:r>
    </w:p>
    <w:p>
      <w:pPr>
        <w:spacing w:after="0" w:before="0" w:line="480"/>
        <w:ind w:left="720" w:firstLine="720"/>
      </w:pPr>
      <w:r>
        <w:rPr>
          <w:rFonts w:ascii="Times New Roman" w:cs="Times New Roman" w:eastAsia="Times New Roman" w:hAnsi="Times New Roman"/>
          <w:color w:val="000000"/>
          <w:sz w:val="24"/>
          <w:szCs w:val="24"/>
        </w:rPr>
        <w:t xml:space="preserve">This is a rigorous, peer-reviewed empirical study, although none of its experiments use biological data. Its framework (redundancy, uniqueness, and heterogeneity) transfers well to the central dogma, since RNA carries untranslated region and codon information that protein does not, and protein carries folding information that RNA does not.</w:t>
      </w:r>
    </w:p>
    <w:p>
      <w:pPr>
        <w:spacing w:after="0" w:before="0" w:line="480"/>
        <w:ind w:left="720" w:firstLine="720"/>
      </w:pPr>
      <w:r>
        <w:rPr>
          <w:rFonts w:ascii="Times New Roman" w:cs="Times New Roman" w:eastAsia="Times New Roman" w:hAnsi="Times New Roman"/>
          <w:color w:val="000000"/>
          <w:sz w:val="24"/>
          <w:szCs w:val="24"/>
        </w:rPr>
        <w:t xml:space="preserve">This paper provides the theoretical basis for my Stage 1 representation analysis. I adopted its alignment metrics (CKA and mutual k-nearest neighbors) and implemented its alignment-performance slope diagnostic on RNA and protein embeddings. My result, a slope near zero (Spearman r = -0.013, p = 0.83), matches the paper's prediction under high uniqueness and suggests that an explicit alignment loss is unlikely to help the Stage 2 fusion model.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2026-09-22T22:13:31.991Z</dcterms:created>
  <dcterms:modified xsi:type="dcterms:W3CDTF">2026-09-22T22:13:31.992Z</dcterms:modified>
</cp:coreProperties>
</file>

<file path=docProps/custom.xml><?xml version="1.0" encoding="utf-8"?>
<Properties xmlns="http://schemas.openxmlformats.org/officeDocument/2006/custom-properties" xmlns:vt="http://schemas.openxmlformats.org/officeDocument/2006/docPropsVTypes"/>
</file>