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6292" w:rsidRDefault="00647760">
      <w:pPr>
        <w:pStyle w:val="Title"/>
      </w:pPr>
      <w:r>
        <w:t>Next Steps: Focused Multimodal Experiments</w:t>
      </w:r>
    </w:p>
    <w:p w:rsidR="00856292" w:rsidRDefault="00647760">
      <w:pPr>
        <w:rPr>
          <w:rFonts w:hint="eastAsia"/>
        </w:rPr>
      </w:pPr>
      <w:r>
        <w:t xml:space="preserve">October 9, 2026 </w:t>
      </w:r>
      <w:r w:rsidR="00245AC5">
        <w:t>-Mina</w:t>
      </w:r>
    </w:p>
    <w:p w:rsidR="00856292" w:rsidRDefault="00647760">
      <w:pPr>
        <w:rPr>
          <w:rFonts w:hint="eastAsia"/>
        </w:rPr>
      </w:pPr>
      <w:r>
        <w:t>Objective. Test whether foundation models pretrained on different datasets, tokenizations and objectives learn complementary biological representations, and whether fusion improves downstream prediction over strong single-encoder baselines. Different representations do not by themselves prove independent biological input information.</w:t>
      </w:r>
    </w:p>
    <w:p w:rsidR="00856292" w:rsidRDefault="00647760">
      <w:pPr>
        <w:pStyle w:val="Heading1"/>
      </w:pPr>
      <w:r>
        <w:t>Scientific rationale: positional versus representational alignment</w:t>
      </w:r>
    </w:p>
    <w:p w:rsidR="00856292" w:rsidRDefault="00647760">
      <w:pPr>
        <w:rPr>
          <w:rFonts w:hint="eastAsia"/>
        </w:rPr>
      </w:pPr>
      <w:r>
        <w:rPr>
          <w:color w:val="245C8F"/>
          <w:sz w:val="16"/>
        </w:rPr>
        <w:t>Alignment reference: BioLangFusion methodology, https://arxiv.org/html/2506.08936v1 (codon-level resampling is positional alignment, not a representation-similarity objective).</w:t>
      </w:r>
    </w:p>
    <w:p w:rsidR="00856292" w:rsidRDefault="00647760">
      <w:pPr>
        <w:rPr>
          <w:rFonts w:hint="eastAsia"/>
        </w:rPr>
      </w:pPr>
      <w:r>
        <w:t>Positional alignment asks where tokens correspond biologically. Within a coding sequence, three DNA/RNA nucleotides correspond to one amino acid; BioLangFusion resamples encoder tokens onto a codon-level grid. This is a token-location operation, not evidence that the embeddings carry the same information. For UTRs there is no protein-residue counterpart; genomic regulatory windows and entire transcripts do not generally share one global codon grid.</w:t>
      </w:r>
    </w:p>
    <w:p w:rsidR="00856292" w:rsidRDefault="00647760">
      <w:pPr>
        <w:rPr>
          <w:rFonts w:hint="eastAsia"/>
        </w:rPr>
      </w:pPr>
      <w:r>
        <w:t>Representational alignment asks whether embeddings learned by different encoders organize or expose similar information. DNA, RNA and protein models differ in pretraining data, tokenization, architecture and objectives, so they may capture overlapping or complementary sequence patterns. CKA/CCA or retrieval can measure similarity, but low similarity alone does not prove useful complementarity; downstream prediction must test it.</w:t>
      </w:r>
    </w:p>
    <w:p w:rsidR="00856292" w:rsidRDefault="00647760">
      <w:pPr>
        <w:rPr>
          <w:rFonts w:hint="eastAsia"/>
        </w:rPr>
      </w:pPr>
      <w:r>
        <w:t>Implications for experiments. BioLangFusion: reproduce its published positional alignment exactly, then change encoders only while holding preprocessing, heads and splits fixed. Stability and mRFP: codon correspondence is defined within the CDS. Half-life and translation efficiency: align CDS-derived streams where possible, handle UTRs separately, and compare against full-transcript baselines. GTEx: use pooled or region-aware fusion when the chosen genomic window, transcript and protein lack global token-wise correspondence. LucaOne: benchmark jointly pretrained representations without assuming an explicit token-to-token alignment.</w:t>
      </w:r>
    </w:p>
    <w:p w:rsidR="00856292" w:rsidRDefault="00647760">
      <w:pPr>
        <w:rPr>
          <w:rFonts w:hint="eastAsia"/>
        </w:rPr>
      </w:pPr>
      <w:r>
        <w:t>Research hypothesis. Different pretrained encoders may make task-relevant information accessible in complementary ways, even when they process related sequences. Measure representational overlap separately from improvement over strong single-encoder and biological-feature baselines; do not force embedding similarity as a default fusion objective.</w:t>
      </w:r>
    </w:p>
    <w:p w:rsidR="00856292" w:rsidRDefault="00647760">
      <w:pPr>
        <w:pStyle w:val="Heading1"/>
      </w:pPr>
      <w:r>
        <w:t>1. Priority 1 — Reproduce BioLangFusion exactly, then swap encoders</w:t>
      </w:r>
    </w:p>
    <w:p w:rsidR="00856292" w:rsidRDefault="00647760">
      <w:pPr>
        <w:rPr>
          <w:rFonts w:hint="eastAsia"/>
        </w:rPr>
      </w:pPr>
      <w:r>
        <w:rPr>
          <w:color w:val="245C8F"/>
          <w:sz w:val="16"/>
        </w:rPr>
        <w:t>Paper: https://arxiv.org/abs/2506.08936 | Full methodology: https://arxiv.org/html/2506.08936v1 | Official code repository: not verified (implementation should follow paper and supplements).</w:t>
      </w:r>
    </w:p>
    <w:p w:rsidR="00856292" w:rsidRDefault="00647760">
      <w:pPr>
        <w:rPr>
          <w:rFonts w:hint="eastAsia"/>
        </w:rPr>
      </w:pPr>
      <w:r>
        <w:rPr>
          <w:color w:val="245C8F"/>
          <w:sz w:val="16"/>
        </w:rPr>
        <w:t>Required benchmarks: Fungal (Wint 2022), E. coli (Ding 2022), mRNA Stab. (Diez 2022), Ab1 (Yazdani 2024), CoV-Vac. Dataset descriptions and references: BioLangFusion paper, Sections 3 / References. Direct official downloadable dataset links were not individually verified; confirm availability before reproduction.</w:t>
      </w:r>
    </w:p>
    <w:p w:rsidR="00856292" w:rsidRDefault="00647760">
      <w:pPr>
        <w:rPr>
          <w:rFonts w:hint="eastAsia"/>
        </w:rPr>
      </w:pPr>
      <w:r>
        <w:t>Why: Establish a faithful published baseline before asking whether different pretrained DNA, RNA and protein encoders improve its performance. This is an implementation and performance comparison—not an expanded alignment-analysis project.</w:t>
      </w:r>
    </w:p>
    <w:p w:rsidR="00856292" w:rsidRDefault="00647760">
      <w:pPr>
        <w:rPr>
          <w:rFonts w:hint="eastAsia"/>
        </w:rPr>
      </w:pPr>
      <w:r>
        <w:t>Phase A — Faithful reproduction (no methodological changes). Implement the paper’s input preparation/codon resampling, original Nucleotide Transformer + RNA-FM + ESM-2 (8M), all three fusion methods (codon-aware concatenation, entropy-regularized MIL, cross-modal multi-head attention), and its TextCNN downstream head. Follow published splits, training recipe, hyperparameters, metrics and preprocessing as closely as possible. Record any unavailable implementation details as explicit deviations.</w:t>
      </w:r>
    </w:p>
    <w:p w:rsidR="00856292" w:rsidRDefault="00647760">
      <w:pPr>
        <w:rPr>
          <w:rFonts w:hint="eastAsia"/>
        </w:rPr>
      </w:pPr>
      <w:r>
        <w:t>Run every BioLangFusion benchmark (the four requested datasets plus CoV-Vac, the fifth in the paper):</w:t>
      </w:r>
    </w:p>
    <w:tbl>
      <w:tblPr>
        <w:tblStyle w:val="LightShading-Accent1"/>
        <w:tblW w:w="0" w:type="auto"/>
        <w:tblLook w:val="04A0" w:firstRow="1" w:lastRow="0" w:firstColumn="1" w:lastColumn="0" w:noHBand="0" w:noVBand="1"/>
      </w:tblPr>
      <w:tblGrid>
        <w:gridCol w:w="3293"/>
        <w:gridCol w:w="3293"/>
        <w:gridCol w:w="3293"/>
      </w:tblGrid>
      <w:tr w:rsidR="00856292" w:rsidTr="00856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rsidR="00856292" w:rsidRDefault="00647760">
            <w:pPr>
              <w:rPr>
                <w:rFonts w:hint="eastAsia"/>
              </w:rPr>
            </w:pPr>
            <w:r>
              <w:t>Dataset</w:t>
            </w:r>
          </w:p>
        </w:tc>
        <w:tc>
          <w:tcPr>
            <w:tcW w:w="3293" w:type="dxa"/>
          </w:tcPr>
          <w:p w:rsidR="00856292" w:rsidRDefault="00647760">
            <w:pPr>
              <w:cnfStyle w:val="100000000000" w:firstRow="1" w:lastRow="0" w:firstColumn="0" w:lastColumn="0" w:oddVBand="0" w:evenVBand="0" w:oddHBand="0" w:evenHBand="0" w:firstRowFirstColumn="0" w:firstRowLastColumn="0" w:lastRowFirstColumn="0" w:lastRowLastColumn="0"/>
              <w:rPr>
                <w:rFonts w:hint="eastAsia"/>
              </w:rPr>
            </w:pPr>
            <w:r>
              <w:t>Target / reported metric</w:t>
            </w:r>
          </w:p>
        </w:tc>
        <w:tc>
          <w:tcPr>
            <w:tcW w:w="3293" w:type="dxa"/>
          </w:tcPr>
          <w:p w:rsidR="00856292" w:rsidRDefault="00647760">
            <w:pPr>
              <w:cnfStyle w:val="100000000000" w:firstRow="1" w:lastRow="0" w:firstColumn="0" w:lastColumn="0" w:oddVBand="0" w:evenVBand="0" w:oddHBand="0" w:evenHBand="0" w:firstRowFirstColumn="0" w:firstRowLastColumn="0" w:lastRowFirstColumn="0" w:lastRowLastColumn="0"/>
              <w:rPr>
                <w:rFonts w:hint="eastAsia"/>
              </w:rPr>
            </w:pPr>
            <w:r>
              <w:t>Action</w:t>
            </w:r>
          </w:p>
        </w:tc>
      </w:tr>
      <w:tr w:rsidR="00856292" w:rsidTr="00856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rsidR="00856292" w:rsidRDefault="00647760">
            <w:pPr>
              <w:rPr>
                <w:rFonts w:hint="eastAsia"/>
              </w:rPr>
            </w:pPr>
            <w:r>
              <w:t>Fungal (Wint et al., 2022)</w:t>
            </w:r>
          </w:p>
        </w:tc>
        <w:tc>
          <w:tcPr>
            <w:tcW w:w="3293" w:type="dxa"/>
          </w:tcPr>
          <w:p w:rsidR="00856292" w:rsidRDefault="00647760">
            <w:pPr>
              <w:cnfStyle w:val="000000100000" w:firstRow="0" w:lastRow="0" w:firstColumn="0" w:lastColumn="0" w:oddVBand="0" w:evenVBand="0" w:oddHBand="1" w:evenHBand="0" w:firstRowFirstColumn="0" w:firstRowLastColumn="0" w:lastRowFirstColumn="0" w:lastRowLastColumn="0"/>
              <w:rPr>
                <w:rFonts w:hint="eastAsia"/>
              </w:rPr>
            </w:pPr>
            <w:r>
              <w:t>Fungal expression; Spearman correlation</w:t>
            </w:r>
          </w:p>
        </w:tc>
        <w:tc>
          <w:tcPr>
            <w:tcW w:w="3293" w:type="dxa"/>
          </w:tcPr>
          <w:p w:rsidR="00856292" w:rsidRDefault="00647760">
            <w:pPr>
              <w:cnfStyle w:val="000000100000" w:firstRow="0" w:lastRow="0" w:firstColumn="0" w:lastColumn="0" w:oddVBand="0" w:evenVBand="0" w:oddHBand="1" w:evenHBand="0" w:firstRowFirstColumn="0" w:firstRowLastColumn="0" w:lastRowFirstColumn="0" w:lastRowLastColumn="0"/>
              <w:rPr>
                <w:rFonts w:hint="eastAsia"/>
              </w:rPr>
            </w:pPr>
            <w:r>
              <w:t>Reproduce all 3 fusion heads + single encoders</w:t>
            </w:r>
          </w:p>
        </w:tc>
      </w:tr>
      <w:tr w:rsidR="00856292" w:rsidTr="00856292">
        <w:tc>
          <w:tcPr>
            <w:cnfStyle w:val="001000000000" w:firstRow="0" w:lastRow="0" w:firstColumn="1" w:lastColumn="0" w:oddVBand="0" w:evenVBand="0" w:oddHBand="0" w:evenHBand="0" w:firstRowFirstColumn="0" w:firstRowLastColumn="0" w:lastRowFirstColumn="0" w:lastRowLastColumn="0"/>
            <w:tcW w:w="3293" w:type="dxa"/>
          </w:tcPr>
          <w:p w:rsidR="00856292" w:rsidRDefault="00647760">
            <w:pPr>
              <w:rPr>
                <w:rFonts w:hint="eastAsia"/>
              </w:rPr>
            </w:pPr>
            <w:r>
              <w:t>E. coli (Ding et al., 2022)</w:t>
            </w:r>
          </w:p>
        </w:tc>
        <w:tc>
          <w:tcPr>
            <w:tcW w:w="3293" w:type="dxa"/>
          </w:tcPr>
          <w:p w:rsidR="00856292" w:rsidRDefault="00647760">
            <w:pPr>
              <w:cnfStyle w:val="000000000000" w:firstRow="0" w:lastRow="0" w:firstColumn="0" w:lastColumn="0" w:oddVBand="0" w:evenVBand="0" w:oddHBand="0" w:evenHBand="0" w:firstRowFirstColumn="0" w:firstRowLastColumn="0" w:lastRowFirstColumn="0" w:lastRowLastColumn="0"/>
              <w:rPr>
                <w:rFonts w:hint="eastAsia"/>
              </w:rPr>
            </w:pPr>
            <w:r>
              <w:t xml:space="preserve">Low / medium / high protein </w:t>
            </w:r>
            <w:r>
              <w:lastRenderedPageBreak/>
              <w:t>expression; classification accuracy</w:t>
            </w:r>
          </w:p>
        </w:tc>
        <w:tc>
          <w:tcPr>
            <w:tcW w:w="3293" w:type="dxa"/>
          </w:tcPr>
          <w:p w:rsidR="00856292" w:rsidRDefault="00647760">
            <w:pPr>
              <w:cnfStyle w:val="000000000000" w:firstRow="0" w:lastRow="0" w:firstColumn="0" w:lastColumn="0" w:oddVBand="0" w:evenVBand="0" w:oddHBand="0" w:evenHBand="0" w:firstRowFirstColumn="0" w:firstRowLastColumn="0" w:lastRowFirstColumn="0" w:lastRowLastColumn="0"/>
              <w:rPr>
                <w:rFonts w:hint="eastAsia"/>
              </w:rPr>
            </w:pPr>
            <w:r>
              <w:lastRenderedPageBreak/>
              <w:t>Same</w:t>
            </w:r>
          </w:p>
        </w:tc>
      </w:tr>
      <w:tr w:rsidR="00856292" w:rsidTr="00856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rsidR="00856292" w:rsidRDefault="00647760">
            <w:pPr>
              <w:rPr>
                <w:rFonts w:hint="eastAsia"/>
              </w:rPr>
            </w:pPr>
            <w:r>
              <w:t>mRNA Stab. (Diez et al., 2022)</w:t>
            </w:r>
          </w:p>
        </w:tc>
        <w:tc>
          <w:tcPr>
            <w:tcW w:w="3293" w:type="dxa"/>
          </w:tcPr>
          <w:p w:rsidR="00856292" w:rsidRDefault="00647760">
            <w:pPr>
              <w:cnfStyle w:val="000000100000" w:firstRow="0" w:lastRow="0" w:firstColumn="0" w:lastColumn="0" w:oddVBand="0" w:evenVBand="0" w:oddHBand="1" w:evenHBand="0" w:firstRowFirstColumn="0" w:firstRowLastColumn="0" w:lastRowFirstColumn="0" w:lastRowLastColumn="0"/>
              <w:rPr>
                <w:rFonts w:hint="eastAsia"/>
              </w:rPr>
            </w:pPr>
            <w:r>
              <w:t>Measured mRNA stability; Spearman correlation</w:t>
            </w:r>
          </w:p>
        </w:tc>
        <w:tc>
          <w:tcPr>
            <w:tcW w:w="3293" w:type="dxa"/>
          </w:tcPr>
          <w:p w:rsidR="00856292" w:rsidRDefault="00647760">
            <w:pPr>
              <w:cnfStyle w:val="000000100000" w:firstRow="0" w:lastRow="0" w:firstColumn="0" w:lastColumn="0" w:oddVBand="0" w:evenVBand="0" w:oddHBand="1" w:evenHBand="0" w:firstRowFirstColumn="0" w:firstRowLastColumn="0" w:lastRowFirstColumn="0" w:lastRowLastColumn="0"/>
              <w:rPr>
                <w:rFonts w:hint="eastAsia"/>
              </w:rPr>
            </w:pPr>
            <w:r>
              <w:t>Same</w:t>
            </w:r>
          </w:p>
        </w:tc>
      </w:tr>
      <w:tr w:rsidR="00856292" w:rsidTr="00856292">
        <w:tc>
          <w:tcPr>
            <w:cnfStyle w:val="001000000000" w:firstRow="0" w:lastRow="0" w:firstColumn="1" w:lastColumn="0" w:oddVBand="0" w:evenVBand="0" w:oddHBand="0" w:evenHBand="0" w:firstRowFirstColumn="0" w:firstRowLastColumn="0" w:lastRowFirstColumn="0" w:lastRowLastColumn="0"/>
            <w:tcW w:w="3293" w:type="dxa"/>
          </w:tcPr>
          <w:p w:rsidR="00856292" w:rsidRDefault="00647760">
            <w:pPr>
              <w:rPr>
                <w:rFonts w:hint="eastAsia"/>
              </w:rPr>
            </w:pPr>
            <w:r>
              <w:t>Ab1 (Yazdani et al., 2024)</w:t>
            </w:r>
          </w:p>
        </w:tc>
        <w:tc>
          <w:tcPr>
            <w:tcW w:w="3293" w:type="dxa"/>
          </w:tcPr>
          <w:p w:rsidR="00856292" w:rsidRDefault="00647760">
            <w:pPr>
              <w:cnfStyle w:val="000000000000" w:firstRow="0" w:lastRow="0" w:firstColumn="0" w:lastColumn="0" w:oddVBand="0" w:evenVBand="0" w:oddHBand="0" w:evenHBand="0" w:firstRowFirstColumn="0" w:firstRowLastColumn="0" w:lastRowFirstColumn="0" w:lastRowLastColumn="0"/>
              <w:rPr>
                <w:rFonts w:hint="eastAsia"/>
              </w:rPr>
            </w:pPr>
            <w:r>
              <w:t>Antibody-encoding mRNA protein expression; Spearman correlation</w:t>
            </w:r>
          </w:p>
        </w:tc>
        <w:tc>
          <w:tcPr>
            <w:tcW w:w="3293" w:type="dxa"/>
          </w:tcPr>
          <w:p w:rsidR="00856292" w:rsidRDefault="00647760">
            <w:pPr>
              <w:cnfStyle w:val="000000000000" w:firstRow="0" w:lastRow="0" w:firstColumn="0" w:lastColumn="0" w:oddVBand="0" w:evenVBand="0" w:oddHBand="0" w:evenHBand="0" w:firstRowFirstColumn="0" w:firstRowLastColumn="0" w:lastRowFirstColumn="0" w:lastRowLastColumn="0"/>
              <w:rPr>
                <w:rFonts w:hint="eastAsia"/>
              </w:rPr>
            </w:pPr>
            <w:r>
              <w:t>Same</w:t>
            </w:r>
          </w:p>
        </w:tc>
      </w:tr>
      <w:tr w:rsidR="00856292" w:rsidTr="00856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rsidR="00856292" w:rsidRDefault="00647760">
            <w:pPr>
              <w:rPr>
                <w:rFonts w:hint="eastAsia"/>
              </w:rPr>
            </w:pPr>
            <w:r>
              <w:t>CoV-Vac</w:t>
            </w:r>
          </w:p>
        </w:tc>
        <w:tc>
          <w:tcPr>
            <w:tcW w:w="3293" w:type="dxa"/>
          </w:tcPr>
          <w:p w:rsidR="00856292" w:rsidRDefault="00647760">
            <w:pPr>
              <w:cnfStyle w:val="000000100000" w:firstRow="0" w:lastRow="0" w:firstColumn="0" w:lastColumn="0" w:oddVBand="0" w:evenVBand="0" w:oddHBand="1" w:evenHBand="0" w:firstRowFirstColumn="0" w:firstRowLastColumn="0" w:lastRowFirstColumn="0" w:lastRowLastColumn="0"/>
              <w:rPr>
                <w:rFonts w:hint="eastAsia"/>
              </w:rPr>
            </w:pPr>
            <w:r>
              <w:t>mRNA degradation; Spearman correlation</w:t>
            </w:r>
          </w:p>
        </w:tc>
        <w:tc>
          <w:tcPr>
            <w:tcW w:w="3293" w:type="dxa"/>
          </w:tcPr>
          <w:p w:rsidR="00856292" w:rsidRDefault="00647760">
            <w:pPr>
              <w:cnfStyle w:val="000000100000" w:firstRow="0" w:lastRow="0" w:firstColumn="0" w:lastColumn="0" w:oddVBand="0" w:evenVBand="0" w:oddHBand="1" w:evenHBand="0" w:firstRowFirstColumn="0" w:firstRowLastColumn="0" w:lastRowFirstColumn="0" w:lastRowLastColumn="0"/>
              <w:rPr>
                <w:rFonts w:hint="eastAsia"/>
              </w:rPr>
            </w:pPr>
            <w:r>
              <w:t>Include for complete paper reproduction</w:t>
            </w:r>
          </w:p>
        </w:tc>
      </w:tr>
    </w:tbl>
    <w:p w:rsidR="00856292" w:rsidRDefault="00647760">
      <w:pPr>
        <w:rPr>
          <w:rFonts w:hint="eastAsia"/>
        </w:rPr>
      </w:pPr>
      <w:r>
        <w:t>Phase B — Change encoders only. Keep BioLangFusion’s dataset splits, preprocessing, fusion methods, TextCNN and evaluation fixed. Replace one encoder at a time, then test promising DNA–RNA–protein triples. Candidates from our Stage 1 include CaLM / other suitable codon models, mRNA-FM, ProtBERT and alternative DNA encoders. Only use a model where input coverage and token-to-codon handling are valid; document any necessary adapter, holding its design fixed across comparisons.</w:t>
      </w:r>
    </w:p>
    <w:p w:rsidR="00856292" w:rsidRDefault="00647760">
      <w:pPr>
        <w:rPr>
          <w:rFonts w:hint="eastAsia"/>
        </w:rPr>
      </w:pPr>
      <w:r>
        <w:t>For every dataset, report: published score; reproduced original-encoder score; best single encoder under the same head/protocol; each original fusion head; each encoder-swap fusion score; and gain over the best corresponding single encoder. Use reported metrics (Spearman or classification accuracy), mean ± spread across seeds, and paired differences. Make the original vs replacement comparison with identical samples and splits.</w:t>
      </w:r>
    </w:p>
    <w:p w:rsidR="00856292" w:rsidRDefault="00647760">
      <w:pPr>
        <w:rPr>
          <w:rFonts w:hint="eastAsia"/>
        </w:rPr>
      </w:pPr>
      <w:r>
        <w:t>Success criterion: At least one encoder swap improves reproducible test performance under the same BioLangFusion architecture. A negative result is still informative: the original encoders may already be strong or alternatives may not transfer under the fixed head. Do not attribute any improvement uniquely to tokenizer or pretraining corpus without separate controlled ablations.</w:t>
      </w:r>
    </w:p>
    <w:p w:rsidR="00856292" w:rsidRDefault="00647760">
      <w:pPr>
        <w:pStyle w:val="Heading1"/>
      </w:pPr>
      <w:r>
        <w:t>2. Priority 2 — LucaOne, jointly pretrained baseline</w:t>
      </w:r>
    </w:p>
    <w:p w:rsidR="00856292" w:rsidRDefault="00647760">
      <w:pPr>
        <w:rPr>
          <w:rFonts w:hint="eastAsia"/>
        </w:rPr>
      </w:pPr>
      <w:r>
        <w:rPr>
          <w:color w:val="245C8F"/>
          <w:sz w:val="16"/>
        </w:rPr>
        <w:t>Paper: https://doi.org/10.1038/s42256-025-01044-4 | GitHub (model): https://github.com/LucaOne/LucaOne | Embedding inference: https://github.com/LucaOne/LucaOneApp | Hugging Face: https://huggingface.co/collections/LucaGroup/lucaone | Released materials: https://doi.org/10.5281/zenodo.15171943</w:t>
      </w:r>
    </w:p>
    <w:p w:rsidR="00856292" w:rsidRDefault="00647760">
      <w:pPr>
        <w:rPr>
          <w:rFonts w:hint="eastAsia"/>
        </w:rPr>
      </w:pPr>
      <w:r>
        <w:t>Why: Check whether a single jointly pretrained biological foundation model provides a stronger representation than separately pretrained encoders and their fusion. This is a comparison of tested frozen configurations, not proof that joint modeling is universally better or worse.</w:t>
      </w:r>
    </w:p>
    <w:p w:rsidR="00856292" w:rsidRDefault="00647760">
      <w:pPr>
        <w:pStyle w:val="ListBullet"/>
        <w:rPr>
          <w:rFonts w:hint="eastAsia"/>
        </w:rPr>
      </w:pPr>
      <w:r>
        <w:t>Extract LucaOne embeddings on compatible stability and GTEx examples; verify input limits and supported sequence types before running. Use the same train/test folds and prediction head or clearly matched probe setting.</w:t>
      </w:r>
    </w:p>
    <w:p w:rsidR="00856292" w:rsidRDefault="00647760">
      <w:pPr>
        <w:pStyle w:val="ListBullet"/>
        <w:rPr>
          <w:rFonts w:hint="eastAsia"/>
        </w:rPr>
      </w:pPr>
      <w:r>
        <w:t>Compare LucaOne alone to the best single encoder and best fused models. Report computational cost and input truncation; distinguish separately embedded inputs from actual joint triplet inference.</w:t>
      </w:r>
    </w:p>
    <w:p w:rsidR="00856292" w:rsidRDefault="00647760">
      <w:pPr>
        <w:pStyle w:val="Heading1"/>
      </w:pPr>
      <w:r>
        <w:t>3. Priority 3 — Full-transcript half-life (mRNABench)</w:t>
      </w:r>
    </w:p>
    <w:p w:rsidR="00856292" w:rsidRDefault="00647760">
      <w:pPr>
        <w:rPr>
          <w:rFonts w:hint="eastAsia"/>
        </w:rPr>
      </w:pPr>
      <w:r>
        <w:rPr>
          <w:color w:val="245C8F"/>
          <w:sz w:val="16"/>
        </w:rPr>
        <w:t>Paper: https://doi.org/10.1101/2025.07.05.662870 | GitHub: https://github.com/morrislab/mRNABench | HF datasets: https://huggingface.co/collections/morrislab/mrnabench | Identifiers: rnahl-human, rnahl-mouse (see repository dataset catalog).</w:t>
      </w:r>
    </w:p>
    <w:p w:rsidR="00856292" w:rsidRDefault="00647760">
      <w:pPr>
        <w:rPr>
          <w:rFonts w:hint="eastAsia"/>
        </w:rPr>
      </w:pPr>
      <w:r>
        <w:t>Why: The existing stability file covers coding sequence, omitting regulatory regions that may contribute to mRNA stability. Test whether richer transcript context changes performance and fusion gains.</w:t>
      </w:r>
    </w:p>
    <w:p w:rsidR="00856292" w:rsidRDefault="00647760">
      <w:pPr>
        <w:pStyle w:val="ListBullet"/>
        <w:rPr>
          <w:rFonts w:hint="eastAsia"/>
        </w:rPr>
      </w:pPr>
      <w:r>
        <w:t>Feasibility gate: Verify sequences include 5′/3′ UTRs, CDS coordinates, labels, species and non-leaking train/test groups. If transcript regions are absent, do not treat it as a full-transcript test.</w:t>
      </w:r>
    </w:p>
    <w:p w:rsidR="00856292" w:rsidRDefault="00647760">
      <w:pPr>
        <w:pStyle w:val="ListBullet"/>
        <w:rPr>
          <w:rFonts w:hint="eastAsia"/>
        </w:rPr>
      </w:pPr>
      <w:r>
        <w:t>Compare CDS-only, CDS + 3′ UTR, and full transcript encodings; add protein-derived representations for the same coding region. Use matched samples/folds; report best unimodal, fusion and simple length/composition baselines.</w:t>
      </w:r>
    </w:p>
    <w:p w:rsidR="00856292" w:rsidRDefault="00647760">
      <w:pPr>
        <w:pStyle w:val="ListBullet"/>
        <w:rPr>
          <w:rFonts w:hint="eastAsia"/>
        </w:rPr>
      </w:pPr>
      <w:r>
        <w:t>Conclusion: Quantify the incremental predictive value of transcript regions and representation fusion; do not claim separate molecular measurements from sequence-derived inputs.</w:t>
      </w:r>
    </w:p>
    <w:p w:rsidR="00856292" w:rsidRDefault="00647760">
      <w:pPr>
        <w:rPr>
          <w:rFonts w:hint="eastAsia"/>
        </w:rPr>
      </w:pPr>
      <w:r>
        <w:rPr>
          <w:b/>
        </w:rPr>
        <w:t>Datasets (keep labels distinct):</w:t>
      </w:r>
      <w:r>
        <w:t xml:space="preserve"> RNA Half Life = mRNABench Saluki human and mouse transcript half-life prediction; LBKWK half-life = the half-life target in the synthetic mRNA MRL/half-life dataset. Neither is MRL Sugimoto, which measures mean ribosome load, not RNA half-life. Test each target separately using its own published split and metric.</w:t>
      </w:r>
    </w:p>
    <w:p w:rsidR="00856292" w:rsidRDefault="00647760">
      <w:pPr>
        <w:rPr>
          <w:rFonts w:hint="eastAsia"/>
        </w:rPr>
      </w:pPr>
      <w:r>
        <w:lastRenderedPageBreak/>
        <w:t>Data: Human RNA half-life https://huggingface.co/datasets/morrislab/rnahl-saluki-human | Mouse https://huggingface.co/datasets/morrislab/rnahl-saluki-mouse | LBKWK dual-target data https://huggingface.co/datasets/morrislab/mrl-hl-lbkwk</w:t>
      </w:r>
    </w:p>
    <w:p w:rsidR="00856292" w:rsidRDefault="00647760">
      <w:pPr>
        <w:pStyle w:val="Heading1"/>
      </w:pPr>
      <w:r>
        <w:t>4. Priority 4 — Translation efficiency (mRNABench / RiboNN-compatible tasks)</w:t>
      </w:r>
    </w:p>
    <w:p w:rsidR="00856292" w:rsidRDefault="00647760">
      <w:pPr>
        <w:rPr>
          <w:rFonts w:hint="eastAsia"/>
        </w:rPr>
      </w:pPr>
      <w:r>
        <w:rPr>
          <w:color w:val="245C8F"/>
          <w:sz w:val="16"/>
        </w:rPr>
        <w:t>mRNABench paper: https://doi.org/10.1101/2025.07.05.662870 | Benchmark code: https://github.com/morrislab/mRNABench | HF data: https://huggingface.co/collections/morrislab/mrnabench | Dataset IDs: translation-efficiency-human, translation-efficiency-mouse. RiboNN code: https://github.com/Sanofi-Public/RiboNN | Released weights: https://zenodo.org/records/17258709</w:t>
      </w:r>
    </w:p>
    <w:p w:rsidR="00856292" w:rsidRDefault="00647760">
      <w:pPr>
        <w:rPr>
          <w:rFonts w:hint="eastAsia"/>
        </w:rPr>
      </w:pPr>
      <w:r>
        <w:t>Why: Initiation and elongation depend on different sequence features; it is a useful task to test whether RNA-, codon- and protein-derived representations are complementary.</w:t>
      </w:r>
    </w:p>
    <w:p w:rsidR="00856292" w:rsidRDefault="00647760">
      <w:pPr>
        <w:pStyle w:val="ListBullet"/>
        <w:rPr>
          <w:rFonts w:hint="eastAsia"/>
        </w:rPr>
      </w:pPr>
      <w:r>
        <w:t>Gate: Confirm the measured target (TE or mean ribosome load), full transcript/UTR/CDS availability, experimental context and valid grouped splits. Do not conflate TE with protein abundance.</w:t>
      </w:r>
    </w:p>
    <w:p w:rsidR="00856292" w:rsidRDefault="00647760">
      <w:pPr>
        <w:pStyle w:val="ListBullet"/>
        <w:rPr>
          <w:rFonts w:hint="eastAsia"/>
        </w:rPr>
      </w:pPr>
      <w:r>
        <w:t>Compare 5′ UTR, CDS, full transcript, full transcript + protein representation, and the three-encoder fusion; use a published sequence-level TE predictor (e.g., RiboNN where task-compatible) as an external benchmark.</w:t>
      </w:r>
    </w:p>
    <w:p w:rsidR="00856292" w:rsidRDefault="00647760">
      <w:pPr>
        <w:pStyle w:val="ListBullet"/>
        <w:rPr>
          <w:rFonts w:hint="eastAsia"/>
        </w:rPr>
      </w:pPr>
      <w:r>
        <w:t>Report incremental gain over the best full-transcript baseline, not merely over weak regional inputs.</w:t>
      </w:r>
    </w:p>
    <w:p w:rsidR="00856292" w:rsidRDefault="00647760">
      <w:pPr>
        <w:rPr>
          <w:rFonts w:hint="eastAsia"/>
        </w:rPr>
      </w:pPr>
      <w:r>
        <w:rPr>
          <w:b/>
        </w:rPr>
        <w:t>Datasets (separate prediction targets):</w:t>
      </w:r>
      <w:r>
        <w:t xml:space="preserve"> MRL Sugimoto predicts mean ribosome load for endogenous transcript isoforms, NOT RNA half-life; MRL-HL LBKWK includes an MRL target for synthetic mRNAs and a separate half-life target; human/mouse translation-efficiency datasets measure TE and should not be relabeled as MRL. Run the MRL and TE targets separately and respect their original evaluation protocols.</w:t>
      </w:r>
    </w:p>
    <w:p w:rsidR="00856292" w:rsidRDefault="00647760">
      <w:pPr>
        <w:rPr>
          <w:rFonts w:hint="eastAsia"/>
        </w:rPr>
      </w:pPr>
      <w:r>
        <w:t>Data: MRL Sugimoto https://huggingface.co/datasets/morrislab/mrl-sugimoto | MRL + half-life LBKWK https://huggingface.co/datasets/morrislab/mrl-hl-lbkwk | Benchmark catalog https://github.com/morrislab/mRNABench</w:t>
      </w:r>
    </w:p>
    <w:p w:rsidR="00856292" w:rsidRDefault="00647760">
      <w:pPr>
        <w:rPr>
          <w:rFonts w:hint="eastAsia"/>
        </w:rPr>
      </w:pPr>
      <w:r>
        <w:rPr>
          <w:b/>
        </w:rPr>
        <w:t>Motivation/source:</w:t>
      </w:r>
      <w:r>
        <w:t xml:space="preserve"> MIMIC (Golkar et al., 2026) illustrates multimodal conditioning and evaluates related mRNABench tasks. Its results motivate these benchmarks but do not prove that fusion of separately pretrained encoders will improve them. Paper https://arxiv.org/abs/2604.24506 | GitHub https://github.com/PolymathicAI/MIMIC | Hugging Face model https://huggingface.co/polymathic-ai/MIMIC | Example multimodal data https://huggingface.co/datasets/polymathic-ai/LORE-examples</w:t>
      </w:r>
    </w:p>
    <w:p w:rsidR="00856292" w:rsidRDefault="00647760">
      <w:pPr>
        <w:rPr>
          <w:rFonts w:hint="eastAsia"/>
        </w:rPr>
      </w:pPr>
      <w:r>
        <w:rPr>
          <w:b/>
        </w:rPr>
        <w:t>Fusion benefit (each task and metric separately):</w:t>
      </w:r>
      <w:r>
        <w:t xml:space="preserve"> Δfusion = Perf(fused encoders) − max[Perf(best single RNA encoder), Perf(best single protein encoder)] for a two-modality comparison. Perf means the held-out predictive evaluation score, such as Pearson/Spearman correlation or R² for regression (higher is better). For error metrics such as MSE or MAE, reverse the sign or transform the metric first. For DNA–RNA–protein fusion, compare against the best of all three single encoders. Use the same held-out test examples, metric, splits, and prediction protocol; report confidence intervals. A positive Δfusion establishes incremental predictive benefit under that protocol, not independent biological information.</w:t>
      </w:r>
    </w:p>
    <w:p w:rsidR="00856292" w:rsidRDefault="00647760">
      <w:pPr>
        <w:pStyle w:val="Heading1"/>
      </w:pPr>
      <w:r>
        <w:t>5. Low-cost control — mRFP synonymous expression</w:t>
      </w:r>
    </w:p>
    <w:p w:rsidR="00856292" w:rsidRDefault="00647760">
      <w:pPr>
        <w:rPr>
          <w:rFonts w:hint="eastAsia"/>
        </w:rPr>
      </w:pPr>
      <w:r>
        <w:rPr>
          <w:color w:val="245C8F"/>
          <w:sz w:val="16"/>
        </w:rPr>
        <w:t>mRFP: existing local project file mRFP_Expression.csv and cached embeddings (external source not verified). Cambray follow-up: Nikolados et al. code/data https://zenodo.org/records/7273952 | Paper details and associated data: https://doi.org/10.5281/zenodo.7273952</w:t>
      </w:r>
    </w:p>
    <w:p w:rsidR="00856292" w:rsidRDefault="00647760">
      <w:pPr>
        <w:rPr>
          <w:rFonts w:hint="eastAsia"/>
        </w:rPr>
      </w:pPr>
      <w:r>
        <w:t>Why: Within a fixed amino-acid sequence, nucleotide embeddings vary while deterministic protein embeddings do not; test whether nucleotide-specific variation predicts expression.</w:t>
      </w:r>
    </w:p>
    <w:p w:rsidR="00856292" w:rsidRDefault="00647760">
      <w:pPr>
        <w:pStyle w:val="ListBullet"/>
        <w:rPr>
          <w:rFonts w:hint="eastAsia"/>
        </w:rPr>
      </w:pPr>
      <w:r>
        <w:t>Use cached mRFP embeddings and labels. Compare nucleotide encoders with GC3, codon-use features and relevant structure proxies; protein-only is an invariant negative control.</w:t>
      </w:r>
    </w:p>
    <w:p w:rsidR="00856292" w:rsidRDefault="00647760">
      <w:pPr>
        <w:pStyle w:val="ListBullet"/>
        <w:rPr>
          <w:rFonts w:hint="eastAsia"/>
        </w:rPr>
      </w:pPr>
      <w:r>
        <w:t>This tests representation specificity, NOT a requirement for multimodal fusion. Consider Cambray only if this pilot gives a useful result and suitable synonymous controls are available.</w:t>
      </w:r>
    </w:p>
    <w:p w:rsidR="00856292" w:rsidRDefault="00647760">
      <w:pPr>
        <w:pStyle w:val="Heading1"/>
      </w:pPr>
      <w:r>
        <w:t>6. Optional extension — RNA and protein structure representations</w:t>
      </w:r>
    </w:p>
    <w:p w:rsidR="00856292" w:rsidRDefault="00647760">
      <w:pPr>
        <w:rPr>
          <w:rFonts w:hint="eastAsia"/>
        </w:rPr>
      </w:pPr>
      <w:r>
        <w:rPr>
          <w:b/>
        </w:rPr>
        <w:t>Protein resources:</w:t>
      </w:r>
      <w:r>
        <w:t xml:space="preserve"> </w:t>
      </w:r>
      <w:hyperlink r:id="rId8">
        <w:r>
          <w:rPr>
            <w:color w:val="1A65AD"/>
            <w:u w:val="single"/>
          </w:rPr>
          <w:t>AlphaFold DB</w:t>
        </w:r>
      </w:hyperlink>
      <w:r>
        <w:t xml:space="preserve"> | </w:t>
      </w:r>
      <w:hyperlink r:id="rId9">
        <w:r>
          <w:rPr>
            <w:color w:val="1A65AD"/>
            <w:u w:val="single"/>
          </w:rPr>
          <w:t>AlphaFold</w:t>
        </w:r>
      </w:hyperlink>
      <w:r>
        <w:t xml:space="preserve"> | </w:t>
      </w:r>
      <w:hyperlink r:id="rId10">
        <w:r>
          <w:rPr>
            <w:color w:val="1A65AD"/>
            <w:u w:val="single"/>
          </w:rPr>
          <w:t>ESMFold</w:t>
        </w:r>
      </w:hyperlink>
    </w:p>
    <w:p w:rsidR="00856292" w:rsidRDefault="00647760">
      <w:pPr>
        <w:rPr>
          <w:rFonts w:hint="eastAsia"/>
        </w:rPr>
      </w:pPr>
      <w:r>
        <w:rPr>
          <w:b/>
        </w:rPr>
        <w:lastRenderedPageBreak/>
        <w:t xml:space="preserve">Protein experiment. </w:t>
      </w:r>
      <w:r>
        <w:t>On a protein structure-relevant task, compare sequence-only, sequence + ESMFold (single-sequence), and sequence + AlphaFold2 (MSA-informed) structural features. Control for MSA input, model confidence, and model differences; structure-based gains do not alone establish independent information.</w:t>
      </w:r>
    </w:p>
    <w:p w:rsidR="00856292" w:rsidRDefault="00647760">
      <w:pPr>
        <w:rPr>
          <w:rFonts w:hint="eastAsia"/>
        </w:rPr>
      </w:pPr>
      <w:r>
        <w:rPr>
          <w:b/>
        </w:rPr>
        <w:t>RNA resources:</w:t>
      </w:r>
      <w:r>
        <w:t xml:space="preserve"> </w:t>
      </w:r>
      <w:hyperlink r:id="rId11">
        <w:r>
          <w:rPr>
            <w:color w:val="1A65AD"/>
            <w:u w:val="single"/>
          </w:rPr>
          <w:t>ViennaRNA / RNAfold</w:t>
        </w:r>
      </w:hyperlink>
      <w:r>
        <w:t xml:space="preserve"> | </w:t>
      </w:r>
      <w:hyperlink r:id="rId12">
        <w:r>
          <w:rPr>
            <w:color w:val="1A65AD"/>
            <w:u w:val="single"/>
          </w:rPr>
          <w:t>EternaFold</w:t>
        </w:r>
      </w:hyperlink>
      <w:r>
        <w:t xml:space="preserve"> | </w:t>
      </w:r>
      <w:hyperlink r:id="rId13">
        <w:r>
          <w:rPr>
            <w:color w:val="1A65AD"/>
            <w:u w:val="single"/>
          </w:rPr>
          <w:t>MXfold2</w:t>
        </w:r>
      </w:hyperlink>
    </w:p>
    <w:p w:rsidR="00856292" w:rsidRDefault="00647760">
      <w:pPr>
        <w:rPr>
          <w:rFonts w:hint="eastAsia"/>
        </w:rPr>
      </w:pPr>
      <w:r>
        <w:rPr>
          <w:b/>
        </w:rPr>
        <w:t xml:space="preserve">RNA experiment. </w:t>
      </w:r>
      <w:r>
        <w:t>On mRNA half-life or translation-efficiency tasks, compare RNA sequence embeddings alone versus sequence + predicted secondary-structure features (paired/unpaired state, base-pair probabilities, or accessibility). Compare a thermodynamic baseline (RNAfold) with learned/parameter-trained alternatives (EternaFold or MXfold2), using identical sequence regions and splits. Where available, experimentally probed structures provide a stronger independent-information control.</w:t>
      </w:r>
    </w:p>
    <w:p w:rsidR="00856292" w:rsidRDefault="00647760">
      <w:pPr>
        <w:rPr>
          <w:rFonts w:hint="eastAsia"/>
        </w:rPr>
      </w:pPr>
      <w:r>
        <w:rPr>
          <w:b/>
        </w:rPr>
        <w:t xml:space="preserve">Decision. </w:t>
      </w:r>
      <w:r>
        <w:t>Run after core benchmarks; prioritize tasks where RNA or protein structure plausibly affects the target. Report gains over sequence-only and simple structure-feature baselines. Do not reject either structural representation based solely on a negative GTEx expression result.</w:t>
      </w:r>
    </w:p>
    <w:p w:rsidR="00856292" w:rsidRDefault="00647760">
      <w:pPr>
        <w:pStyle w:val="Heading1"/>
      </w:pPr>
      <w:r>
        <w:t xml:space="preserve">7. Exploratory direction — Multi-teacher, modality-specific </w:t>
      </w:r>
      <w:r w:rsidRPr="000C2F77">
        <w:rPr>
          <w:highlight w:val="yellow"/>
        </w:rPr>
        <w:t>distillation</w:t>
      </w:r>
      <w:r w:rsidR="000C2F77" w:rsidRPr="000C2F77">
        <w:rPr>
          <w:highlight w:val="yellow"/>
        </w:rPr>
        <w:t xml:space="preserve"> (Julian and </w:t>
      </w:r>
      <w:r w:rsidR="000C2F77">
        <w:rPr>
          <w:highlight w:val="yellow"/>
        </w:rPr>
        <w:t>C</w:t>
      </w:r>
      <w:r w:rsidR="000C2F77" w:rsidRPr="000C2F77">
        <w:rPr>
          <w:highlight w:val="yellow"/>
        </w:rPr>
        <w:t>hase, you can think about until the next meeting</w:t>
      </w:r>
      <w:r w:rsidR="005600C7">
        <w:rPr>
          <w:highlight w:val="yellow"/>
        </w:rPr>
        <w:t>,</w:t>
      </w:r>
      <w:r w:rsidR="000C2F77" w:rsidRPr="000C2F77">
        <w:rPr>
          <w:highlight w:val="yellow"/>
        </w:rPr>
        <w:t xml:space="preserve"> but do not need implement it now)</w:t>
      </w:r>
    </w:p>
    <w:p w:rsidR="00856292" w:rsidRDefault="00647760">
      <w:pPr>
        <w:rPr>
          <w:rFonts w:hint="eastAsia"/>
        </w:rPr>
      </w:pPr>
      <w:r>
        <w:t>Idea. Distill 5 RNA, 6 DNA and 4 protein pretrained encoders into three compact students (one per modality), then fuse the three student representations. Different teacher training corpora, tokenizers and objectives may expose complementary features; distillation may preserve useful diversity at lower inference cost. This is a new hypothesis, not an established result.</w:t>
      </w:r>
    </w:p>
    <w:p w:rsidR="00856292" w:rsidRDefault="00647760">
      <w:pPr>
        <w:rPr>
          <w:rFonts w:hint="eastAsia"/>
        </w:rPr>
      </w:pPr>
      <w:r>
        <w:t>Step 1 — Distill within each modality. Freeze the teacher encoders. Extract embeddings on unlabeled training sequences and train the corresponding student to reproduce each teacher through a separate learned projection, since teacher dimensions and tokenizations differ. Use pooled sequence representations initially; only add token-level/region-aware distillation where biologically justified.</w:t>
      </w:r>
    </w:p>
    <w:p w:rsidR="00856292" w:rsidRDefault="00647760">
      <w:pPr>
        <w:rPr>
          <w:rFonts w:hint="eastAsia"/>
        </w:rPr>
      </w:pPr>
      <w:r>
        <w:t>Selected method: teacher-specific relational distillation (defined in Section 7.1). Each student shares an encoder across its teachers but uses a separate trainable projection for each teacher. This replaces direct feature-vector matching.</w:t>
      </w:r>
    </w:p>
    <w:p w:rsidR="00856292" w:rsidRDefault="00647760">
      <w:pPr>
        <w:rPr>
          <w:rFonts w:hint="eastAsia"/>
        </w:rPr>
      </w:pPr>
      <w:r>
        <w:t>Step 2 — Fuse the three students. Evaluate DNA-only, RNA-only and protein-only students; the three-student concatenation + matched prediction head; and the strongest individual teacher, within-modality teacher ensemble and full teacher-embedding fusion. First train students on training-only data, then train the fusion predictor; optionally compare joint task fine-tuning with supervised task loss + weighted distillation regularization.</w:t>
      </w:r>
    </w:p>
    <w:p w:rsidR="00856292" w:rsidRDefault="00647760">
      <w:pPr>
        <w:rPr>
          <w:rFonts w:hint="eastAsia"/>
        </w:rPr>
      </w:pPr>
      <w:r>
        <w:t>Loss versus evaluation. Δfusion = Perf(student fusion) − max{Perf(DNA student), Perf(RNA student), Perf(protein student)} is a held-out evaluation measure, NOT the default training loss. Perf is a higher-is-better task metric (Spearman/Pearson/R² or accuracy, as appropriate). A test-set maximum or correlation is not a suitable direct backpropagation objective. For task training use differentiable loss such as MSE (regression) or cross-entropy (classification), optionally Ltotal = Ltask + λ Σm Ldistill,m; choose λ using validation data.</w:t>
      </w:r>
    </w:p>
    <w:p w:rsidR="00856292" w:rsidRDefault="00647760">
      <w:pPr>
        <w:rPr>
          <w:rFonts w:hint="eastAsia"/>
        </w:rPr>
      </w:pPr>
      <w:r>
        <w:t>Why and success criteria. Test whether multi-teacher distillation retains or improves downstream predictive value versus similarly sized single-teacher students, while cutting parameters, memory and runtime. Positive Δfusion shows benefit over the best student alone; separately measure performance relative to full teacher fusion, since a positive gain does not prove students preserved all teacher knowledge.</w:t>
      </w:r>
    </w:p>
    <w:p w:rsidR="00856292" w:rsidRDefault="00647760">
      <w:pPr>
        <w:rPr>
          <w:rFonts w:hint="eastAsia"/>
        </w:rPr>
      </w:pPr>
      <w:r>
        <w:t>Evaluation safeguards. Keep teacher/student input information matched for each modality, prevent train/test or homolog leakage during distillation, and use identical held-out splits and model-capacity controls across comparisons. Distillation is optional and follows the core BioLangFusion reproduction and encoder-swap experiments.</w:t>
      </w:r>
    </w:p>
    <w:p w:rsidR="00856292" w:rsidRDefault="00647760">
      <w:pPr>
        <w:pStyle w:val="Heading2"/>
      </w:pPr>
      <w:r>
        <w:rPr>
          <w:b w:val="0"/>
        </w:rPr>
        <w:t>7.1 Chosen objective: teacher-specific relational distillation</w:t>
      </w:r>
    </w:p>
    <w:p w:rsidR="00856292" w:rsidRDefault="00647760">
      <w:pPr>
        <w:rPr>
          <w:rFonts w:hint="eastAsia"/>
        </w:rPr>
      </w:pPr>
      <w:r>
        <w:t>Decision. Use teacher-specific student projection heads so that one compact student can learn several teacher-specific notions of similarity. This is a candidate research objective, not a proven optimal loss. Compare it against single-teacher distillation and equal-capacity alternatives.</w:t>
      </w:r>
    </w:p>
    <w:p w:rsidR="00856292" w:rsidRDefault="00647760">
      <w:pPr>
        <w:pStyle w:val="Heading3"/>
      </w:pPr>
      <w:r>
        <w:rPr>
          <w:b w:val="0"/>
        </w:rPr>
        <w:t>Definitions (one modality at a time)</w:t>
      </w:r>
    </w:p>
    <w:p w:rsidR="00856292" w:rsidRDefault="00647760">
      <w:pPr>
        <w:rPr>
          <w:rFonts w:hint="eastAsia"/>
        </w:rPr>
      </w:pPr>
      <w:r>
        <w:rPr>
          <w:b/>
          <w:bCs/>
        </w:rPr>
        <w:t>Modality and number of teachers</w:t>
      </w:r>
    </w:p>
    <w:p w:rsidR="00856292" w:rsidRDefault="00647760">
      <w:pPr>
        <w:pStyle w:val="BodyText"/>
        <w:rPr>
          <w:rFonts w:hint="eastAsia"/>
        </w:rPr>
      </w:pPr>
      <m:oMathPara>
        <m:oMathParaPr>
          <m:jc m:val="center"/>
        </m:oMathParaPr>
        <m:oMath>
          <m:r>
            <w:rPr>
              <w:rFonts w:ascii="Cambria Math" w:hAnsi="Cambria Math"/>
            </w:rPr>
            <w:lastRenderedPageBreak/>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4</m:t>
          </m:r>
          <m:r>
            <m:rPr>
              <m:sty m:val="p"/>
            </m:rPr>
            <w:rPr>
              <w:rFonts w:ascii="Cambria Math" w:hAnsi="Cambria Math"/>
            </w:rPr>
            <m:t>.</m:t>
          </m:r>
        </m:oMath>
      </m:oMathPara>
    </w:p>
    <w:p w:rsidR="00856292" w:rsidRDefault="00647760">
      <w:pPr>
        <w:rPr>
          <w:rFonts w:hint="eastAsia"/>
        </w:rPr>
      </w:pPr>
      <w:r>
        <w:t xml:space="preserve">Here, </w:t>
      </w:r>
      <m:oMath>
        <m:r>
          <w:rPr>
            <w:rFonts w:ascii="Cambria Math" w:hAnsi="Cambria Math"/>
          </w:rPr>
          <m:t>D</m:t>
        </m:r>
      </m:oMath>
      <w:r>
        <w:t xml:space="preserve">, </w:t>
      </w:r>
      <m:oMath>
        <m:r>
          <w:rPr>
            <w:rFonts w:ascii="Cambria Math" w:hAnsi="Cambria Math"/>
          </w:rPr>
          <m:t>R</m:t>
        </m:r>
      </m:oMath>
      <w:r>
        <w:t xml:space="preserve">, and </w:t>
      </w:r>
      <m:oMath>
        <m:r>
          <w:rPr>
            <w:rFonts w:ascii="Cambria Math" w:hAnsi="Cambria Math"/>
          </w:rPr>
          <m:t>P</m:t>
        </m:r>
      </m:oMath>
      <w:r>
        <w:t xml:space="preserve"> denote DNA, RNA, and protein, respectively.</w:t>
      </w:r>
    </w:p>
    <w:p w:rsidR="00856292" w:rsidRDefault="00647760">
      <w:pPr>
        <w:pStyle w:val="BodyText"/>
        <w:rPr>
          <w:rFonts w:hint="eastAsia"/>
        </w:rPr>
      </w:pPr>
      <w:r>
        <w:rPr>
          <w:b/>
          <w:bCs/>
        </w:rPr>
        <w:t>Input sequences and training batch</w:t>
      </w:r>
    </w:p>
    <w:p w:rsidR="00856292" w:rsidRDefault="008F061C">
      <w:pPr>
        <w:pStyle w:val="BodyText"/>
        <w:rPr>
          <w:rFonts w:hint="eastAsia"/>
        </w:rPr>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X</m:t>
              </m:r>
            </m:e>
            <m:sub>
              <m:r>
                <w:rPr>
                  <w:rFonts w:ascii="Cambria Math" w:hAnsi="Cambria Math"/>
                </w:rPr>
                <m:t>m</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B</m:t>
              </m:r>
            </m:e>
            <m:sub>
              <m:r>
                <w:rPr>
                  <w:rFonts w:ascii="Cambria Math" w:hAnsi="Cambria Math"/>
                </w:rPr>
                <m:t>m</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B</m:t>
              </m:r>
            </m:sub>
            <m:sup>
              <m:r>
                <w:rPr>
                  <w:rFonts w:ascii="Cambria Math" w:hAnsi="Cambria Math"/>
                </w:rPr>
                <m:t>m</m:t>
              </m:r>
            </m:sup>
          </m:sSubSup>
          <m:r>
            <m:rPr>
              <m:sty m:val="p"/>
            </m:rPr>
            <w:rPr>
              <w:rFonts w:ascii="Cambria Math" w:hAnsi="Cambria Math"/>
            </w:rPr>
            <m:t>}.</m:t>
          </m:r>
        </m:oMath>
      </m:oMathPara>
    </w:p>
    <w:p w:rsidR="00856292" w:rsidRDefault="008F061C">
      <w:pPr>
        <w:rPr>
          <w:rFonts w:hint="eastAsia"/>
        </w:rPr>
      </w:pP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m:t>
            </m:r>
          </m:sup>
        </m:sSubSup>
      </m:oMath>
      <w:r w:rsidR="00647760">
        <w:t xml:space="preserve"> is the biological sequence for example </w:t>
      </w:r>
      <m:oMath>
        <m:r>
          <w:rPr>
            <w:rFonts w:ascii="Cambria Math" w:hAnsi="Cambria Math"/>
          </w:rPr>
          <m:t>i</m:t>
        </m:r>
      </m:oMath>
      <w:r w:rsidR="00647760">
        <w:t xml:space="preserve"> in modality </w:t>
      </w:r>
      <m:oMath>
        <m:r>
          <w:rPr>
            <w:rFonts w:ascii="Cambria Math" w:hAnsi="Cambria Math"/>
          </w:rPr>
          <m:t>m</m:t>
        </m:r>
      </m:oMath>
      <w:r w:rsidR="00647760">
        <w:t xml:space="preserve">; </w:t>
      </w:r>
      <m:oMath>
        <m:r>
          <w:rPr>
            <w:rFonts w:ascii="Cambria Math" w:hAnsi="Cambria Math"/>
          </w:rPr>
          <m:t>B</m:t>
        </m:r>
      </m:oMath>
      <w:r w:rsidR="00647760">
        <w:t xml:space="preserve"> is batch size. For a given modality, all teachers and the student receive the same underlying sequence, formatted for each model’s tokenizer. DNA uses nucleotide sequences, RNA uses transcripts, and protein uses amino-acid sequences.</w:t>
      </w:r>
    </w:p>
    <w:p w:rsidR="00856292" w:rsidRDefault="00647760">
      <w:pPr>
        <w:pStyle w:val="BodyText"/>
        <w:rPr>
          <w:rFonts w:hint="eastAsia"/>
        </w:rPr>
      </w:pPr>
      <w:r>
        <w:rPr>
          <w:b/>
          <w:bCs/>
        </w:rPr>
        <w:t>Frozen teacher representation</w:t>
      </w:r>
    </w:p>
    <w:p w:rsidR="00856292" w:rsidRDefault="008F061C">
      <w:pPr>
        <w:pStyle w:val="BodyText"/>
        <w:rPr>
          <w:rFonts w:hint="eastAsia"/>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m</m:t>
              </m:r>
              <m:r>
                <m:rPr>
                  <m:sty m:val="p"/>
                </m:rPr>
                <w:rPr>
                  <w:rFonts w:ascii="Cambria Math" w:hAnsi="Cambria Math"/>
                </w:rPr>
                <m:t>,</m:t>
              </m:r>
              <m:r>
                <w:rPr>
                  <w:rFonts w:ascii="Cambria Math" w:hAnsi="Cambria Math"/>
                </w:rPr>
                <m:t>k</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m:t>
                  </m:r>
                </m:sup>
              </m:sSubSup>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m</m:t>
                  </m:r>
                  <m:r>
                    <m:rPr>
                      <m:sty m:val="p"/>
                    </m:rPr>
                    <w:rPr>
                      <w:rFonts w:ascii="Cambria Math" w:hAnsi="Cambria Math"/>
                    </w:rPr>
                    <m:t>,</m:t>
                  </m:r>
                  <m:r>
                    <w:rPr>
                      <w:rFonts w:ascii="Cambria Math" w:hAnsi="Cambria Math"/>
                    </w:rPr>
                    <m:t>k</m:t>
                  </m:r>
                </m:sub>
              </m:sSub>
            </m:sup>
          </m:sSup>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m:t>
          </m:r>
        </m:oMath>
      </m:oMathPara>
    </w:p>
    <w:p w:rsidR="00856292" w:rsidRDefault="008F061C">
      <w:pPr>
        <w:rPr>
          <w:rFonts w:hint="eastAsia"/>
        </w:rPr>
      </w:pPr>
      <m:oMath>
        <m:sSub>
          <m:sSubPr>
            <m:ctrlPr>
              <w:rPr>
                <w:rFonts w:ascii="Cambria Math" w:hAnsi="Cambria Math"/>
              </w:rPr>
            </m:ctrlPr>
          </m:sSubPr>
          <m:e>
            <m:r>
              <w:rPr>
                <w:rFonts w:ascii="Cambria Math" w:hAnsi="Cambria Math"/>
              </w:rPr>
              <m:t>T</m:t>
            </m:r>
          </m:e>
          <m:sub>
            <m:r>
              <w:rPr>
                <w:rFonts w:ascii="Cambria Math" w:hAnsi="Cambria Math"/>
              </w:rPr>
              <m:t>m</m:t>
            </m:r>
            <m:r>
              <m:rPr>
                <m:sty m:val="p"/>
              </m:rPr>
              <w:rPr>
                <w:rFonts w:ascii="Cambria Math" w:hAnsi="Cambria Math"/>
              </w:rPr>
              <m:t>,</m:t>
            </m:r>
            <m:r>
              <w:rPr>
                <w:rFonts w:ascii="Cambria Math" w:hAnsi="Cambria Math"/>
              </w:rPr>
              <m:t>k</m:t>
            </m:r>
          </m:sub>
        </m:sSub>
      </m:oMath>
      <w:r w:rsidR="00647760">
        <w:t xml:space="preserve"> is teacher </w:t>
      </w:r>
      <m:oMath>
        <m:r>
          <w:rPr>
            <w:rFonts w:ascii="Cambria Math" w:hAnsi="Cambria Math"/>
          </w:rPr>
          <m:t>k</m:t>
        </m:r>
      </m:oMath>
      <w:r w:rsidR="00647760">
        <w:t xml:space="preserve"> for modality </w:t>
      </w:r>
      <m:oMath>
        <m:r>
          <w:rPr>
            <w:rFonts w:ascii="Cambria Math" w:hAnsi="Cambria Math"/>
          </w:rPr>
          <m:t>m</m:t>
        </m:r>
      </m:oMath>
      <w:r w:rsidR="00647760">
        <w:t xml:space="preserve">. Its output is a sequence-level embedding of dimension </w:t>
      </w:r>
      <m:oMath>
        <m:sSub>
          <m:sSubPr>
            <m:ctrlPr>
              <w:rPr>
                <w:rFonts w:ascii="Cambria Math" w:hAnsi="Cambria Math"/>
              </w:rPr>
            </m:ctrlPr>
          </m:sSubPr>
          <m:e>
            <m:r>
              <w:rPr>
                <w:rFonts w:ascii="Cambria Math" w:hAnsi="Cambria Math"/>
              </w:rPr>
              <m:t>d</m:t>
            </m:r>
          </m:e>
          <m:sub>
            <m:r>
              <w:rPr>
                <w:rFonts w:ascii="Cambria Math" w:hAnsi="Cambria Math"/>
              </w:rPr>
              <m:t>m</m:t>
            </m:r>
            <m:r>
              <m:rPr>
                <m:sty m:val="p"/>
              </m:rPr>
              <w:rPr>
                <w:rFonts w:ascii="Cambria Math" w:hAnsi="Cambria Math"/>
              </w:rPr>
              <m:t>,</m:t>
            </m:r>
            <m:r>
              <w:rPr>
                <w:rFonts w:ascii="Cambria Math" w:hAnsi="Cambria Math"/>
              </w:rPr>
              <m:t>k</m:t>
            </m:r>
          </m:sub>
        </m:sSub>
      </m:oMath>
      <w:r w:rsidR="00647760">
        <w:t>. Tokenization and embedding dimensions can differ across teachers; record the pooling rule for each teacher. All teacher parameters remain frozen.</w:t>
      </w:r>
    </w:p>
    <w:p w:rsidR="00856292" w:rsidRDefault="00647760">
      <w:pPr>
        <w:pStyle w:val="BodyText"/>
        <w:rPr>
          <w:rFonts w:hint="eastAsia"/>
        </w:rPr>
      </w:pPr>
      <w:r>
        <w:rPr>
          <w:b/>
          <w:bCs/>
        </w:rPr>
        <w:t>Compact student representation</w:t>
      </w:r>
    </w:p>
    <w:p w:rsidR="00856292" w:rsidRDefault="008F061C">
      <w:pPr>
        <w:pStyle w:val="BodyText"/>
        <w:rPr>
          <w:rFonts w:hint="eastAsia"/>
        </w:rPr>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m</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m:t>
                  </m:r>
                </m:sup>
              </m:sSubSup>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s</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oMath>
      </m:oMathPara>
    </w:p>
    <w:p w:rsidR="00856292" w:rsidRDefault="008F061C">
      <w:pPr>
        <w:rPr>
          <w:rFonts w:hint="eastAsia"/>
        </w:rPr>
      </w:pPr>
      <m:oMath>
        <m:sSub>
          <m:sSubPr>
            <m:ctrlPr>
              <w:rPr>
                <w:rFonts w:ascii="Cambria Math" w:hAnsi="Cambria Math"/>
              </w:rPr>
            </m:ctrlPr>
          </m:sSubPr>
          <m:e>
            <m:r>
              <w:rPr>
                <w:rFonts w:ascii="Cambria Math" w:hAnsi="Cambria Math"/>
              </w:rPr>
              <m:t>S</m:t>
            </m:r>
          </m:e>
          <m:sub>
            <m:r>
              <w:rPr>
                <w:rFonts w:ascii="Cambria Math" w:hAnsi="Cambria Math"/>
              </w:rPr>
              <m:t>m</m:t>
            </m:r>
          </m:sub>
        </m:sSub>
      </m:oMath>
      <w:r w:rsidR="00647760">
        <w:t xml:space="preserve"> is the trainable student encoder for modality </w:t>
      </w:r>
      <m:oMath>
        <m:r>
          <w:rPr>
            <w:rFonts w:ascii="Cambria Math" w:hAnsi="Cambria Math"/>
          </w:rPr>
          <m:t>m</m:t>
        </m:r>
      </m:oMath>
      <w:r w:rsidR="00647760">
        <w:t xml:space="preserve">, and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m</m:t>
            </m:r>
          </m:sup>
        </m:sSubSup>
      </m:oMath>
      <w:r w:rsidR="00647760">
        <w:t xml:space="preserve"> is its sequence-level output. The DNA, RNA, and protein students have separate parameters;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00647760">
        <w:t xml:space="preserve"> is their chosen embedding dimension (which can also differ by modality if explicitly specified).</w:t>
      </w:r>
    </w:p>
    <w:p w:rsidR="00856292" w:rsidRDefault="00647760">
      <w:pPr>
        <w:pStyle w:val="BodyText"/>
        <w:rPr>
          <w:rFonts w:hint="eastAsia"/>
        </w:rPr>
      </w:pPr>
      <w:r>
        <w:rPr>
          <w:b/>
          <w:bCs/>
        </w:rPr>
        <w:t>Teacher-specific projection head</w:t>
      </w:r>
    </w:p>
    <w:p w:rsidR="00856292" w:rsidRDefault="008F061C">
      <w:pPr>
        <w:pStyle w:val="BodyText"/>
        <w:rPr>
          <w:rFonts w:hint="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s</m:t>
                  </m:r>
                </m:sub>
              </m:sSub>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p</m:t>
                  </m:r>
                </m:sub>
              </m:sSub>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m</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r>
                <m:rPr>
                  <m:sty m:val="p"/>
                </m:rPr>
                <w:rPr>
                  <w:rFonts w:ascii="Cambria Math" w:hAnsi="Cambria Math"/>
                </w:rPr>
                <m:t>,</m:t>
              </m:r>
              <m:r>
                <w:rPr>
                  <w:rFonts w:ascii="Cambria Math" w:hAnsi="Cambria Math"/>
                </w:rPr>
                <m:t>k</m:t>
              </m:r>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m</m:t>
                  </m:r>
                </m:sup>
              </m:sSubSup>
            </m:e>
          </m:d>
          <m:r>
            <m:rPr>
              <m:sty m:val="p"/>
            </m:rPr>
            <w:rPr>
              <w:rFonts w:ascii="Cambria Math" w:hAnsi="Cambria Math"/>
            </w:rPr>
            <m:t>.</m:t>
          </m:r>
        </m:oMath>
      </m:oMathPara>
    </w:p>
    <w:p w:rsidR="00856292" w:rsidRDefault="00647760">
      <w:pPr>
        <w:rPr>
          <w:rFonts w:hint="eastAsia"/>
        </w:rPr>
      </w:pPr>
      <w:r>
        <w:t xml:space="preserve">Each </w:t>
      </w:r>
      <m:oMath>
        <m:sSub>
          <m:sSubPr>
            <m:ctrlPr>
              <w:rPr>
                <w:rFonts w:ascii="Cambria Math" w:hAnsi="Cambria Math"/>
              </w:rPr>
            </m:ctrlPr>
          </m:sSubPr>
          <m:e>
            <m:r>
              <w:rPr>
                <w:rFonts w:ascii="Cambria Math" w:hAnsi="Cambria Math"/>
              </w:rPr>
              <m:t>P</m:t>
            </m:r>
          </m:e>
          <m:sub>
            <m:r>
              <w:rPr>
                <w:rFonts w:ascii="Cambria Math" w:hAnsi="Cambria Math"/>
              </w:rPr>
              <m:t>m</m:t>
            </m:r>
            <m:r>
              <m:rPr>
                <m:sty m:val="p"/>
              </m:rPr>
              <w:rPr>
                <w:rFonts w:ascii="Cambria Math" w:hAnsi="Cambria Math"/>
              </w:rPr>
              <m:t>,</m:t>
            </m:r>
            <m:r>
              <w:rPr>
                <w:rFonts w:ascii="Cambria Math" w:hAnsi="Cambria Math"/>
              </w:rPr>
              <m:t>k</m:t>
            </m:r>
          </m:sub>
        </m:sSub>
      </m:oMath>
      <w:r>
        <w:t xml:space="preserve"> is a separate </w:t>
      </w:r>
      <w:r>
        <w:rPr>
          <w:b/>
          <w:bCs/>
        </w:rPr>
        <w:t>trainable</w:t>
      </w:r>
      <w:r>
        <w:t xml:space="preserve"> projection head attached to the same student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Start with a linear head and </w:t>
      </w:r>
      <m:oMath>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128</m:t>
        </m:r>
      </m:oMath>
      <w:r>
        <w:t>, treating this as a tunable hyperparameter rather than a required value. There is one head for every teacher within that modality.</w:t>
      </w:r>
    </w:p>
    <w:p w:rsidR="00856292" w:rsidRDefault="00647760">
      <w:pPr>
        <w:pStyle w:val="BodyText"/>
        <w:rPr>
          <w:rFonts w:hint="eastAsia"/>
        </w:rPr>
      </w:pPr>
      <w:r>
        <w:rPr>
          <w:b/>
          <w:bCs/>
        </w:rPr>
        <w:t>Student and teacher similarities</w:t>
      </w:r>
    </w:p>
    <w:p w:rsidR="00856292" w:rsidRDefault="008F061C">
      <w:pPr>
        <w:pStyle w:val="BodyText"/>
        <w:rPr>
          <w:rFonts w:hint="eastAsia"/>
        </w:rP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S</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=cos</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m</m:t>
                  </m:r>
                </m:sup>
              </m:sSubSup>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T</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=cos</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m:t>
                  </m:r>
                  <m:r>
                    <m:rPr>
                      <m:sty m:val="p"/>
                    </m:rPr>
                    <w:rPr>
                      <w:rFonts w:ascii="Cambria Math" w:hAnsi="Cambria Math"/>
                    </w:rPr>
                    <m:t>,</m:t>
                  </m:r>
                  <m:r>
                    <w:rPr>
                      <w:rFonts w:ascii="Cambria Math" w:hAnsi="Cambria Math"/>
                    </w:rPr>
                    <m:t>k</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m:t>
                      </m:r>
                    </m:sup>
                  </m:sSubSup>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r>
                    <m:rPr>
                      <m:sty m:val="p"/>
                    </m:rPr>
                    <w:rPr>
                      <w:rFonts w:ascii="Cambria Math" w:hAnsi="Cambria Math"/>
                    </w:rPr>
                    <m:t>,</m:t>
                  </m:r>
                  <m:r>
                    <w:rPr>
                      <w:rFonts w:ascii="Cambria Math" w:hAnsi="Cambria Math"/>
                    </w:rPr>
                    <m:t>k</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m:t>
                      </m:r>
                    </m:sup>
                  </m:sSubSup>
                </m:e>
              </m:d>
            </m:e>
          </m:d>
          <m:r>
            <m:rPr>
              <m:sty m:val="p"/>
            </m:rPr>
            <w:rPr>
              <w:rFonts w:ascii="Cambria Math" w:hAnsi="Cambria Math"/>
            </w:rPr>
            <m:t>.</m:t>
          </m:r>
        </m:oMath>
      </m:oMathPara>
    </w:p>
    <w:p w:rsidR="00856292" w:rsidRDefault="008F061C">
      <w:pPr>
        <w:rPr>
          <w:rFonts w:hint="eastAsia"/>
        </w:rPr>
      </w:pPr>
      <m:oMath>
        <m:sSubSup>
          <m:sSubSupPr>
            <m:ctrlPr>
              <w:rPr>
                <w:rFonts w:ascii="Cambria Math" w:hAnsi="Cambria Math"/>
              </w:rPr>
            </m:ctrlPr>
          </m:sSubSup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S</m:t>
            </m:r>
          </m:sup>
        </m:sSubSup>
      </m:oMath>
      <w:r w:rsidR="00647760">
        <w:t xml:space="preserve"> measures cosine similarity between two student outputs viewed through teacher </w:t>
      </w:r>
      <m:oMath>
        <m:r>
          <w:rPr>
            <w:rFonts w:ascii="Cambria Math" w:hAnsi="Cambria Math"/>
          </w:rPr>
          <m:t>k</m:t>
        </m:r>
      </m:oMath>
      <w:r w:rsidR="00647760">
        <w:t xml:space="preserve">’s projection. </w:t>
      </w:r>
      <m:oMath>
        <m:sSubSup>
          <m:sSubSupPr>
            <m:ctrlPr>
              <w:rPr>
                <w:rFonts w:ascii="Cambria Math" w:hAnsi="Cambria Math"/>
              </w:rPr>
            </m:ctrlPr>
          </m:sSubSup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T</m:t>
            </m:r>
          </m:sup>
        </m:sSubSup>
      </m:oMath>
      <w:r w:rsidR="00647760">
        <w:t xml:space="preserve"> measures cosine similarity between the corresponding frozen teacher embeddings.</w:t>
      </w:r>
    </w:p>
    <w:p w:rsidR="00856292" w:rsidRDefault="00647760">
      <w:pPr>
        <w:pStyle w:val="BodyText"/>
        <w:rPr>
          <w:rFonts w:hint="eastAsia"/>
        </w:rPr>
      </w:pPr>
      <w:r>
        <w:rPr>
          <w:b/>
          <w:bCs/>
        </w:rPr>
        <w:t>Teacher weights</w:t>
      </w:r>
    </w:p>
    <w:p w:rsidR="00856292" w:rsidRDefault="008F061C">
      <w:pPr>
        <w:pStyle w:val="BodyText"/>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m</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m</m:t>
                  </m:r>
                </m:sub>
              </m:sSub>
            </m:sup>
            <m:e>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k</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rsidR="00856292" w:rsidRDefault="00647760">
      <w:pPr>
        <w:rPr>
          <w:rFonts w:hint="eastAsia"/>
        </w:rPr>
      </w:pPr>
      <w:r>
        <w:t>Use equal weights initially. Do not learn teacher weights until the uniform-weight baseline has been evaluated.</w:t>
      </w:r>
    </w:p>
    <w:p w:rsidR="00856292" w:rsidRDefault="00647760">
      <w:pPr>
        <w:pStyle w:val="Heading3"/>
      </w:pPr>
      <w:r>
        <w:t>Teacher and student similarity matrices (cosine similarity between examples i and j):</w:t>
      </w:r>
    </w:p>
    <w:p w:rsidR="00856292" w:rsidRDefault="008F061C">
      <w:pPr>
        <w:spacing w:before="140" w:after="14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S</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=cos</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m</m:t>
                  </m:r>
                  <m:r>
                    <m:rPr>
                      <m:sty m:val="p"/>
                    </m:rPr>
                    <w:rPr>
                      <w:rFonts w:ascii="Cambria Math" w:hAnsi="Cambria Math"/>
                    </w:rPr>
                    <m:t>,</m:t>
                  </m:r>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m</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m:t>
                          </m:r>
                        </m:sup>
                      </m:sSubSup>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m:t>
                  </m:r>
                  <m:r>
                    <m:rPr>
                      <m:sty m:val="p"/>
                    </m:rPr>
                    <w:rPr>
                      <w:rFonts w:ascii="Cambria Math" w:hAnsi="Cambria Math"/>
                    </w:rPr>
                    <m:t>,</m:t>
                  </m:r>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m</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m:t>
                          </m:r>
                        </m:sup>
                      </m:sSubSup>
                    </m:e>
                  </m:d>
                </m:e>
              </m:d>
            </m:e>
          </m:d>
        </m:oMath>
      </m:oMathPara>
    </w:p>
    <w:p w:rsidR="00856292" w:rsidRDefault="008F061C">
      <w:pPr>
        <w:spacing w:before="140" w:after="14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T</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=cos</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m:t>
                  </m:r>
                  <m:r>
                    <m:rPr>
                      <m:sty m:val="p"/>
                    </m:rPr>
                    <w:rPr>
                      <w:rFonts w:ascii="Cambria Math" w:hAnsi="Cambria Math"/>
                    </w:rPr>
                    <m:t>,</m:t>
                  </m:r>
                  <m:r>
                    <w:rPr>
                      <w:rFonts w:ascii="Cambria Math" w:hAnsi="Cambria Math"/>
                    </w:rPr>
                    <m:t>k</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m:t>
                      </m:r>
                    </m:sup>
                  </m:sSub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m</m:t>
                  </m:r>
                  <m:r>
                    <m:rPr>
                      <m:sty m:val="p"/>
                    </m:rPr>
                    <w:rPr>
                      <w:rFonts w:ascii="Cambria Math" w:hAnsi="Cambria Math"/>
                    </w:rPr>
                    <m:t>,</m:t>
                  </m:r>
                  <m:r>
                    <w:rPr>
                      <w:rFonts w:ascii="Cambria Math" w:hAnsi="Cambria Math"/>
                    </w:rPr>
                    <m:t>k</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m:t>
                      </m:r>
                    </m:sup>
                  </m:sSubSup>
                </m:e>
              </m:d>
            </m:e>
          </m:d>
        </m:oMath>
      </m:oMathPara>
    </w:p>
    <w:p w:rsidR="00856292" w:rsidRDefault="008F061C">
      <w:pPr>
        <w:spacing w:before="140" w:after="140"/>
        <w:jc w:val="center"/>
        <w:rPr>
          <w:rFonts w:hint="eastAsia"/>
        </w:rPr>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m:rPr>
                  <m:sty m:val="p"/>
                </m:rPr>
                <w:rPr>
                  <w:rFonts w:ascii="Cambria Math" w:hAnsi="Cambria Math"/>
                </w:rPr>
                <m:t>KD</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m</m:t>
                  </m:r>
                </m:sub>
              </m:sSub>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m</m:t>
                  </m:r>
                </m:sub>
              </m:sSub>
            </m:sup>
            <m:e>
              <m:f>
                <m:fPr>
                  <m:ctrlPr>
                    <w:rPr>
                      <w:rFonts w:ascii="Cambria Math" w:hAnsi="Cambria Math"/>
                    </w:rPr>
                  </m:ctrlPr>
                </m:fPr>
                <m:num>
                  <m:r>
                    <w:rPr>
                      <w:rFonts w:ascii="Cambria Math" w:hAnsi="Cambria Math"/>
                    </w:rPr>
                    <m:t>1</m:t>
                  </m:r>
                </m:num>
                <m:den>
                  <m:r>
                    <w:rPr>
                      <w:rFonts w:ascii="Cambria Math" w:hAnsi="Cambria Math"/>
                    </w:rPr>
                    <m:t>B</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den>
              </m:f>
            </m:e>
          </m:nary>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S</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T</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d>
                </m:e>
                <m:sup>
                  <m:r>
                    <w:rPr>
                      <w:rFonts w:ascii="Cambria Math" w:hAnsi="Cambria Math"/>
                    </w:rPr>
                    <m:t>2</m:t>
                  </m:r>
                </m:sup>
              </m:sSup>
            </m:e>
          </m:nary>
        </m:oMath>
      </m:oMathPara>
    </w:p>
    <w:p w:rsidR="00856292" w:rsidRDefault="00647760">
      <w:pPr>
        <w:rPr>
          <w:rFonts w:hint="eastAsia"/>
        </w:rPr>
      </w:pPr>
      <w:r>
        <w:t>Loss: mean squared difference between teacher and projected-student relationships, excluding i = j. Here B is batch size and Kₘ is the number of teachers (DNA 6, RNA 5, protein 4). Teachers remain frozen; train Sₘ and Pₘ,ₖ.</w:t>
      </w:r>
    </w:p>
    <w:p w:rsidR="00856292" w:rsidRDefault="00647760">
      <w:pPr>
        <w:pStyle w:val="Heading3"/>
      </w:pPr>
      <w:r>
        <w:rPr>
          <w:b w:val="0"/>
        </w:rPr>
        <w:lastRenderedPageBreak/>
        <w:t>Worked RNA example</w:t>
      </w:r>
    </w:p>
    <w:p w:rsidR="00856292" w:rsidRDefault="00647760">
      <w:pPr>
        <w:rPr>
          <w:rFonts w:hint="eastAsia"/>
        </w:rPr>
      </w:pPr>
      <w:r>
        <w:t>For RNA, m = R and K_R = 5. The same mini-batch of B = 64 RNA sequences is passed through each of the five frozen RNA teachers and the small RNA student. One teacher may output 640-dimensional vectors, another a different dimension; their tokenizers can differ. Each teacher yields a 64×64 cosine-similarity matrix. The student produces one 64×d_s matrix; five different projections P_{R,1},…,P_{R,5} produce five student similarity matrices. Compare each student matrix with its corresponding teacher matrix, average squared differences over the 64×63 off-diagonal pairs, and average over the five teachers. Repeat separately for DNA (six) and protein (four).</w:t>
      </w:r>
    </w:p>
    <w:p w:rsidR="00856292" w:rsidRDefault="00647760">
      <w:pPr>
        <w:pStyle w:val="Heading3"/>
      </w:pPr>
      <w:r>
        <w:rPr>
          <w:b w:val="0"/>
        </w:rPr>
        <w:t>Implementation checklist</w:t>
      </w:r>
    </w:p>
    <w:p w:rsidR="00856292" w:rsidRDefault="00647760">
      <w:pPr>
        <w:rPr>
          <w:rFonts w:hint="eastAsia"/>
        </w:rPr>
      </w:pPr>
      <w:r>
        <w:t>1. Fix teacher checkpoints, modality-specific sequence normalization, tokenizer versions, truncation policy and pooling. Verify that the same sample IDs refer to the same sequences across all teachers in one modality.</w:t>
      </w:r>
    </w:p>
    <w:p w:rsidR="00856292" w:rsidRDefault="00647760">
      <w:pPr>
        <w:rPr>
          <w:rFonts w:hint="eastAsia"/>
        </w:rPr>
      </w:pPr>
      <w:r>
        <w:t>2. Create a large unlabeled training pool for each modality that excludes protected test sequences and close homologs/families according to the intended downstream evaluation. Cache teacher embeddings where storage allows.</w:t>
      </w:r>
    </w:p>
    <w:p w:rsidR="00856292" w:rsidRDefault="00647760">
      <w:pPr>
        <w:rPr>
          <w:rFonts w:hint="eastAsia"/>
        </w:rPr>
      </w:pPr>
      <w:r>
        <w:t>3. Choose a compact student backbone and shared output dimension d_s (for example, 256 as an initial hyperparameter, NOT a fixed requirement). Initialize K_m separate linear projections to d_p=128.</w:t>
      </w:r>
    </w:p>
    <w:p w:rsidR="00856292" w:rsidRDefault="00647760">
      <w:pPr>
        <w:rPr>
          <w:rFonts w:hint="eastAsia"/>
        </w:rPr>
      </w:pPr>
      <w:r>
        <w:t>4. Draw diverse mini-batches (e.g., B=64); L2-normalize each teacher vector and each projected student vector with a numerical epsilon (e.g., 1e−8). Compute cosine similarity matrices via normalized-vector matrix multiplication.</w:t>
      </w:r>
    </w:p>
    <w:p w:rsidR="00856292" w:rsidRDefault="00647760">
      <w:pPr>
        <w:rPr>
          <w:rFonts w:hint="eastAsia"/>
        </w:rPr>
      </w:pPr>
      <w:r>
        <w:t>5. Set similarity-matrix diagonals to zero only for computing loss; average the squared error across B(B−1) off-diagonal entries. Assign equal teacher weights, backpropagate through S_m and P_{m,k}, not through teachers.</w:t>
      </w:r>
    </w:p>
    <w:p w:rsidR="00856292" w:rsidRDefault="00647760">
      <w:pPr>
        <w:rPr>
          <w:rFonts w:hint="eastAsia"/>
        </w:rPr>
      </w:pPr>
      <w:r>
        <w:t>6. Track per-teacher relational loss, student embedding variance, held-out similarity agreement and cost; tune student capacity and batch sampling on training/validation data, never on the final test.</w:t>
      </w:r>
    </w:p>
    <w:p w:rsidR="00856292" w:rsidRDefault="00647760">
      <w:pPr>
        <w:rPr>
          <w:rFonts w:hint="eastAsia"/>
        </w:rPr>
      </w:pPr>
      <w:r>
        <w:t>7. After modality-level training, discard projection heads for downstream fusion ONLY after verifying that unprojected S_m embeddings retain downstream predictive utility. Keep projections if their teacher-specific information is required; compare both choices.</w:t>
      </w:r>
    </w:p>
    <w:p w:rsidR="00856292" w:rsidRDefault="00647760">
      <w:pPr>
        <w:rPr>
          <w:rFonts w:hint="eastAsia"/>
        </w:rPr>
      </w:pPr>
      <w:r>
        <w:t>8. Train the SAME downstream head and splits on each S_m, the three-student concatenation, strongest single teachers, within-modality full-teacher ensembles, and three-modality full-teacher fusion. Report performance, parameters, memory and inference speed.</w:t>
      </w:r>
    </w:p>
    <w:p w:rsidR="00856292" w:rsidRDefault="00647760">
      <w:pPr>
        <w:rPr>
          <w:rFonts w:hint="eastAsia"/>
        </w:rPr>
      </w:pPr>
      <w:r>
        <w:rPr>
          <w:b/>
          <w:bCs/>
        </w:rPr>
        <w:t>Minimal algorithm (pseudo-code)</w:t>
      </w:r>
    </w:p>
    <w:p w:rsidR="00856292" w:rsidRDefault="00647760">
      <w:pPr>
        <w:pStyle w:val="BodyText"/>
        <w:rPr>
          <w:rFonts w:hint="eastAsia"/>
        </w:rPr>
      </w:pPr>
      <w:r>
        <w:rPr>
          <w:b/>
          <w:bCs/>
        </w:rPr>
        <w:t>Input:</w:t>
      </w:r>
      <w:r>
        <w:t xml:space="preserve"> modality </w:t>
      </w:r>
      <m:oMath>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frozen teachers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m</m:t>
                </m:r>
              </m:sub>
            </m:sSub>
          </m:sup>
        </m:sSubSup>
      </m:oMath>
      <w:r>
        <w:t xml:space="preserve">; trainable student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and projections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m</m:t>
                </m:r>
              </m:sub>
            </m:sSub>
          </m:sup>
        </m:sSubSup>
      </m:oMath>
      <w:r>
        <w:t xml:space="preserve">; batch size </w:t>
      </w:r>
      <m:oMath>
        <m:r>
          <w:rPr>
            <w:rFonts w:ascii="Cambria Math" w:hAnsi="Cambria Math"/>
          </w:rPr>
          <m:t>B</m:t>
        </m:r>
        <m:r>
          <m:rPr>
            <m:sty m:val="p"/>
          </m:rPr>
          <w:rPr>
            <w:rFonts w:ascii="Cambria Math" w:hAnsi="Cambria Math"/>
          </w:rPr>
          <m:t>≥</m:t>
        </m:r>
        <m:r>
          <w:rPr>
            <w:rFonts w:ascii="Cambria Math" w:hAnsi="Cambria Math"/>
          </w:rPr>
          <m:t>2</m:t>
        </m:r>
      </m:oMath>
      <w:r>
        <w:t>.</w:t>
      </w:r>
    </w:p>
    <w:p w:rsidR="00856292" w:rsidRDefault="00647760">
      <w:pPr>
        <w:pStyle w:val="BodyText"/>
        <w:rPr>
          <w:rFonts w:hint="eastAsia"/>
        </w:rPr>
      </w:pPr>
      <w:r>
        <w:rPr>
          <w:b/>
          <w:bCs/>
        </w:rPr>
        <w:t>1. Sample a batch.</w:t>
      </w:r>
      <w:r>
        <w:t xml:space="preserve"> Sample </w:t>
      </w:r>
      <m:oMath>
        <m:r>
          <w:rPr>
            <w:rFonts w:ascii="Cambria Math" w:hAnsi="Cambria Math"/>
          </w:rPr>
          <m:t>B</m:t>
        </m:r>
      </m:oMath>
      <w:r>
        <w:t xml:space="preserve"> sequences and feed the same underlying sequences to each teacher and the student (using each encoder’s tokenizer).</w:t>
      </w:r>
    </w:p>
    <w:p w:rsidR="00856292" w:rsidRDefault="008F061C">
      <w:pPr>
        <w:pStyle w:val="BodyText"/>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m</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B</m:t>
              </m:r>
            </m:sub>
            <m:sup>
              <m:r>
                <w:rPr>
                  <w:rFonts w:ascii="Cambria Math" w:hAnsi="Cambria Math"/>
                </w:rPr>
                <m:t>m</m:t>
              </m:r>
            </m:sup>
          </m:sSubSup>
          <m:r>
            <m:rPr>
              <m:sty m:val="p"/>
            </m:rPr>
            <w:rPr>
              <w:rFonts w:ascii="Cambria Math" w:hAnsi="Cambria Math"/>
            </w:rPr>
            <m:t>}.</m:t>
          </m:r>
        </m:oMath>
      </m:oMathPara>
    </w:p>
    <w:p w:rsidR="00856292" w:rsidRDefault="00647760">
      <w:pPr>
        <w:rPr>
          <w:rFonts w:hint="eastAsia"/>
        </w:rPr>
      </w:pPr>
      <w:r>
        <w:rPr>
          <w:b/>
          <w:bCs/>
        </w:rPr>
        <w:t>2. Encode, project, and normalize.</w:t>
      </w:r>
      <w:r>
        <w:t xml:space="preserve"> Keep teachers frozen. The student produces one embedding that each teacher-specific head projects; normalize vectors row-wise.</w:t>
      </w:r>
    </w:p>
    <w:p w:rsidR="00856292" w:rsidRDefault="008F061C">
      <w:pPr>
        <w:pStyle w:val="BodyText"/>
        <w:rPr>
          <w:rFonts w:hint="eastAsia"/>
        </w:rPr>
      </w:pPr>
      <m:oMathPara>
        <m:oMathParaPr>
          <m:jc m:val="center"/>
        </m:oMathParaPr>
        <m:oMath>
          <m:sSub>
            <m:sSubPr>
              <m:ctrlPr>
                <w:rPr>
                  <w:rFonts w:ascii="Cambria Math" w:hAnsi="Cambria Math"/>
                </w:rPr>
              </m:ctrlPr>
            </m:sSubPr>
            <m:e>
              <m:r>
                <m:rPr>
                  <m:sty m:val="b"/>
                </m:rP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r>
                <m:rPr>
                  <m:sty m:val="p"/>
                </m:rPr>
                <w:rPr>
                  <w:rFonts w:ascii="Cambria Math" w:hAnsi="Cambria Math"/>
                </w:rPr>
                <m:t>,</m:t>
              </m:r>
              <m:r>
                <w:rPr>
                  <w:rFonts w:ascii="Cambria Math" w:hAnsi="Cambria Math"/>
                </w:rPr>
                <m:t>k</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m:t>
                  </m:r>
                </m:sup>
              </m:sSubSup>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m:t>
                  </m:r>
                </m:sup>
              </m:sSubSup>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r>
                <m:rPr>
                  <m:sty m:val="p"/>
                </m:rPr>
                <w:rPr>
                  <w:rFonts w:ascii="Cambria Math" w:hAnsi="Cambria Math"/>
                </w:rPr>
                <m:t>,</m:t>
              </m:r>
              <m:r>
                <w:rPr>
                  <w:rFonts w:ascii="Cambria Math" w:hAnsi="Cambria Math"/>
                </w:rPr>
                <m:t>k</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e>
          </m:d>
          <m:r>
            <m:rPr>
              <m:sty m:val="p"/>
            </m:rPr>
            <w:rPr>
              <w:rFonts w:ascii="Cambria Math" w:hAnsi="Cambria Math"/>
            </w:rPr>
            <m:t>.</m:t>
          </m:r>
        </m:oMath>
      </m:oMathPara>
    </w:p>
    <w:p w:rsidR="00856292" w:rsidRDefault="008F061C">
      <w:pPr>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num>
            <m:den>
              <m:r>
                <m:rPr>
                  <m:sty m:val="p"/>
                </m:rPr>
                <w:rPr>
                  <w:rFonts w:ascii="Cambria Math" w:hAnsi="Cambria Math"/>
                </w:rPr>
                <m:t>max</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b"/>
                        </m:rP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ε</m:t>
                  </m:r>
                </m:e>
              </m:d>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rPr>
                    <m:t>h</m:t>
                  </m:r>
                </m:e>
              </m:acc>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k</m:t>
                  </m:r>
                </m:sub>
              </m:sSub>
            </m:num>
            <m:den>
              <m:r>
                <m:rPr>
                  <m:sty m:val="p"/>
                </m:rPr>
                <w:rPr>
                  <w:rFonts w:ascii="Cambria Math" w:hAnsi="Cambria Math"/>
                </w:rPr>
                <m:t>max</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ε</m:t>
                  </m:r>
                </m:e>
              </m:d>
            </m:den>
          </m:f>
          <m:r>
            <m:rPr>
              <m:sty m:val="p"/>
            </m:rPr>
            <w:rPr>
              <w:rFonts w:ascii="Cambria Math" w:hAnsi="Cambria Math"/>
            </w:rPr>
            <m:t>.</m:t>
          </m:r>
        </m:oMath>
      </m:oMathPara>
    </w:p>
    <w:p w:rsidR="00856292" w:rsidRDefault="00647760">
      <w:pPr>
        <w:rPr>
          <w:rFonts w:hint="eastAsia"/>
        </w:rPr>
      </w:pPr>
      <w:r>
        <w:rPr>
          <w:b/>
          <w:bCs/>
        </w:rPr>
        <w:t>3. Compute similarity matrices.</w:t>
      </w:r>
      <w:r>
        <w:t xml:space="preserve"> Build one teacher matrix and one projected-student matrix per teacher, both </w:t>
      </w:r>
      <m:oMath>
        <m:r>
          <w:rPr>
            <w:rFonts w:ascii="Cambria Math" w:hAnsi="Cambria Math"/>
          </w:rPr>
          <m:t>B</m:t>
        </m:r>
        <m:r>
          <m:rPr>
            <m:sty m:val="p"/>
          </m:rPr>
          <w:rPr>
            <w:rFonts w:ascii="Cambria Math" w:hAnsi="Cambria Math"/>
          </w:rPr>
          <m:t>×</m:t>
        </m:r>
        <m:r>
          <w:rPr>
            <w:rFonts w:ascii="Cambria Math" w:hAnsi="Cambria Math"/>
          </w:rPr>
          <m:t>B</m:t>
        </m:r>
      </m:oMath>
      <w:r>
        <w:t>.</w:t>
      </w:r>
    </w:p>
    <w:p w:rsidR="00856292" w:rsidRDefault="008F061C">
      <w:pPr>
        <w:pStyle w:val="BodyText"/>
        <w:rPr>
          <w:rFonts w:hint="eastAsia"/>
        </w:rP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T</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m:t>
              </m:r>
            </m:sup>
          </m:sSubSup>
          <m:sSub>
            <m:sSubPr>
              <m:ctrlPr>
                <w:rPr>
                  <w:rFonts w:ascii="Cambria Math" w:hAnsi="Cambria Math"/>
                </w:rPr>
              </m:ctrlPr>
            </m:sSubPr>
            <m:e>
              <m:acc>
                <m:accPr>
                  <m:ctrlPr>
                    <w:rPr>
                      <w:rFonts w:ascii="Cambria Math" w:hAnsi="Cambria Math"/>
                    </w:rPr>
                  </m:ctrlPr>
                </m:accPr>
                <m:e>
                  <m:r>
                    <m:rPr>
                      <m:sty m:val="b"/>
                    </m:rPr>
                    <w:rPr>
                      <w:rFonts w:ascii="Cambria Math" w:hAnsi="Cambria Math"/>
                    </w:rPr>
                    <m:t>t</m:t>
                  </m:r>
                </m:e>
              </m:acc>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S</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h</m:t>
                  </m:r>
                </m:e>
              </m:acc>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m:t>
              </m:r>
            </m:sup>
          </m:sSubSup>
          <m:sSub>
            <m:sSubPr>
              <m:ctrlPr>
                <w:rPr>
                  <w:rFonts w:ascii="Cambria Math" w:hAnsi="Cambria Math"/>
                </w:rPr>
              </m:ctrlPr>
            </m:sSubPr>
            <m:e>
              <m:acc>
                <m:accPr>
                  <m:ctrlPr>
                    <w:rPr>
                      <w:rFonts w:ascii="Cambria Math" w:hAnsi="Cambria Math"/>
                    </w:rPr>
                  </m:ctrlPr>
                </m:accPr>
                <m:e>
                  <m:r>
                    <m:rPr>
                      <m:sty m:val="b"/>
                    </m:rPr>
                    <w:rPr>
                      <w:rFonts w:ascii="Cambria Math" w:hAnsi="Cambria Math"/>
                    </w:rPr>
                    <m:t>h</m:t>
                  </m:r>
                </m:e>
              </m:acc>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p w:rsidR="00856292" w:rsidRDefault="00647760">
      <w:pPr>
        <w:rPr>
          <w:rFonts w:hint="eastAsia"/>
        </w:rPr>
      </w:pPr>
      <w:r>
        <w:rPr>
          <w:b/>
          <w:bCs/>
        </w:rPr>
        <w:t>4. Calculate relational distillation loss.</w:t>
      </w:r>
      <w:r>
        <w:t xml:space="preserve"> Match off-diagonal similarities and average equally across teachers; exclude self-similarity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w:t>
      </w:r>
    </w:p>
    <w:p w:rsidR="00856292" w:rsidRDefault="008F061C">
      <w:pPr>
        <w:pStyle w:val="BodyText"/>
        <w:rPr>
          <w:rFonts w:hint="eastAsia"/>
        </w:rPr>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m:rPr>
                  <m:sty m:val="p"/>
                </m:rPr>
                <w:rPr>
                  <w:rFonts w:ascii="Cambria Math" w:hAnsi="Cambria Math"/>
                </w:rPr>
                <m:t>KD</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m</m:t>
                  </m:r>
                </m:sub>
              </m:sSub>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m</m:t>
                  </m:r>
                </m:sub>
              </m:sSub>
            </m:sup>
            <m:e>
              <m:f>
                <m:fPr>
                  <m:ctrlPr>
                    <w:rPr>
                      <w:rFonts w:ascii="Cambria Math" w:hAnsi="Cambria Math"/>
                    </w:rPr>
                  </m:ctrlPr>
                </m:fPr>
                <m:num>
                  <m:r>
                    <w:rPr>
                      <w:rFonts w:ascii="Cambria Math" w:hAnsi="Cambria Math"/>
                    </w:rPr>
                    <m:t>1</m:t>
                  </m:r>
                </m:num>
                <m:den>
                  <m:r>
                    <w:rPr>
                      <w:rFonts w:ascii="Cambria Math" w:hAnsi="Cambria Math"/>
                    </w:rPr>
                    <m:t>B</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den>
              </m:f>
            </m:e>
          </m:nary>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m:rPr>
                  <m:sty m:val="p"/>
                </m:rPr>
                <w:rPr>
                  <w:rFonts w:ascii="Cambria Math" w:hAnsi="Cambria Math"/>
                </w:rPr>
                <m:t>(</m:t>
              </m:r>
            </m:e>
          </m:nary>
          <m:sSubSup>
            <m:sSubSupPr>
              <m:ctrlPr>
                <w:rPr>
                  <w:rFonts w:ascii="Cambria Math" w:hAnsi="Cambria Math"/>
                </w:rPr>
              </m:ctrlPr>
            </m:sSubSup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S</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T</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rsidR="00856292" w:rsidRDefault="00647760">
      <w:pPr>
        <w:rPr>
          <w:rFonts w:hint="eastAsia"/>
        </w:rPr>
      </w:pPr>
      <w:r>
        <w:rPr>
          <w:b/>
          <w:bCs/>
        </w:rPr>
        <w:t>5. Optimize the student.</w:t>
      </w:r>
      <w:r>
        <w:t xml:space="preserve"> Update only the student and its projections. Repeat independently for </w:t>
      </w:r>
      <m:oMath>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oMath>
      <w:r>
        <w:t>; do not update teacher parameters.</w:t>
      </w:r>
    </w:p>
    <w:p w:rsidR="00856292" w:rsidRDefault="008F061C">
      <w:pPr>
        <w:pStyle w:val="BodyText"/>
        <w:rPr>
          <w:rFonts w:hint="eastAsia"/>
        </w:rPr>
      </w:pPr>
      <m:oMathPara>
        <m:oMathParaPr>
          <m:jc m:val="center"/>
        </m:oMathParaPr>
        <m:oMath>
          <m:sSubSup>
            <m:sSubSupPr>
              <m:ctrlPr>
                <w:rPr>
                  <w:rFonts w:ascii="Cambria Math" w:hAnsi="Cambria Math"/>
                </w:rPr>
              </m:ctrlPr>
            </m:sSubSupPr>
            <m:e>
              <m:r>
                <w:rPr>
                  <w:rFonts w:ascii="Cambria Math" w:hAnsi="Cambria Math"/>
                </w:rPr>
                <m:t>θ</m:t>
              </m:r>
            </m:e>
            <m:sub>
              <m:r>
                <w:rPr>
                  <w:rFonts w:ascii="Cambria Math" w:hAnsi="Cambria Math"/>
                </w:rPr>
                <m:t>m</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m</m:t>
              </m:r>
              <m:r>
                <m:rPr>
                  <m:sty m:val="p"/>
                </m:rPr>
                <w:rPr>
                  <w:rFonts w:ascii="Cambria Math" w:hAnsi="Cambria Math"/>
                </w:rPr>
                <m:t>,</m:t>
              </m:r>
              <m:r>
                <w:rPr>
                  <w:rFonts w:ascii="Cambria Math" w:hAnsi="Cambria Math"/>
                </w:rPr>
                <m:t>k</m:t>
              </m:r>
            </m:sub>
            <m:sup>
              <m:r>
                <m:rPr>
                  <m:sty m:val="p"/>
                </m:rPr>
                <w:rPr>
                  <w:rFonts w:ascii="Cambria Math" w:hAnsi="Cambria Math"/>
                </w:rPr>
                <m:t>*</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m</m:t>
                  </m:r>
                </m:sub>
              </m:sSub>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θ</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lim>
          </m:limLow>
          <m:sSubSup>
            <m:sSubSupPr>
              <m:ctrlPr>
                <w:rPr>
                  <w:rFonts w:ascii="Cambria Math" w:hAnsi="Cambria Math"/>
                </w:rPr>
              </m:ctrlPr>
            </m:sSubSupPr>
            <m:e>
              <m:r>
                <m:rPr>
                  <m:scr m:val="script"/>
                  <m:sty m:val="p"/>
                </m:rPr>
                <w:rPr>
                  <w:rFonts w:ascii="Cambria Math" w:hAnsi="Cambria Math"/>
                </w:rPr>
                <m:t>L</m:t>
              </m:r>
            </m:e>
            <m:sub>
              <m:r>
                <m:rPr>
                  <m:sty m:val="p"/>
                </m:rPr>
                <w:rPr>
                  <w:rFonts w:ascii="Cambria Math" w:hAnsi="Cambria Math"/>
                </w:rPr>
                <m:t>KD</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oMath>
      </m:oMathPara>
    </w:p>
    <w:p w:rsidR="00856292" w:rsidRDefault="00647760">
      <w:pPr>
        <w:rPr>
          <w:rFonts w:hint="eastAsia"/>
        </w:rPr>
      </w:pPr>
      <w:r>
        <w:rPr>
          <w:b/>
          <w:bCs/>
        </w:rPr>
        <w:t>6. Evaluate, then train fusion.</w:t>
      </w:r>
      <w:r>
        <w:t xml:space="preserve"> Freeze the three distilled students, concatenate matched DNA/RNA/protein sequence embeddings, and optimize only the supervised fusion head </w:t>
      </w:r>
      <m:oMath>
        <m:sSub>
          <m:sSubPr>
            <m:ctrlPr>
              <w:rPr>
                <w:rFonts w:ascii="Cambria Math" w:hAnsi="Cambria Math"/>
              </w:rPr>
            </m:ctrlPr>
          </m:sSubPr>
          <m:e>
            <m:r>
              <w:rPr>
                <w:rFonts w:ascii="Cambria Math" w:hAnsi="Cambria Math"/>
              </w:rPr>
              <m:t>f</m:t>
            </m:r>
          </m:e>
          <m:sub>
            <m:r>
              <w:rPr>
                <w:rFonts w:ascii="Cambria Math" w:hAnsi="Cambria Math"/>
              </w:rPr>
              <m:t>ψ</m:t>
            </m:r>
          </m:sub>
        </m:sSub>
      </m:oMath>
      <w:r>
        <w:t>. The teacher-specific projection heads are not used for this initial downstream test.</w:t>
      </w:r>
    </w:p>
    <w:p w:rsidR="00856292" w:rsidRDefault="008F061C">
      <w:pPr>
        <w:pStyle w:val="BodyText"/>
        <w:rPr>
          <w:rFonts w:hint="eastAsia"/>
        </w:rPr>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D</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D</m:t>
                          </m:r>
                        </m:sup>
                      </m:sSup>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R</m:t>
                          </m:r>
                        </m:sup>
                      </m:sSup>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P</m:t>
                          </m:r>
                        </m:sup>
                      </m:sSup>
                    </m:e>
                  </m:d>
                </m:e>
              </m:d>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ψ</m:t>
              </m:r>
            </m:lim>
          </m:limLow>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task</m:t>
                  </m:r>
                </m:sub>
              </m:sSub>
            </m:e>
          </m:nary>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oMath>
      </m:oMathPara>
    </w:p>
    <w:p w:rsidR="00856292" w:rsidRDefault="00647760">
      <w:pPr>
        <w:pStyle w:val="Heading3"/>
      </w:pPr>
      <w:r>
        <w:rPr>
          <w:b w:val="0"/>
        </w:rPr>
        <w:t>Critical safeguards and interpretation</w:t>
      </w:r>
    </w:p>
    <w:p w:rsidR="00856292" w:rsidRDefault="00647760">
      <w:pPr>
        <w:rPr>
          <w:rFonts w:hint="eastAsia"/>
        </w:rPr>
      </w:pPr>
      <w:r>
        <w:t>• Relational similarity depends on the chosen pooling, sequence length and batch composition. Assess stability with different batches and length-controlled controls.</w:t>
      </w:r>
    </w:p>
    <w:p w:rsidR="00856292" w:rsidRDefault="00647760">
      <w:pPr>
        <w:rPr>
          <w:rFonts w:hint="eastAsia"/>
        </w:rPr>
      </w:pPr>
      <w:r>
        <w:t>• One student can still lose teacher-specific details; a low relational loss does NOT establish that all task-relevant information was retained. Evaluate probes and downstream biological tasks.</w:t>
      </w:r>
    </w:p>
    <w:p w:rsidR="00856292" w:rsidRDefault="00647760">
      <w:pPr>
        <w:rPr>
          <w:rFonts w:hint="eastAsia"/>
        </w:rPr>
      </w:pPr>
      <w:r>
        <w:t>• Different tokenizations are compatible at SEQUENCE level, but this loss does not preserve local codon, UTR or residue-level detail. If local tasks are important, add a separately validated token/region-level experiment later.</w:t>
      </w:r>
    </w:p>
    <w:p w:rsidR="00856292" w:rsidRDefault="00647760">
      <w:pPr>
        <w:rPr>
          <w:rFonts w:hint="eastAsia"/>
        </w:rPr>
      </w:pPr>
      <w:r>
        <w:t>• Check for collapse: constant student embeddings are undesirable. Monitor variance, per-teacher similarities and nontrivial downstream scores; add an explicit anti-collapse mechanism only if validation diagnoses collapse.</w:t>
      </w:r>
    </w:p>
    <w:p w:rsidR="00856292" w:rsidRDefault="00647760">
      <w:pPr>
        <w:rPr>
          <w:rFonts w:hint="eastAsia"/>
        </w:rPr>
      </w:pPr>
      <w:r>
        <w:t>• If teacher outputs encode distinct functions, multi-head projections can help represent distinct relationships but do not create extra student capacity. Compare with larger and smaller students; report the accuracy–compression trade-off.</w:t>
      </w:r>
    </w:p>
    <w:p w:rsidR="00856292" w:rsidRDefault="00647760">
      <w:pPr>
        <w:rPr>
          <w:rFonts w:hint="eastAsia"/>
        </w:rPr>
      </w:pPr>
      <w:r>
        <w:t>• Use downstream loss L_task (MSE for regression, cross-entropy for classification) when fitting the fusion predictor AFTER distillation. Fusion gain Δ_fusion is a held-out evaluation metric, not a differentiable distillation training loss.</w:t>
      </w:r>
    </w:p>
    <w:p w:rsidR="00856292" w:rsidRDefault="00647760">
      <w:pPr>
        <w:pStyle w:val="Heading3"/>
      </w:pPr>
      <w:r>
        <w:t>Evaluation only (higher-is-better held-out metric; F denotes the chosen fusion head):</w:t>
      </w:r>
    </w:p>
    <w:p w:rsidR="00856292" w:rsidRDefault="008F061C">
      <w:pPr>
        <w:spacing w:before="140" w:after="140"/>
        <w:jc w:val="center"/>
        <w:rPr>
          <w:rFonts w:hint="eastAsia"/>
        </w:rPr>
      </w:pPr>
      <m:oMathPara>
        <m:oMathParaPr>
          <m:jc m:val="center"/>
        </m:oMathParaPr>
        <m:oMath>
          <m:sSub>
            <m:sSubPr>
              <m:ctrlPr>
                <w:rPr>
                  <w:rFonts w:ascii="Cambria Math" w:hAnsi="Cambria Math"/>
                </w:rPr>
              </m:ctrlPr>
            </m:sSubPr>
            <m:e>
              <m:r>
                <w:rPr>
                  <w:rFonts w:ascii="Cambria Math" w:hAnsi="Cambria Math"/>
                </w:rPr>
                <m:t>Δ</m:t>
              </m:r>
            </m:e>
            <m:sub>
              <m:r>
                <m:rPr>
                  <m:sty m:val="p"/>
                </m:rPr>
                <w:rPr>
                  <w:rFonts w:ascii="Cambria Math" w:hAnsi="Cambria Math"/>
                </w:rPr>
                <m:t>student</m:t>
              </m:r>
            </m:sub>
          </m:sSub>
          <m:r>
            <m:rPr>
              <m:sty m:val="p"/>
            </m:rPr>
            <w:rPr>
              <w:rFonts w:ascii="Cambria Math" w:hAnsi="Cambria Math"/>
            </w:rPr>
            <m:t>=Perf</m:t>
          </m:r>
          <m:r>
            <w:rPr>
              <w:rFonts w:ascii="Cambria Math" w:hAnsi="Cambria Math"/>
            </w:rPr>
            <m:t>​</m:t>
          </m:r>
          <m:d>
            <m:dPr>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e>
              </m:d>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lim>
          </m:limLow>
          <m:r>
            <m:rPr>
              <m:sty m:val="p"/>
            </m:rPr>
            <w:rPr>
              <w:rFonts w:ascii="Cambria Math" w:hAnsi="Cambria Math"/>
            </w:rPr>
            <m:t>Perf</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m</m:t>
                  </m:r>
                </m:sub>
              </m:sSub>
            </m:e>
          </m:d>
        </m:oMath>
      </m:oMathPara>
    </w:p>
    <w:p w:rsidR="00856292" w:rsidRDefault="008F061C">
      <w:pPr>
        <w:spacing w:before="140" w:after="140"/>
        <w:jc w:val="center"/>
        <w:rPr>
          <w:rFonts w:hint="eastAsia"/>
        </w:rPr>
      </w:pPr>
      <m:oMathPara>
        <m:oMathParaPr>
          <m:jc m:val="center"/>
        </m:oMathParaPr>
        <m:oMath>
          <m:sSub>
            <m:sSubPr>
              <m:ctrlPr>
                <w:rPr>
                  <w:rFonts w:ascii="Cambria Math" w:hAnsi="Cambria Math"/>
                </w:rPr>
              </m:ctrlPr>
            </m:sSubPr>
            <m:e>
              <m:r>
                <w:rPr>
                  <w:rFonts w:ascii="Cambria Math" w:hAnsi="Cambria Math"/>
                </w:rPr>
                <m:t>Δ</m:t>
              </m:r>
            </m:e>
            <m:sub>
              <m:r>
                <m:rPr>
                  <m:sty m:val="p"/>
                </m:rPr>
                <w:rPr>
                  <w:rFonts w:ascii="Cambria Math" w:hAnsi="Cambria Math"/>
                </w:rPr>
                <m:t>teacher</m:t>
              </m:r>
            </m:sub>
          </m:sSub>
          <m:r>
            <m:rPr>
              <m:sty m:val="p"/>
            </m:rPr>
            <w:rPr>
              <w:rFonts w:ascii="Cambria Math" w:hAnsi="Cambria Math"/>
            </w:rPr>
            <m:t>=Perf</m:t>
          </m:r>
          <m:r>
            <w:rPr>
              <w:rFonts w:ascii="Cambria Math" w:hAnsi="Cambria Math"/>
            </w:rPr>
            <m:t>​</m:t>
          </m:r>
          <m:d>
            <m:dPr>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e>
              </m:d>
            </m:e>
          </m:d>
          <m:r>
            <m:rPr>
              <m:sty m:val="p"/>
            </m:rPr>
            <w:rPr>
              <w:rFonts w:ascii="Cambria Math" w:hAnsi="Cambria Math"/>
            </w:rPr>
            <m:t>-Perf</m:t>
          </m:r>
          <m:r>
            <w:rPr>
              <w:rFonts w:ascii="Cambria Math" w:hAnsi="Cambria Math"/>
            </w:rPr>
            <m:t>​</m:t>
          </m:r>
          <m:d>
            <m:dPr>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all</m:t>
                      </m:r>
                    </m:sub>
                  </m:sSub>
                </m:e>
              </m:d>
            </m:e>
          </m:d>
        </m:oMath>
      </m:oMathPara>
    </w:p>
    <w:p w:rsidR="00856292" w:rsidRDefault="00647760">
      <w:pPr>
        <w:rPr>
          <w:rFonts w:hint="eastAsia"/>
        </w:rPr>
      </w:pPr>
      <w:r>
        <w:t>Perf = held-out prediction score on the same data split and metric (e.g., Spearman correlation, Pearson correlation, or accuracy). F(T_all) denotes the fusion of full-size teacher representations. Δ is not a training loss; report parameter count, accuracy, and inference cost together. For lower-is-better metrics (such as MSE), reverse the comparison.</w:t>
      </w:r>
    </w:p>
    <w:p w:rsidR="00856292" w:rsidRDefault="00647760">
      <w:pPr>
        <w:rPr>
          <w:rFonts w:hint="eastAsia"/>
        </w:rPr>
      </w:pPr>
      <w:r>
        <w:t>References: Park et al., “Relational Knowledge Distillation,” CVPR 2019, https://arxiv.org/abs/1904.05068 ; Romero et al., “FitNets: Hints for Thin Deep Nets,” ICLR 2015, https://arxiv.org/abs/1412.6550 . The teacher-specific projection formulation above is our proposed experimental design, not a verbatim objective from either paper.</w:t>
      </w:r>
    </w:p>
    <w:p w:rsidR="00856292" w:rsidRDefault="00647760">
      <w:pPr>
        <w:pStyle w:val="Heading1"/>
      </w:pPr>
      <w:r>
        <w:t>Implementation order and deliverables</w:t>
      </w:r>
    </w:p>
    <w:tbl>
      <w:tblPr>
        <w:tblStyle w:val="LightShading-Accent1"/>
        <w:tblW w:w="0" w:type="auto"/>
        <w:tblLook w:val="04A0" w:firstRow="1" w:lastRow="0" w:firstColumn="1" w:lastColumn="0" w:noHBand="0" w:noVBand="1"/>
      </w:tblPr>
      <w:tblGrid>
        <w:gridCol w:w="3293"/>
        <w:gridCol w:w="3293"/>
        <w:gridCol w:w="3293"/>
      </w:tblGrid>
      <w:tr w:rsidR="00856292" w:rsidTr="00856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rsidR="00856292" w:rsidRDefault="00647760">
            <w:pPr>
              <w:rPr>
                <w:rFonts w:hint="eastAsia"/>
              </w:rPr>
            </w:pPr>
            <w:r>
              <w:t>Order</w:t>
            </w:r>
          </w:p>
        </w:tc>
        <w:tc>
          <w:tcPr>
            <w:tcW w:w="3293" w:type="dxa"/>
          </w:tcPr>
          <w:p w:rsidR="00856292" w:rsidRDefault="00647760">
            <w:pPr>
              <w:cnfStyle w:val="100000000000" w:firstRow="1" w:lastRow="0" w:firstColumn="0" w:lastColumn="0" w:oddVBand="0" w:evenVBand="0" w:oddHBand="0" w:evenHBand="0" w:firstRowFirstColumn="0" w:firstRowLastColumn="0" w:lastRowFirstColumn="0" w:lastRowLastColumn="0"/>
              <w:rPr>
                <w:rFonts w:hint="eastAsia"/>
              </w:rPr>
            </w:pPr>
            <w:r>
              <w:t>Deliverable</w:t>
            </w:r>
          </w:p>
        </w:tc>
        <w:tc>
          <w:tcPr>
            <w:tcW w:w="3293" w:type="dxa"/>
          </w:tcPr>
          <w:p w:rsidR="00856292" w:rsidRDefault="00647760">
            <w:pPr>
              <w:cnfStyle w:val="100000000000" w:firstRow="1" w:lastRow="0" w:firstColumn="0" w:lastColumn="0" w:oddVBand="0" w:evenVBand="0" w:oddHBand="0" w:evenHBand="0" w:firstRowFirstColumn="0" w:firstRowLastColumn="0" w:lastRowFirstColumn="0" w:lastRowLastColumn="0"/>
              <w:rPr>
                <w:rFonts w:hint="eastAsia"/>
              </w:rPr>
            </w:pPr>
            <w:r>
              <w:t>Decision</w:t>
            </w:r>
          </w:p>
        </w:tc>
      </w:tr>
      <w:tr w:rsidR="00856292" w:rsidTr="00856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rsidR="00856292" w:rsidRDefault="00647760">
            <w:pPr>
              <w:rPr>
                <w:rFonts w:hint="eastAsia"/>
              </w:rPr>
            </w:pPr>
            <w:r>
              <w:t>1</w:t>
            </w:r>
          </w:p>
        </w:tc>
        <w:tc>
          <w:tcPr>
            <w:tcW w:w="3293" w:type="dxa"/>
          </w:tcPr>
          <w:p w:rsidR="00856292" w:rsidRDefault="00647760">
            <w:pPr>
              <w:cnfStyle w:val="000000100000" w:firstRow="0" w:lastRow="0" w:firstColumn="0" w:lastColumn="0" w:oddVBand="0" w:evenVBand="0" w:oddHBand="1" w:evenHBand="0" w:firstRowFirstColumn="0" w:firstRowLastColumn="0" w:lastRowFirstColumn="0" w:lastRowLastColumn="0"/>
              <w:rPr>
                <w:rFonts w:hint="eastAsia"/>
              </w:rPr>
            </w:pPr>
            <w:r>
              <w:t>BioLangFusion reproduction on all five paper datasets; score table</w:t>
            </w:r>
          </w:p>
        </w:tc>
        <w:tc>
          <w:tcPr>
            <w:tcW w:w="3293" w:type="dxa"/>
          </w:tcPr>
          <w:p w:rsidR="00856292" w:rsidRDefault="00647760">
            <w:pPr>
              <w:cnfStyle w:val="000000100000" w:firstRow="0" w:lastRow="0" w:firstColumn="0" w:lastColumn="0" w:oddVBand="0" w:evenVBand="0" w:oddHBand="1" w:evenHBand="0" w:firstRowFirstColumn="0" w:firstRowLastColumn="0" w:lastRowFirstColumn="0" w:lastRowLastColumn="0"/>
              <w:rPr>
                <w:rFonts w:hint="eastAsia"/>
              </w:rPr>
            </w:pPr>
            <w:r>
              <w:t>Resolve reproducibility gaps before encoder swaps</w:t>
            </w:r>
          </w:p>
        </w:tc>
      </w:tr>
      <w:tr w:rsidR="00856292" w:rsidTr="00856292">
        <w:tc>
          <w:tcPr>
            <w:cnfStyle w:val="001000000000" w:firstRow="0" w:lastRow="0" w:firstColumn="1" w:lastColumn="0" w:oddVBand="0" w:evenVBand="0" w:oddHBand="0" w:evenHBand="0" w:firstRowFirstColumn="0" w:firstRowLastColumn="0" w:lastRowFirstColumn="0" w:lastRowLastColumn="0"/>
            <w:tcW w:w="3293" w:type="dxa"/>
          </w:tcPr>
          <w:p w:rsidR="00856292" w:rsidRDefault="00647760">
            <w:pPr>
              <w:rPr>
                <w:rFonts w:hint="eastAsia"/>
              </w:rPr>
            </w:pPr>
            <w:r>
              <w:t>2</w:t>
            </w:r>
          </w:p>
        </w:tc>
        <w:tc>
          <w:tcPr>
            <w:tcW w:w="3293" w:type="dxa"/>
          </w:tcPr>
          <w:p w:rsidR="00856292" w:rsidRDefault="00647760">
            <w:pPr>
              <w:cnfStyle w:val="000000000000" w:firstRow="0" w:lastRow="0" w:firstColumn="0" w:lastColumn="0" w:oddVBand="0" w:evenVBand="0" w:oddHBand="0" w:evenHBand="0" w:firstRowFirstColumn="0" w:firstRowLastColumn="0" w:lastRowFirstColumn="0" w:lastRowLastColumn="0"/>
              <w:rPr>
                <w:rFonts w:hint="eastAsia"/>
              </w:rPr>
            </w:pPr>
            <w:r>
              <w:t>Same implementation with alternative encoders on Fungal, E. coli, mRNA Stab., Ab1 (also CoV-Vac if feasible)</w:t>
            </w:r>
          </w:p>
        </w:tc>
        <w:tc>
          <w:tcPr>
            <w:tcW w:w="3293" w:type="dxa"/>
          </w:tcPr>
          <w:p w:rsidR="00856292" w:rsidRDefault="00647760">
            <w:pPr>
              <w:cnfStyle w:val="000000000000" w:firstRow="0" w:lastRow="0" w:firstColumn="0" w:lastColumn="0" w:oddVBand="0" w:evenVBand="0" w:oddHBand="0" w:evenHBand="0" w:firstRowFirstColumn="0" w:firstRowLastColumn="0" w:lastRowFirstColumn="0" w:lastRowLastColumn="0"/>
              <w:rPr>
                <w:rFonts w:hint="eastAsia"/>
              </w:rPr>
            </w:pPr>
            <w:r>
              <w:t>Select encoders by consistent improvements over original + best unimodal</w:t>
            </w:r>
          </w:p>
        </w:tc>
      </w:tr>
      <w:tr w:rsidR="00856292" w:rsidTr="00856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rsidR="00856292" w:rsidRDefault="00647760">
            <w:pPr>
              <w:rPr>
                <w:rFonts w:hint="eastAsia"/>
              </w:rPr>
            </w:pPr>
            <w:r>
              <w:t>3</w:t>
            </w:r>
          </w:p>
        </w:tc>
        <w:tc>
          <w:tcPr>
            <w:tcW w:w="3293" w:type="dxa"/>
          </w:tcPr>
          <w:p w:rsidR="00856292" w:rsidRDefault="00647760">
            <w:pPr>
              <w:cnfStyle w:val="000000100000" w:firstRow="0" w:lastRow="0" w:firstColumn="0" w:lastColumn="0" w:oddVBand="0" w:evenVBand="0" w:oddHBand="1" w:evenHBand="0" w:firstRowFirstColumn="0" w:firstRowLastColumn="0" w:lastRowFirstColumn="0" w:lastRowLastColumn="0"/>
              <w:rPr>
                <w:rFonts w:hint="eastAsia"/>
              </w:rPr>
            </w:pPr>
            <w:r>
              <w:t>LucaOne frozen baseline; matched comparison</w:t>
            </w:r>
          </w:p>
        </w:tc>
        <w:tc>
          <w:tcPr>
            <w:tcW w:w="3293" w:type="dxa"/>
          </w:tcPr>
          <w:p w:rsidR="00856292" w:rsidRDefault="00647760">
            <w:pPr>
              <w:cnfStyle w:val="000000100000" w:firstRow="0" w:lastRow="0" w:firstColumn="0" w:lastColumn="0" w:oddVBand="0" w:evenVBand="0" w:oddHBand="1" w:evenHBand="0" w:firstRowFirstColumn="0" w:firstRowLastColumn="0" w:lastRowFirstColumn="0" w:lastRowLastColumn="0"/>
              <w:rPr>
                <w:rFonts w:hint="eastAsia"/>
              </w:rPr>
            </w:pPr>
            <w:r>
              <w:t>Report jointly pretrained alternative</w:t>
            </w:r>
          </w:p>
        </w:tc>
      </w:tr>
      <w:tr w:rsidR="00856292" w:rsidTr="00856292">
        <w:tc>
          <w:tcPr>
            <w:cnfStyle w:val="001000000000" w:firstRow="0" w:lastRow="0" w:firstColumn="1" w:lastColumn="0" w:oddVBand="0" w:evenVBand="0" w:oddHBand="0" w:evenHBand="0" w:firstRowFirstColumn="0" w:firstRowLastColumn="0" w:lastRowFirstColumn="0" w:lastRowLastColumn="0"/>
            <w:tcW w:w="3293" w:type="dxa"/>
          </w:tcPr>
          <w:p w:rsidR="00856292" w:rsidRDefault="00647760">
            <w:pPr>
              <w:rPr>
                <w:rFonts w:hint="eastAsia"/>
              </w:rPr>
            </w:pPr>
            <w:r>
              <w:t>4</w:t>
            </w:r>
          </w:p>
        </w:tc>
        <w:tc>
          <w:tcPr>
            <w:tcW w:w="3293" w:type="dxa"/>
          </w:tcPr>
          <w:p w:rsidR="00856292" w:rsidRDefault="00647760">
            <w:pPr>
              <w:cnfStyle w:val="000000000000" w:firstRow="0" w:lastRow="0" w:firstColumn="0" w:lastColumn="0" w:oddVBand="0" w:evenVBand="0" w:oddHBand="0" w:evenHBand="0" w:firstRowFirstColumn="0" w:firstRowLastColumn="0" w:lastRowFirstColumn="0" w:lastRowLastColumn="0"/>
              <w:rPr>
                <w:rFonts w:hint="eastAsia"/>
              </w:rPr>
            </w:pPr>
            <w:r>
              <w:t>mRNABench half-life and translation efficiency</w:t>
            </w:r>
          </w:p>
        </w:tc>
        <w:tc>
          <w:tcPr>
            <w:tcW w:w="3293" w:type="dxa"/>
          </w:tcPr>
          <w:p w:rsidR="00856292" w:rsidRDefault="00647760">
            <w:pPr>
              <w:cnfStyle w:val="000000000000" w:firstRow="0" w:lastRow="0" w:firstColumn="0" w:lastColumn="0" w:oddVBand="0" w:evenVBand="0" w:oddHBand="0" w:evenHBand="0" w:firstRowFirstColumn="0" w:firstRowLastColumn="0" w:lastRowFirstColumn="0" w:lastRowLastColumn="0"/>
              <w:rPr>
                <w:rFonts w:hint="eastAsia"/>
              </w:rPr>
            </w:pPr>
            <w:r>
              <w:t>Keep only datasets passing sequence / label gates</w:t>
            </w:r>
          </w:p>
        </w:tc>
      </w:tr>
      <w:tr w:rsidR="00856292" w:rsidTr="00856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rsidR="00856292" w:rsidRDefault="00647760">
            <w:pPr>
              <w:rPr>
                <w:rFonts w:hint="eastAsia"/>
              </w:rPr>
            </w:pPr>
            <w:r>
              <w:t>Parallel</w:t>
            </w:r>
          </w:p>
        </w:tc>
        <w:tc>
          <w:tcPr>
            <w:tcW w:w="3293" w:type="dxa"/>
          </w:tcPr>
          <w:p w:rsidR="00856292" w:rsidRDefault="00647760">
            <w:pPr>
              <w:cnfStyle w:val="000000100000" w:firstRow="0" w:lastRow="0" w:firstColumn="0" w:lastColumn="0" w:oddVBand="0" w:evenVBand="0" w:oddHBand="1" w:evenHBand="0" w:firstRowFirstColumn="0" w:firstRowLastColumn="0" w:lastRowFirstColumn="0" w:lastRowLastColumn="0"/>
              <w:rPr>
                <w:rFonts w:hint="eastAsia"/>
              </w:rPr>
            </w:pPr>
            <w:r>
              <w:t>mRFP inexpensive probe</w:t>
            </w:r>
          </w:p>
        </w:tc>
        <w:tc>
          <w:tcPr>
            <w:tcW w:w="3293" w:type="dxa"/>
          </w:tcPr>
          <w:p w:rsidR="00856292" w:rsidRDefault="00647760">
            <w:pPr>
              <w:cnfStyle w:val="000000100000" w:firstRow="0" w:lastRow="0" w:firstColumn="0" w:lastColumn="0" w:oddVBand="0" w:evenVBand="0" w:oddHBand="1" w:evenHBand="0" w:firstRowFirstColumn="0" w:firstRowLastColumn="0" w:lastRowFirstColumn="0" w:lastRowLastColumn="0"/>
              <w:rPr>
                <w:rFonts w:hint="eastAsia"/>
              </w:rPr>
            </w:pPr>
            <w:r>
              <w:t>Record nucleotide-specific predictive value</w:t>
            </w:r>
          </w:p>
        </w:tc>
      </w:tr>
      <w:tr w:rsidR="00856292" w:rsidTr="00856292">
        <w:tc>
          <w:tcPr>
            <w:cnfStyle w:val="001000000000" w:firstRow="0" w:lastRow="0" w:firstColumn="1" w:lastColumn="0" w:oddVBand="0" w:evenVBand="0" w:oddHBand="0" w:evenHBand="0" w:firstRowFirstColumn="0" w:firstRowLastColumn="0" w:lastRowFirstColumn="0" w:lastRowLastColumn="0"/>
            <w:tcW w:w="3293" w:type="dxa"/>
          </w:tcPr>
          <w:p w:rsidR="00856292" w:rsidRDefault="00647760">
            <w:pPr>
              <w:rPr>
                <w:rFonts w:hint="eastAsia"/>
              </w:rPr>
            </w:pPr>
            <w:r>
              <w:lastRenderedPageBreak/>
              <w:t>Later</w:t>
            </w:r>
          </w:p>
        </w:tc>
        <w:tc>
          <w:tcPr>
            <w:tcW w:w="3293" w:type="dxa"/>
          </w:tcPr>
          <w:p w:rsidR="00856292" w:rsidRDefault="00647760">
            <w:pPr>
              <w:cnfStyle w:val="000000000000" w:firstRow="0" w:lastRow="0" w:firstColumn="0" w:lastColumn="0" w:oddVBand="0" w:evenVBand="0" w:oddHBand="0" w:evenHBand="0" w:firstRowFirstColumn="0" w:firstRowLastColumn="0" w:lastRowFirstColumn="0" w:lastRowLastColumn="0"/>
              <w:rPr>
                <w:rFonts w:hint="eastAsia"/>
              </w:rPr>
            </w:pPr>
            <w:r>
              <w:t>Structure exploration</w:t>
            </w:r>
          </w:p>
        </w:tc>
        <w:tc>
          <w:tcPr>
            <w:tcW w:w="3293" w:type="dxa"/>
          </w:tcPr>
          <w:p w:rsidR="00856292" w:rsidRDefault="00647760">
            <w:pPr>
              <w:cnfStyle w:val="000000000000" w:firstRow="0" w:lastRow="0" w:firstColumn="0" w:lastColumn="0" w:oddVBand="0" w:evenVBand="0" w:oddHBand="0" w:evenHBand="0" w:firstRowFirstColumn="0" w:firstRowLastColumn="0" w:lastRowFirstColumn="0" w:lastRowLastColumn="0"/>
              <w:rPr>
                <w:rFonts w:hint="eastAsia"/>
              </w:rPr>
            </w:pPr>
            <w:r>
              <w:t>Only if a suitable structure-related task is available</w:t>
            </w:r>
          </w:p>
        </w:tc>
      </w:tr>
    </w:tbl>
    <w:p w:rsidR="00856292" w:rsidRDefault="00647760">
      <w:pPr>
        <w:rPr>
          <w:rFonts w:hint="eastAsia"/>
        </w:rPr>
      </w:pPr>
      <w:r>
        <w:t>Common rules: Pin datasets and model checkpoints; keep original published splits for reproduction; use biologically grouped evaluation as a separate robustness analysis where possible. Do not tune on held-out test labels. Report preprocessing/tokenization limits, sequence coverage, all baselines, and uncertainty. Positional codon mapping is part of the BioLangFusion reproduction; global representational alignment is not an assumed prerequisite. Multi-teacher distillation (Section 7) is an exploratory follow-up; it should not alter faithful BioLangFusion reproduction.</w:t>
      </w:r>
    </w:p>
    <w:p w:rsidR="00856292" w:rsidRDefault="00647760">
      <w:pPr>
        <w:pStyle w:val="Heading1"/>
      </w:pPr>
      <w:bookmarkStart w:id="0" w:name="_GoBack"/>
      <w:bookmarkEnd w:id="0"/>
      <w:r>
        <w:t>Sources to implement against</w:t>
      </w:r>
    </w:p>
    <w:p w:rsidR="00856292" w:rsidRDefault="00647760">
      <w:pPr>
        <w:rPr>
          <w:rFonts w:hint="eastAsia"/>
        </w:rPr>
      </w:pPr>
      <w:r>
        <w:t>Mollaysa et al., BioLangFusion: Multimodal Fusion of DNA, mRNA, and Protein Language Models (arXiv:2506.08936), paper methods, Table 1 and appendix; CodonBERT dataset summary (Genome Research, 2024) for Fungal, E. coli and mRNA stability task definitions. Verify the exact BioLangFusion dataset releases and split artifacts before training.</w:t>
      </w:r>
    </w:p>
    <w:sectPr w:rsidR="00856292" w:rsidSect="00034616">
      <w:footerReference w:type="default" r:id="rId14"/>
      <w:pgSz w:w="12240" w:h="15840"/>
      <w:pgMar w:top="936" w:right="1181" w:bottom="936"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061C" w:rsidRDefault="008F061C">
      <w:pPr>
        <w:spacing w:after="0" w:line="240" w:lineRule="auto"/>
        <w:rPr>
          <w:rFonts w:hint="eastAsia"/>
        </w:rPr>
      </w:pPr>
      <w:r>
        <w:separator/>
      </w:r>
    </w:p>
  </w:endnote>
  <w:endnote w:type="continuationSeparator" w:id="0">
    <w:p w:rsidR="008F061C" w:rsidRDefault="008F06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7760" w:rsidRDefault="00647760">
    <w:pPr>
      <w:pStyle w:val="Footer"/>
      <w:rPr>
        <w:rFonts w:hint="eastAsia"/>
      </w:rPr>
    </w:pPr>
    <w:r>
      <w:t>Research experiment plan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061C" w:rsidRDefault="008F061C">
      <w:pPr>
        <w:spacing w:after="0" w:line="240" w:lineRule="auto"/>
        <w:rPr>
          <w:rFonts w:hint="eastAsia"/>
        </w:rPr>
      </w:pPr>
      <w:r>
        <w:separator/>
      </w:r>
    </w:p>
  </w:footnote>
  <w:footnote w:type="continuationSeparator" w:id="0">
    <w:p w:rsidR="008F061C" w:rsidRDefault="008F06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F77"/>
    <w:rsid w:val="0015074B"/>
    <w:rsid w:val="00245AC5"/>
    <w:rsid w:val="0029639D"/>
    <w:rsid w:val="00326F90"/>
    <w:rsid w:val="00471D31"/>
    <w:rsid w:val="00485529"/>
    <w:rsid w:val="005600C7"/>
    <w:rsid w:val="00647760"/>
    <w:rsid w:val="007F0E94"/>
    <w:rsid w:val="00856292"/>
    <w:rsid w:val="008F06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435C592-853E-4826-9689-0CA0A5FD2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E5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E5A"/>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E5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fold.ebi.ac.uk/" TargetMode="External"/><Relationship Id="rId13" Type="http://schemas.openxmlformats.org/officeDocument/2006/relationships/hyperlink" Target="https://github.com/mxfold/mxfold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WaymentSteeleLab/EternaFol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ViennaRNA/ViennaRN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facebookresearch/esm" TargetMode="External"/><Relationship Id="rId4" Type="http://schemas.openxmlformats.org/officeDocument/2006/relationships/settings" Target="settings.xml"/><Relationship Id="rId9" Type="http://schemas.openxmlformats.org/officeDocument/2006/relationships/hyperlink" Target="https://github.com/google-deepmind/alphafol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0C88DF-137E-4A7E-A9F6-A3C9075CE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4208</Words>
  <Characters>23990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Mina Basirat</cp:lastModifiedBy>
  <cp:revision>6</cp:revision>
  <dcterms:created xsi:type="dcterms:W3CDTF">2013-12-23T23:15:00Z</dcterms:created>
  <dcterms:modified xsi:type="dcterms:W3CDTF">2026-10-10T00:02:00Z</dcterms:modified>
  <cp:category/>
</cp:coreProperties>
</file>