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multimodal-bio-fusion</w:t>
      </w:r>
    </w:p>
    <w:p>
      <w:pPr>
        <w:spacing w:after="80"/>
        <w:jc w:val="center"/>
      </w:pPr>
      <w:r>
        <w:rPr>
          <w:sz w:val="28"/>
          <w:szCs w:val="28"/>
        </w:rPr>
        <w:t xml:space="preserve">Shared Project Notes</w:t>
      </w:r>
    </w:p>
    <w:p>
      <w:pPr>
        <w:spacing w:after="320"/>
        <w:jc w:val="center"/>
      </w:pPr>
      <w:r>
        <w:rPr>
          <w:sz w:val="22"/>
          <w:szCs w:val="22"/>
        </w:rPr>
        <w:t xml:space="preserve">Complex Adaptive Systems Laboratory, University of Central Florida</w:t>
      </w:r>
    </w:p>
    <w:p>
      <w:pPr>
        <w:pStyle w:val="Heading1"/>
      </w:pPr>
      <w:r>
        <w:t xml:space="preserve">About These Notes</w:t>
      </w:r>
    </w:p>
    <w:p>
      <w:pPr>
        <w:spacing w:after="160"/>
      </w:pPr>
      <w:r>
        <w:t xml:space="preserve">These notes bring the project's goal, research framing, literature, methods, current results, and next steps together in one place, so that everyone working on the project can follow the reasoning behind each decision without needing earlier conversations.</w:t>
      </w:r>
    </w:p>
    <w:p>
      <w:pPr>
        <w:pStyle w:val="ListParagraph"/>
        <w:numPr>
          <w:ilvl w:val="0"/>
          <w:numId w:val="2"/>
        </w:numPr>
        <w:spacing w:after="100"/>
      </w:pPr>
      <w:r>
        <w:rPr>
          <w:b/>
          <w:bCs/>
        </w:rPr>
        <w:t xml:space="preserve">Team:</w:t>
      </w:r>
      <w:r>
        <w:t xml:space="preserve"> Julian McKinley and Chase Di Maria Breisinger, advised by Mina Basirat.</w:t>
      </w:r>
    </w:p>
    <w:p>
      <w:pPr>
        <w:pStyle w:val="ListParagraph"/>
        <w:numPr>
          <w:ilvl w:val="0"/>
          <w:numId w:val="2"/>
        </w:numPr>
        <w:spacing w:after="100"/>
      </w:pPr>
      <w:r>
        <w:rPr>
          <w:b/>
          <w:bCs/>
        </w:rPr>
        <w:t xml:space="preserve">Source of results:</w:t>
      </w:r>
      <w:r>
        <w:t xml:space="preserve"> every Stage 1 number reported here comes from the saved outputs of Code/Stage1_analysis.ipynb in the project repository (multimodal-bio-fusion on GitHub).</w:t>
      </w:r>
    </w:p>
    <w:p>
      <w:pPr>
        <w:pStyle w:val="ListParagraph"/>
        <w:numPr>
          <w:ilvl w:val="0"/>
          <w:numId w:val="2"/>
        </w:numPr>
        <w:spacing w:after="100"/>
      </w:pPr>
      <w:r>
        <w:rPr>
          <w:b/>
          <w:bCs/>
        </w:rPr>
        <w:t xml:space="preserve">Manuscript:</w:t>
      </w:r>
      <w:r>
        <w:t xml:space="preserve"> the project paper is written in the Overleaf project “multimodal-bio-fusion” at https://www.overleaf.com/project/6ab8535fb63c8540bed7e56f, which also records the Stage 1 methods and what each metric means.</w:t>
      </w:r>
    </w:p>
    <w:p>
      <w:pPr>
        <w:pStyle w:val="ListParagraph"/>
        <w:numPr>
          <w:ilvl w:val="0"/>
          <w:numId w:val="2"/>
        </w:numPr>
        <w:spacing w:after="100"/>
      </w:pPr>
      <w:r>
        <w:rPr>
          <w:b/>
          <w:bCs/>
        </w:rPr>
        <w:t xml:space="preserve">Related material:</w:t>
      </w:r>
      <w:r>
        <w:t xml:space="preserve"> individual paper reviews are in Reviews/, reference papers in Papers/, and the repository README and docs/ folder cover setup, data, and navigation.</w:t>
      </w:r>
    </w:p>
    <w:p>
      <w:pPr>
        <w:pStyle w:val="Heading1"/>
      </w:pPr>
      <w:r>
        <w:t xml:space="preserve">Summary</w:t>
      </w:r>
    </w:p>
    <w:p>
      <w:pPr>
        <w:pStyle w:val="Heading2"/>
      </w:pPr>
      <w:r>
        <w:t xml:space="preserve">Where the Project Stands</w:t>
      </w:r>
    </w:p>
    <w:p>
      <w:pPr>
        <w:spacing w:after="160"/>
      </w:pPr>
      <w:r>
        <w:t xml:space="preserve">Stage 1 (Representation Analysis) is complete for twelve frozen encoders, four per modality, on two datasets: a 981-sequence pilot of mRNA_Stability, where every input derives from one coding sequence, and a 2,000-transcript pilot of IsoFormer's GTEx data, where DNA, transcript, and protein are different molecules. Nucleotide Transformer 500M human-ref, Nucleotide Transformer v2 100M multi-species, DNABERT-2, and HyenaDNA are the DNA encoders; RNA-FM and RiNALMo (one token per nucleotide) and mRNA-FM and CaLM (one token per codon) the RNA encoders; and ESM-2 8M, 35M, and 150M and ProtBERT the protein encoders. Stage 2 (Define Alignment) is decided (Section 10), and Stage 3 (Fusion) is next (Section 11).</w:t>
      </w:r>
    </w:p>
    <w:p>
      <w:pPr>
        <w:pStyle w:val="Heading2"/>
      </w:pPr>
      <w:r>
        <w:t xml:space="preserve">Main Stage 1 Findings</w:t>
      </w:r>
    </w:p>
    <w:p>
      <w:pPr>
        <w:pStyle w:val="ListParagraph"/>
        <w:numPr>
          <w:ilvl w:val="0"/>
          <w:numId w:val="2"/>
        </w:numPr>
        <w:spacing w:after="100"/>
      </w:pPr>
      <w:r>
        <w:t xml:space="preserve">The protein encoders and the two codon-level RNA encoders carry the most linearly accessible stability signal (R² 0.114 to 0.144 and 0.127). The other nucleotide encoders reach 0.026 to 0.080, and sequence length alone predicts nothing (0.003).</w:t>
      </w:r>
    </w:p>
    <w:p>
      <w:pPr>
        <w:pStyle w:val="ListParagraph"/>
        <w:numPr>
          <w:ilvl w:val="0"/>
          <w:numId w:val="2"/>
        </w:numPr>
        <w:spacing w:after="100"/>
      </w:pPr>
      <w:r>
        <w:t xml:space="preserve">Agreement follows tokenization and training more than the modality label. RNA-FM and RiNALMo agree most of any pair (final-layer CKA 0.809), then the three ESM-2 models (0.553 to 0.744); encoders reading single letters or short tokens of the same sequence agree whether labeled DNA or RNA. mRNA-FM agrees globally with almost no encoder, not even CaLM (0.163).</w:t>
      </w:r>
    </w:p>
    <w:p>
      <w:pPr>
        <w:pStyle w:val="ListParagraph"/>
        <w:numPr>
          <w:ilvl w:val="0"/>
          <w:numId w:val="2"/>
        </w:numPr>
        <w:spacing w:after="100"/>
      </w:pPr>
      <w:r>
        <w:t xml:space="preserve">Removing letter, codon, and amino-acid composition cuts CKA by 52% to 90% for every pair involving a DNA encoder, so most of that agreement is compositional. Three groups keep strong agreement: the protein encoders, RNA-FM with RiNALMo, and CaLM with the protein encoders, which still finds its protein partner 58% to 69% of the time (CCA Recall@1, against 0.0034 chance).</w:t>
      </w:r>
    </w:p>
    <w:p>
      <w:pPr>
        <w:pStyle w:val="ListParagraph"/>
        <w:numPr>
          <w:ilvl w:val="0"/>
          <w:numId w:val="2"/>
        </w:numPr>
        <w:spacing w:after="100"/>
      </w:pPr>
      <w:r>
        <w:t xml:space="preserve">Linear concatenation of either codon-level encoder with any protein encoder improves on the better encoder under all ten further fold assignments, by about 0.01 to 0.02 on the stability data. Larger concatenations do not improve on their best member.</w:t>
      </w:r>
    </w:p>
    <w:p>
      <w:pPr>
        <w:pStyle w:val="ListParagraph"/>
        <w:numPr>
          <w:ilvl w:val="0"/>
          <w:numId w:val="2"/>
        </w:numPr>
        <w:spacing w:after="100"/>
      </w:pPr>
      <w:r>
        <w:t xml:space="preserve">On GTEx, where the inputs are distinct, DNA shares almost no retrievable correspondence with the transcript or protein, yet every DNA encoder adds signal when concatenated with a protein or codon-level encoder. All twelve encoders together reach R² 0.239, the level of four transcript-length features alone (0.242).</w:t>
      </w:r>
    </w:p>
    <w:p>
      <w:pPr>
        <w:pStyle w:val="ListParagraph"/>
        <w:numPr>
          <w:ilvl w:val="0"/>
          <w:numId w:val="2"/>
        </w:numPr>
        <w:spacing w:after="100"/>
      </w:pPr>
      <w:r>
        <w:t xml:space="preserve">Position never explains the attention associations at stability motifs, and codon context explains most of them. CaLM's attention to AU-rich pentamers survives both permutation nulls, a lead rather than a finding. Per-sequence alignment does not predict error for any pair on either dataset.</w:t>
      </w:r>
    </w:p>
    <w:p>
      <w:pPr>
        <w:pStyle w:val="Heading2"/>
      </w:pPr>
      <w:r>
        <w:t xml:space="preserve">Stage 2 Decision</w:t>
      </w:r>
    </w:p>
    <w:p>
      <w:pPr>
        <w:spacing w:after="160"/>
      </w:pPr>
      <w:r>
        <w:t xml:space="preserve">Alignment has two meanings in this project. Positional alignment, where positions in one input correspond to positions in another, is fixed by the biology: it exists on the stability data, where each codon maps to one amino acid, and not on GTEx. Representational alignment, where two encoders organize the same sequences in the same way, is measured: two encoders count as aligned to the extent that their representations agree on held-out examples after the composition control. Few pairs are aligned on that definition, and alignment never tracks prediction error, so the first fusion models impose only positional alignment (the shared codon grid on the stability data) and get no explicit alignment loss. Stage 2 runs no experiments; its decision sends the project straight into fusion, starting with a codon-level RNA encoder and a protein encoder on the stability data, and the transcript and protein with the DNA window on GTEx. Section 10 gives the evidence and the full decision.</w:t>
      </w:r>
    </w:p>
    <w:p>
      <w:pPr>
        <w:pStyle w:val="Heading2"/>
      </w:pPr>
      <w:r>
        <w:t xml:space="preserve">Fusion Architecture Priorities</w:t>
      </w:r>
    </w:p>
    <w:p>
      <w:pPr>
        <w:spacing w:after="160"/>
      </w:pPr>
      <w:r>
        <w:t xml:space="preserve">Coupled Mamba's first priority was agreed at the September 23, 2026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1"/>
                <w:szCs w:val="21"/>
              </w:rPr>
              <w:t xml:space="preserve">Priority</w:t>
            </w:r>
          </w:p>
        </w:tc>
        <w:tc>
          <w:tcPr>
            <w:tcW w:type="dxa" w:w="7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1"/>
                <w:szCs w:val="21"/>
              </w:rPr>
              <w:t xml:space="preserve">Architecture</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1</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Coupled Mamba</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2</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Isoformer-style cross-attention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Baseline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Concatenation plus an MLP head; every candidate must beat it</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Fallbacks</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Cross-Mamba / BiMamba interaction module; mixture-of-experts fusion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Upgrade path</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Mamba-3, if Coupled Mamba's specific implementation, rather than the coupling idea, is the bottleneck</w:t>
            </w:r>
          </w:p>
        </w:tc>
      </w:tr>
    </w:tbl>
    <w:p>
      <w:pPr>
        <w:spacing w:after="120"/>
      </w:pPr>
    </w:p>
    <w:p>
      <w:pPr>
        <w:pStyle w:val="Heading1"/>
      </w:pPr>
      <w:r>
        <w:t xml:space="preserve">1. Project Context and Goal</w:t>
      </w:r>
    </w:p>
    <w:p>
      <w:pPr>
        <w:spacing w:after="160"/>
      </w:pPr>
      <w:r>
        <w:t>Living things run on connected layers of information: DNA holds the instructions, RNA is the working copy of those instructions, and protein is what actually carries out the work in the cell. Each layer is read today by separately trained foundation models even though the layers are directly, causally linked. The project goal, set with Mina Basirat, is to fuse several separately pretrained DNA, RNA, and protein foundation models, with more than one model per modality, and to test when combining them captures real biological signal that no single model sees, versus adding complexity for no real benefit. Stage 1 uses twelve frozen encoders, four per modality: on the stability data, four DNA encoders read each coding sequence in DNA letters, four RNA encoders read it in RNA letters, and four protein encoders read its translation. Section 4 explains how the DNA modality enters with the current data.</w:t>
      </w:r>
    </w:p>
    <w:p>
      <w:pPr>
        <w:spacing w:after="160"/>
      </w:pPr>
      <w:r>
        <w:t xml:space="preserve">The goal splits into two pieces: </w:t>
      </w:r>
      <w:r>
        <w:rPr>
          <w:b/>
          <w:bCs/>
        </w:rPr>
        <w:t xml:space="preserve">fusion</w:t>
      </w:r>
      <w:r>
        <w:t xml:space="preserve">, how the modalities actually get combined, and </w:t>
      </w:r>
      <w:r>
        <w:rPr>
          <w:b/>
          <w:bCs/>
        </w:rPr>
        <w:t xml:space="preserve">alignment</w:t>
      </w:r>
      <w:r>
        <w:t xml:space="preserve">, what has to be true about their representations before they can be combined at all. The four-stage pipeline (Section 3) is built to answer both rigorously: first check what is already related between the models, then decide how to connect them, then actually connect them, then test whether the connected version does something a single model could not.</w:t>
      </w:r>
    </w:p>
    <w:p>
      <w:pPr>
        <w:pStyle w:val="Heading2"/>
      </w:pPr>
      <w:r>
        <w:t xml:space="preserve">Why This Project, Given Work Like BioLangFusion Already Exists</w:t>
      </w:r>
    </w:p>
    <w:p>
      <w:pPr>
        <w:spacing w:after="160"/>
      </w:pPr>
      <w:r>
        <w:t xml:space="preserve">BioLangFusion shows that combining existing DNA, RNA, and protein models can help on certain tasks. That is useful, but it does not explain when fusion helps, why it helps, or whether an improvement reflects real biological synergy versus the model reshuffling information it already had in redundant form. This project targets that gap directly, using the alignment theory framework from recent multimodal research, plus a newer critique of that framework showing that common alignment metrics can miss real nonlinear synergy entirely.</w:t>
      </w:r>
    </w:p>
    <w:p>
      <w:pPr>
        <w:spacing w:after="160"/>
      </w:pPr>
      <w:r>
        <w:t xml:space="preserve">The contribution is not a better fusion model than BioLangFusion. It is a principled method for deciding whether and how fusion should be done for a given multimodal biological sequence task, and for reporting honestly when the answer is that fusion adds little.</w:t>
      </w:r>
    </w:p>
    <w:p>
      <w:pPr>
        <w:pStyle w:val="Heading2"/>
      </w:pPr>
      <w:r>
        <w:t xml:space="preserve">Landscape of the Core Literature</w:t>
      </w:r>
    </w:p>
    <w:p>
      <w:pPr>
        <w:spacing w:after="160"/>
      </w:pPr>
      <w:r>
        <w:t xml:space="preserve">Five papers plus one general-purpose fusion mechanism make up the core reading; individual reviews of each are in Reviews/Julian/, so only the landscape is summarized here. Two broad strategies show up across the papers.</w:t>
      </w:r>
    </w:p>
    <w:p>
      <w:pPr>
        <w:pStyle w:val="ListParagraph"/>
        <w:numPr>
          <w:ilvl w:val="0"/>
          <w:numId w:val="2"/>
        </w:numPr>
        <w:spacing w:after="100"/>
      </w:pPr>
      <w:r>
        <w:rPr>
          <w:b/>
          <w:bCs/>
        </w:rPr>
        <w:t xml:space="preserve">Fuse frozen encoders.</w:t>
      </w:r>
      <w:r>
        <w:t xml:space="preserve"> Keep existing single-modality models frozen and add a lightweight fusion module on top (BioLangFusion, Isoformer, Central Dogma Transformer). This is cheap and reuses existing pretraining, but it requires solving an alignment problem first, since the different models tokenize sequences at different resolutions.</w:t>
      </w:r>
    </w:p>
    <w:p>
      <w:pPr>
        <w:pStyle w:val="ListParagraph"/>
        <w:numPr>
          <w:ilvl w:val="0"/>
          <w:numId w:val="2"/>
        </w:numPr>
        <w:spacing w:after="100"/>
      </w:pPr>
      <w:r>
        <w:rPr>
          <w:b/>
          <w:bCs/>
        </w:rPr>
        <w:t xml:space="preserve">Train jointly from scratch.</w:t>
      </w:r>
      <w:r>
        <w:t xml:space="preserve"> Train one model on a shared vocabulary spanning both nucleotides and amino acids, so cross-modal structure has to emerge from pretraining itself (LucaOne).</w:t>
      </w:r>
    </w:p>
    <w:p>
      <w:pPr>
        <w:spacing w:after="160"/>
      </w:pPr>
      <w:r>
        <w:t xml:space="preserve">Coupled Mamba does not fit cleanly into either category. It is a general-purpose fusion mechanism rather than a biology paper, and it offers an alternative to attention-based fusion that needs no alignment loss.</w:t>
      </w:r>
    </w:p>
    <w:p>
      <w:pPr>
        <w:pStyle w:val="Heading1"/>
      </w:pPr>
      <w:r>
        <w:t xml:space="preserve">2. What Alignment Means in This Project</w:t>
      </w:r>
    </w:p>
    <w:p>
      <w:pPr>
        <w:spacing w:after="160"/>
      </w:pPr>
      <w:r>
        <w:t xml:space="preserve">Alignment is not treated as solved by resampling sequences to a shared resolution. The project defines what alignment should mean for biological foundation models by measuring it on frozen encoders before any fusion model is designed to impose it. It distinguishes two meanings: positional alignment, which the biology fixes (a codon corresponds to one amino acid), and representational alignment, which Stage 1 measures and Stage 2 defines (Section 10). BioLangFusion frames alignment as cross-modal representation alignment, and the lab is running its own study on this question.</w:t>
      </w:r>
    </w:p>
    <w:p>
      <w:pPr>
        <w:spacing w:after="160"/>
      </w:pPr>
      <w:r>
        <w:t xml:space="preserve">The approach is to analyze the internal representations of the frozen foundation models directly before designing any alignment method, using visualization and interpretability tools (embedding projections, attention analysis, and probing) to see what each model's representations actually capture. The tools alone will not be enough to interpret the results: biological knowledge and priors are needed to judge whether the patterns the models capture are biologically meaningful. This is where the project's contribution is meant to matter most, and it is why Stage 1 is a dedicated stage rather than a quick check before jumping to fusion.</w:t>
      </w:r>
    </w:p>
    <w:p>
      <w:pPr>
        <w:pStyle w:val="Heading2"/>
      </w:pPr>
      <w:r>
        <w:t xml:space="preserve">The Formal Alignment Theory (ICML 2025)</w:t>
      </w:r>
    </w:p>
    <w:p>
      <w:pPr>
        <w:spacing w:after="160"/>
      </w:pPr>
      <w:r>
        <w:t xml:space="preserve">"Understanding the Emergence of Multimodal Representation Alignment" (Tjandrasuwita, Ekbote, Ziyin, and Liang, MIT, ICML 2025) is the theoretical, non-biology-specific alignment paper behind the project's framing; a full review is in Reviews/Julian/Alignment_Theory_Paper_Review.md. It describes alignment along two axes:</w:t>
      </w:r>
    </w:p>
    <w:p>
      <w:pPr>
        <w:pStyle w:val="ListParagraph"/>
        <w:numPr>
          <w:ilvl w:val="0"/>
          <w:numId w:val="2"/>
        </w:numPr>
        <w:spacing w:after="100"/>
      </w:pPr>
      <w:r>
        <w:rPr>
          <w:b/>
          <w:bCs/>
        </w:rPr>
        <w:t xml:space="preserve">Heterogeneity:</w:t>
      </w:r>
      <w:r>
        <w:t xml:space="preserve"> how dissimilar two modalities are, independent of the task.</w:t>
      </w:r>
    </w:p>
    <w:p>
      <w:pPr>
        <w:pStyle w:val="ListParagraph"/>
        <w:numPr>
          <w:ilvl w:val="0"/>
          <w:numId w:val="2"/>
        </w:numPr>
        <w:spacing w:after="100"/>
      </w:pPr>
      <w:r>
        <w:rPr>
          <w:b/>
          <w:bCs/>
        </w:rPr>
        <w:t xml:space="preserve">Interactions:</w:t>
      </w:r>
      <w:r>
        <w:t xml:space="preserve"> split into </w:t>
      </w:r>
      <w:r>
        <w:rPr>
          <w:b/>
          <w:bCs/>
        </w:rPr>
        <w:t xml:space="preserve">redundancy</w:t>
      </w:r>
      <w:r>
        <w:t xml:space="preserve"> (task-relevant information shared by both modalities) and </w:t>
      </w:r>
      <w:r>
        <w:rPr>
          <w:b/>
          <w:bCs/>
        </w:rPr>
        <w:t xml:space="preserve">uniqueness</w:t>
      </w:r>
      <w:r>
        <w:t xml:space="preserve"> (task-relevant information only one modality has).</w:t>
      </w:r>
    </w:p>
    <w:p>
      <w:pPr>
        <w:spacing w:after="160"/>
      </w:pPr>
      <w:r>
        <w:t xml:space="preserve">Its central finding is that alignment reliably predicts downstream performance only when redundancy dominates. As uniqueness increases, that relationship weakens and can turn negative, while model capacity keeps helping performance regardless of alignment. Its most directly reusable contribution is the alignment-performance slope, a diagnostic computed from frozen, unaligned encoders that predicts whether adding an explicit alignment loss will help or hurt on a given task. An exploratory sample-level adaptation of it (the alignment-error association) has been run on this project's data (Section 9.4).</w:t>
      </w:r>
    </w:p>
    <w:p>
      <w:pPr>
        <w:spacing w:after="160"/>
      </w:pPr>
      <w:r>
        <w:t xml:space="preserve">DNA, RNA, and protein form a triplet with real, built-in uniqueness: each stage of the central dogma loses information in both directions. The paper gives a concrete diagnostic to run before committing to a fusion architecture, which is exactly the define-alignment-first analysis this project calls for.</w:t>
      </w:r>
    </w:p>
    <w:p>
      <w:pPr>
        <w:pStyle w:val="Heading2"/>
      </w:pPr>
      <w:r>
        <w:t xml:space="preserve">The Counter-Argument: Beyond Alignment and the Synergistic Information Score</w:t>
      </w:r>
    </w:p>
    <w:p>
      <w:pPr>
        <w:spacing w:after="160"/>
      </w:pPr>
      <w:r>
        <w:t xml:space="preserve">A bioRxiv paper, "Beyond alignment: synergistic integration is required for multimodal cell foundation models," argues that alignment metrics like CKA have a hard theoretical ceiling. With frozen encoders and linear fusion, alignment objectives can only recover linear redundancy between modalities and cannot see synergistic information, meaning signal that only shows up when both modalities are considered jointly. An alignment objective can even suppress the modality-specific signal a task needs.</w:t>
      </w:r>
    </w:p>
    <w:p>
      <w:pPr>
        <w:spacing w:after="160"/>
      </w:pPr>
      <w:r>
        <w:t xml:space="preserve">The paper proposes the Synergistic Information Score (SIS): does fusion beat the best single-modality baseline, yes or no. Read together with the ICML 2025 paper, the two give a stronger Stage 1 than either alone. The alignment paper says when alignment is achievable and likely to help; this one says that even where alignment looks clean, task-relevant information might still be getting thrown away. The project's synergy check (Section 3.1, Track A) puts this idea into practice.</w:t>
      </w:r>
    </w:p>
    <w:p>
      <w:pPr>
        <w:pStyle w:val="Heading1"/>
      </w:pPr>
      <w:r>
        <w:t xml:space="preserve">3. The Four-Stage Pipeline</w:t>
      </w:r>
    </w:p>
    <w:p>
      <w:pPr>
        <w:spacing w:after="160"/>
      </w:pPr>
      <w:r>
        <w:t xml:space="preserve">The pipeline moves through four stages in order. Each stage's output feeds directly into the next stage's design decisions, so the order matters: the fusion architecture should not be chosen before Stage 1's representation analysis has something to say about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1"/>
                <w:szCs w:val="21"/>
              </w:rPr>
              <w:t xml:space="preserve">Stage</w:t>
            </w:r>
          </w:p>
        </w:tc>
        <w:tc>
          <w:tcPr>
            <w:tcW w:type="dxa" w:w="368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1"/>
                <w:szCs w:val="21"/>
              </w:rPr>
              <w:t xml:space="preserve">Goal</w:t>
            </w:r>
          </w:p>
        </w:tc>
        <w:tc>
          <w:tcPr>
            <w:tcW w:type="dxa" w:w="368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1"/>
                <w:szCs w:val="21"/>
              </w:rPr>
              <w:t xml:space="preserve">Key Deliverable</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Stage 1:</w:t>
            </w:r>
            <w:r>
              <w:rPr>
                <w:sz w:val="21"/>
                <w:szCs w:val="21"/>
              </w:rPr>
              <w:t xml:space="preserve"> Representation Analysis (complete)</w:t>
            </w:r>
          </w:p>
        </w:tc>
        <w:tc>
          <w:tcPr>
            <w:tcW w:type="dxa" w:w="3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Determine what the frozen encoders already know, and how related their representations are.</w:t>
            </w:r>
          </w:p>
        </w:tc>
        <w:tc>
          <w:tcPr>
            <w:tcW w:type="dxa" w:w="3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Probe accuracies, CKA and CCA scores, retrieval accuracy, and visualizations for two pilot datasets.</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Stage 2:</w:t>
            </w:r>
            <w:r>
              <w:rPr>
                <w:sz w:val="21"/>
                <w:szCs w:val="21"/>
              </w:rPr>
              <w:t xml:space="preserve"> Define Alignment (decided)</w:t>
            </w:r>
          </w:p>
        </w:tc>
        <w:tc>
          <w:tcPr>
            <w:tcW w:type="dxa" w:w="3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Decide, based on Stage 1 findings, what alignment means for each modality pair and whether fusion should enforce it.</w:t>
            </w:r>
          </w:p>
        </w:tc>
        <w:tc>
          <w:tcPr>
            <w:tcW w:type="dxa" w:w="3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A definition of alignment (positional from the biology, representational as a measurement) and the decision on what the fusion models impose.</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Stage 3:</w:t>
            </w:r>
            <w:r>
              <w:rPr>
                <w:sz w:val="21"/>
                <w:szCs w:val="21"/>
              </w:rPr>
              <w:t xml:space="preserve"> Fusion (next)</w:t>
            </w:r>
          </w:p>
        </w:tc>
        <w:tc>
          <w:tcPr>
            <w:tcW w:type="dxa" w:w="3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Build the architecture that combines the modalities, starting cheap and adding complexity only where Stages 1 and 2 justify it.</w:t>
            </w:r>
          </w:p>
        </w:tc>
        <w:tc>
          <w:tcPr>
            <w:tcW w:type="dxa" w:w="3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A trained fusion model, or a small set of fusion candidates ready for benchmarking.</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Stage 4:</w:t>
            </w:r>
            <w:r>
              <w:rPr>
                <w:sz w:val="21"/>
                <w:szCs w:val="21"/>
              </w:rPr>
              <w:t xml:space="preserve"> Benchmarking</w:t>
            </w:r>
          </w:p>
        </w:tc>
        <w:tc>
          <w:tcPr>
            <w:tcW w:type="dxa" w:w="3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Test whether the fused model outperforms the best single-modality model on a real downstream task, with a control built in.</w:t>
            </w:r>
          </w:p>
        </w:tc>
        <w:tc>
          <w:tcPr>
            <w:tcW w:type="dxa" w:w="3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Benchmark results, a statistical comparison, and a written conclusion on whether fusion earned its added complexity.</w:t>
            </w:r>
          </w:p>
        </w:tc>
      </w:tr>
    </w:tbl>
    <w:p>
      <w:pPr>
        <w:spacing w:after="120"/>
      </w:pPr>
    </w:p>
    <w:p>
      <w:pPr>
        <w:pStyle w:val="Heading2"/>
      </w:pPr>
      <w:r>
        <w:t xml:space="preserve">3.1 Stage 1: Representation Analysis, Three Parallel Tracks</w:t>
      </w:r>
    </w:p>
    <w:p>
      <w:pPr>
        <w:spacing w:after="160"/>
      </w:pPr>
      <w:r>
        <w:t xml:space="preserve">Stage 1 is split into three tracks that answer three different questions.</w:t>
      </w:r>
    </w:p>
    <w:p>
      <w:pPr>
        <w:pStyle w:val="ListParagraph"/>
        <w:numPr>
          <w:ilvl w:val="0"/>
          <w:numId w:val="2"/>
        </w:numPr>
        <w:spacing w:after="100"/>
      </w:pPr>
      <w:r>
        <w:rPr>
          <w:b/>
          <w:bCs/>
        </w:rPr>
        <w:t xml:space="preserve">Track A, Task-Relevant Decodability:</w:t>
      </w:r>
      <w:r>
        <w:t xml:space="preserve"> linear probing per modality for known biological properties (GC content, sequence length as a confound check, codon usage bias, and secondary structure) establishes what each encoder demonstrably knows on its own. A synergy check (does naive concatenation beat the best single-modality baseline?) gives a cheap early signal of whether combining the modalities adds anything, in the spirit of the Synergistic Information Score.</w:t>
      </w:r>
    </w:p>
    <w:p>
      <w:pPr>
        <w:pStyle w:val="ListParagraph"/>
        <w:numPr>
          <w:ilvl w:val="0"/>
          <w:numId w:val="2"/>
        </w:numPr>
        <w:spacing w:after="100"/>
      </w:pPr>
      <w:r>
        <w:rPr>
          <w:b/>
          <w:bCs/>
        </w:rPr>
        <w:t>Track B, Cross-Modal Comparability:</w:t>
      </w:r>
      <w:r>
        <w:t xml:space="preserve"> CKA and mutual k-NN between every pair of encoders, including pairs within one modality, at multiple layers, not only the final one, since alignment often peaks mid-network. CCA on genuinely paired data (a coding sequence and its own translated protein) as a direct correspondence check. Cross-modal retrieval as a task-grounded sanity check: query with one modality's embedding and see whether the true matching embedding in the other modality comes back above chance. A composition control that repeats CKA and retrieval after removing sequence composition. UMAP last, for communicating results, not as evidence on its own.</w:t>
      </w:r>
    </w:p>
    <w:p>
      <w:pPr>
        <w:pStyle w:val="ListParagraph"/>
        <w:numPr>
          <w:ilvl w:val="0"/>
          <w:numId w:val="2"/>
        </w:numPr>
        <w:spacing w:after="100"/>
      </w:pPr>
      <w:r>
        <w:rPr>
          <w:b/>
          <w:bCs/>
        </w:rPr>
        <w:t>Track C, Interpretability:</w:t>
      </w:r>
      <w:r>
        <w:t xml:space="preserve"> Nucleotide-encoder attention compared against known RNA stability motifs (AU-rich elements and m6A DRACH sites), as a check on whether the representation tracks real regulatory biology rather than an artifact of the probe itself.</w:t>
      </w:r>
    </w:p>
    <w:p>
      <w:pPr>
        <w:spacing w:after="160"/>
      </w:pPr>
      <w:r>
        <w:t>The exit criterion for Stage 1 is not a table of CKA scores. It is a placement of each modality pair on the redundancy, uniqueness, and heterogeneity map from the alignment theory paper, plus a synergy reading from Track A. That placement drives Stage 2's decision.</w:t>
      </w:r>
    </w:p>
    <w:p>
      <w:pPr>
        <w:pStyle w:val="Heading2"/>
      </w:pPr>
      <w:r>
        <w:t xml:space="preserve">3.2 Stage 2: Define Alignment, as a Decision Tree</w:t>
      </w:r>
    </w:p>
    <w:p>
      <w:pPr>
        <w:pStyle w:val="ListParagraph"/>
        <w:numPr>
          <w:ilvl w:val="0"/>
          <w:numId w:val="2"/>
        </w:numPr>
        <w:spacing w:after="100"/>
      </w:pPr>
      <w:r>
        <w:rPr>
          <w:b/>
          <w:bCs/>
        </w:rPr>
        <w:t xml:space="preserve">High alignment, redundancy-dominated:</w:t>
      </w:r>
      <w:r>
        <w:t xml:space="preserve"> resampling-based alignment (BioLangFusion's approach) is probably good enough. No need to over-engineer this pair.</w:t>
      </w:r>
    </w:p>
    <w:p>
      <w:pPr>
        <w:pStyle w:val="ListParagraph"/>
        <w:numPr>
          <w:ilvl w:val="0"/>
          <w:numId w:val="2"/>
        </w:numPr>
        <w:spacing w:after="100"/>
      </w:pPr>
      <w:r>
        <w:rPr>
          <w:b/>
          <w:bCs/>
        </w:rPr>
        <w:t xml:space="preserve">Low alignment, high uniqueness or synergy:</w:t>
      </w:r>
      <w:r>
        <w:t xml:space="preserve"> per the alignment theory paper and the beyond-alignment critique, an explicit contrastive alignment loss may actively hurt here by suppressing modality-specific signal. Skip explicit alignment and let the fusion architecture handle the interaction directly (nonlinear cross-attention, Coupled Mamba, mixture-of-experts).</w:t>
      </w:r>
    </w:p>
    <w:p>
      <w:pPr>
        <w:pStyle w:val="ListParagraph"/>
        <w:numPr>
          <w:ilvl w:val="0"/>
          <w:numId w:val="2"/>
        </w:numPr>
        <w:spacing w:after="100"/>
      </w:pPr>
      <w:r>
        <w:rPr>
          <w:b/>
          <w:bCs/>
        </w:rPr>
        <w:t xml:space="preserve">Moderate alignment with a positive alignment-performance slope</w:t>
      </w:r>
      <w:r>
        <w:t xml:space="preserve"> (the ICML 2025 paper's own diagnostic): worth prototyping a lightweight contrastive or CCA-based alignment layer, since the paper's evidence says it should help in that regime.</w:t>
      </w:r>
    </w:p>
    <w:p>
      <w:pPr>
        <w:pStyle w:val="ListParagraph"/>
        <w:numPr>
          <w:ilvl w:val="0"/>
          <w:numId w:val="2"/>
        </w:numPr>
        <w:spacing w:after="100"/>
      </w:pPr>
      <w:r>
        <w:rPr>
          <w:b/>
          <w:bCs/>
        </w:rPr>
        <w:t xml:space="preserve">Mixed across pairs:</w:t>
      </w:r>
      <w:r>
        <w:t xml:space="preserve"> plausible given the Central Dogma Transformer sequel finding that RNA and protein changes often move in opposite directions. Test each pairwise relationship on its own terms rather than assuming DNA, RNA, and protein need one uniform alignment method.</w:t>
      </w:r>
    </w:p>
    <w:p>
      <w:pPr>
        <w:spacing w:after="160"/>
      </w:pPr>
      <w:r>
        <w:t xml:space="preserve">Stage 1 may conclude that formal alignment is not the right target for one or more modality pairs at all. That would be a real finding, not a failure to find one.</w:t>
      </w:r>
    </w:p>
    <w:p>
      <w:pPr>
        <w:pStyle w:val="Heading2"/>
      </w:pPr>
      <w:r>
        <w:t xml:space="preserve">3.3 Stage 3: Fusion, Staged by Risk</w:t>
      </w:r>
    </w:p>
    <w:p>
      <w:pPr>
        <w:pStyle w:val="ListParagraph"/>
        <w:numPr>
          <w:ilvl w:val="0"/>
          <w:numId w:val="2"/>
        </w:numPr>
        <w:spacing w:after="100"/>
      </w:pPr>
      <w:r>
        <w:rPr>
          <w:b/>
          <w:bCs/>
        </w:rPr>
        <w:t xml:space="preserve">Baseline (always run):</w:t>
      </w:r>
      <w:r>
        <w:t xml:space="preserve"> naive concatenation plus an MLP head. Beyond serving as a baseline, it is the reference point the synergy checks need.</w:t>
      </w:r>
    </w:p>
    <w:p>
      <w:pPr>
        <w:pStyle w:val="ListParagraph"/>
        <w:numPr>
          <w:ilvl w:val="0"/>
          <w:numId w:val="2"/>
        </w:numPr>
        <w:spacing w:after="100"/>
      </w:pPr>
      <w:r>
        <w:rPr>
          <w:b/>
          <w:bCs/>
        </w:rPr>
        <w:t xml:space="preserve">Coupled Mamba (priority 1):</w:t>
      </w:r>
      <w:r>
        <w:t xml:space="preserve"> linear cost, and no alignment loss needed by design, though all streams must share a step grid (the codon grid here).</w:t>
      </w:r>
    </w:p>
    <w:p>
      <w:pPr>
        <w:pStyle w:val="ListParagraph"/>
        <w:numPr>
          <w:ilvl w:val="0"/>
          <w:numId w:val="2"/>
        </w:numPr>
        <w:spacing w:after="100"/>
      </w:pPr>
      <w:r>
        <w:rPr>
          <w:b/>
          <w:bCs/>
        </w:rPr>
        <w:t xml:space="preserve">Cross-attention, Isoformer-style (priority 2):</w:t>
      </w:r>
      <w:r>
        <w:t xml:space="preserve"> the most validated option in the literature, with quadratic cost.</w:t>
      </w:r>
    </w:p>
    <w:p>
      <w:pPr>
        <w:pStyle w:val="ListParagraph"/>
        <w:numPr>
          <w:ilvl w:val="0"/>
          <w:numId w:val="2"/>
        </w:numPr>
        <w:spacing w:after="100"/>
      </w:pPr>
      <w:r>
        <w:rPr>
          <w:b/>
          <w:bCs/>
        </w:rPr>
        <w:t xml:space="preserve">Cross-Mamba / BiMamba interaction module (fallback):</w:t>
      </w:r>
      <w:r>
        <w:t xml:space="preserve"> a second Mamba-family option purpose-built for biological sequence interaction, worth benchmarking against vanilla Coupled Mamba, and it pairs well with the newer Mamba-3 backbone if the original underperforms.</w:t>
      </w:r>
    </w:p>
    <w:p>
      <w:pPr>
        <w:pStyle w:val="ListParagraph"/>
        <w:numPr>
          <w:ilvl w:val="0"/>
          <w:numId w:val="2"/>
        </w:numPr>
        <w:spacing w:after="100"/>
      </w:pPr>
      <w:r>
        <w:rPr>
          <w:b/>
          <w:bCs/>
        </w:rPr>
        <w:t xml:space="preserve">Perceiver-style asymmetric cross-attention (fallback):</w:t>
      </w:r>
      <w:r>
        <w:t xml:space="preserve"> relevant now that DNA is in the input set, especially for long genomic sequences such as IsoFormer's, since it keeps attention cost close to linear over long genomic sequences while still being true attention. It has direct precedent on an expression-prediction task.</w:t>
      </w:r>
    </w:p>
    <w:p>
      <w:pPr>
        <w:pStyle w:val="ListParagraph"/>
        <w:numPr>
          <w:ilvl w:val="0"/>
          <w:numId w:val="2"/>
        </w:numPr>
        <w:spacing w:after="100"/>
      </w:pPr>
      <w:r>
        <w:rPr>
          <w:b/>
          <w:bCs/>
        </w:rPr>
        <w:t xml:space="preserve">Mixture-of-experts fusion (conditional fallback):</w:t>
      </w:r>
      <w:r>
        <w:t xml:space="preserve"> worth prototyping only if the uniqueness and redundancy split turns out to vary a lot by example rather than being uniform.</w:t>
      </w:r>
    </w:p>
    <w:p>
      <w:pPr>
        <w:spacing w:after="160"/>
      </w:pPr>
      <w:r>
        <w:t xml:space="preserve">Coupled Mamba and cross-attention are both built and benchmarked, with Coupled Mamba first. The remaining options are fallbacks if either underperforms, not additional models to build from the start.</w:t>
      </w:r>
    </w:p>
    <w:p>
      <w:pPr>
        <w:pStyle w:val="Heading2"/>
      </w:pPr>
      <w:r>
        <w:t xml:space="preserve">3.4 Stage 4: Benchmarking Protocol</w:t>
      </w:r>
    </w:p>
    <w:p>
      <w:pPr>
        <w:pStyle w:val="ListParagraph"/>
        <w:numPr>
          <w:ilvl w:val="0"/>
          <w:numId w:val="2"/>
        </w:numPr>
        <w:spacing w:after="100"/>
      </w:pPr>
      <w:r>
        <w:t xml:space="preserve">Always include single-modality baselines and the naive concatenation baseline, not just the fusion architectures, so a fusion win can be checked for how much comes from redundant information versus genuine synergy.</w:t>
      </w:r>
    </w:p>
    <w:p>
      <w:pPr>
        <w:pStyle w:val="ListParagraph"/>
        <w:numPr>
          <w:ilvl w:val="0"/>
          <w:numId w:val="2"/>
        </w:numPr>
        <w:spacing w:after="100"/>
      </w:pPr>
      <w:r>
        <w:t xml:space="preserve">Run the mRFP_Expression control explicitly. It is redundancy-dominated with near-zero uniqueness by construction, so fusion showing a real gain there is a red flag for leakage, not a win.</w:t>
      </w:r>
    </w:p>
    <w:p>
      <w:pPr>
        <w:pStyle w:val="ListParagraph"/>
        <w:numPr>
          <w:ilvl w:val="0"/>
          <w:numId w:val="2"/>
        </w:numPr>
        <w:spacing w:after="100"/>
      </w:pPr>
      <w:r>
        <w:t xml:space="preserve">Report a synergy number (fusion versus best single modality) alongside raw performance, not performance alone.</w:t>
      </w:r>
    </w:p>
    <w:p>
      <w:pPr>
        <w:pStyle w:val="ListParagraph"/>
        <w:numPr>
          <w:ilvl w:val="0"/>
          <w:numId w:val="2"/>
        </w:numPr>
        <w:spacing w:after="100"/>
      </w:pPr>
      <w:r>
        <w:t xml:space="preserve">Cross-check against externally published numbers on the same benchmark datasets, not only internal baselines, and report results with a real statistical comparison, given the intent to publish.</w:t>
      </w:r>
    </w:p>
    <w:p>
      <w:pPr>
        <w:pStyle w:val="Heading1"/>
      </w:pPr>
      <w:r>
        <w:t xml:space="preserve">4. Downstream Task and Dataset</w:t>
      </w:r>
    </w:p>
    <w:p>
      <w:pPr>
        <w:spacing w:after="160"/>
      </w:pPr>
      <w:r>
        <w:t xml:space="preserve">Summarized from the project planning document "DNA, RNA, Protein Models and Downstream Task" (in Notes/).</w:t>
      </w:r>
    </w:p>
    <w:p>
      <w:pPr>
        <w:pStyle w:val="ListParagraph"/>
        <w:numPr>
          <w:ilvl w:val="0"/>
          <w:numId w:val="2"/>
        </w:numPr>
        <w:spacing w:after="100"/>
      </w:pPr>
      <w:r>
        <w:rPr>
          <w:b/>
          <w:bCs/>
        </w:rPr>
        <w:t xml:space="preserve">Downstream task:</w:t>
      </w:r>
      <w:r>
        <w:t xml:space="preserve"> multimodal mRNA stability and expression prediction, Isoformer-style, reusing frozen pretrained encoders per modality and training only a fusion module plus a task head.</w:t>
      </w:r>
    </w:p>
    <w:p>
      <w:pPr>
        <w:pStyle w:val="ListParagraph"/>
        <w:numPr>
          <w:ilvl w:val="0"/>
          <w:numId w:val="2"/>
        </w:numPr>
        <w:spacing w:after="100"/>
      </w:pPr>
      <w:r>
        <w:rPr>
          <w:b/>
          <w:bCs/>
        </w:rPr>
        <w:t xml:space="preserve">Main dataset:</w:t>
      </w:r>
      <w:r>
        <w:t xml:space="preserve"> mRNA_Stability (41,123 sequences in the CodonBERT benchmark description; human, mouse, frog, fish), plus Fungal_expression and E.Coli_proteins as additional tasks, all from the CodonBERT benchmark repository. The copy of mRNA_Stability.csv in the repository has 65,356 rows but only 29,949 distinct sequences, so duplicates must be handled during evaluation (Section 9.2).</w:t>
      </w:r>
    </w:p>
    <w:p>
      <w:pPr>
        <w:pStyle w:val="ListParagraph"/>
        <w:numPr>
          <w:ilvl w:val="0"/>
          <w:numId w:val="2"/>
        </w:numPr>
        <w:spacing w:after="100"/>
      </w:pPr>
      <w:r>
        <w:rPr>
          <w:b/>
          <w:bCs/>
        </w:rPr>
        <w:t xml:space="preserve">Control dataset:</w:t>
      </w:r>
      <w:r>
        <w:t xml:space="preserve"> mRFP_Expression, 1,459 variants from synonymous codon randomization of a single gene, so every variant encodes an identical protein. A protein encoder should add no information here and fusion should show no gain. This is a built-in zero-uniqueness check, and the Stage 1 control check (Section 9.1) confirms the pipeline behaves as expected on it.</w:t>
      </w:r>
    </w:p>
    <w:p>
      <w:pPr>
        <w:pStyle w:val="ListParagraph"/>
        <w:numPr>
          <w:ilvl w:val="0"/>
          <w:numId w:val="2"/>
        </w:numPr>
        <w:spacing w:after="100"/>
      </w:pPr>
      <w:r>
        <w:rPr>
          <w:b/>
          <w:bCs/>
        </w:rPr>
        <w:t>DNA modality:</w:t>
      </w:r>
      <w:r>
        <w:t xml:space="preserve"> the stability data carry only the coding sequence, with no gene or transcript IDs (only Sequence, Value, Dataset, and Split columns), so genomic context around each gene is not available without a separate mapping step. As in BioLangFusion, a modality is therefore defined by the encoder: DNA encoders read the coding sequence in DNA letters, RNA encoders read it in RNA letters, and protein encoders read its translation. Stage 1 uses Nucleotide Transformer 500M human-ref, Nucleotide Transformer v2 100M multi-species, DNABERT-2, and HyenaDNA for DNA; RNA-FM, RiNALMo, mRNA-FM, and CaLM for RNA; and ESM-2 8M, 35M, and 150M and ProtBERT for protein. Because all three inputs derive from one coding sequence, differences between encoders reflect pretraining corpora and tokenization rather than new biological information.</w:t>
      </w:r>
    </w:p>
    <w:p>
      <w:pPr>
        <w:pStyle w:val="ListParagraph"/>
        <w:numPr>
          <w:ilvl w:val="0"/>
          <w:numId w:val="2"/>
        </w:numPr>
        <w:spacing w:after="100"/>
      </w:pPr>
      <w:r>
        <w:rPr>
          <w:b/>
          <w:bCs/>
        </w:rPr>
        <w:t xml:space="preserve">Unsuitable for fusion (single-modality in practice):</w:t>
      </w:r>
      <w:r>
        <w:t xml:space="preserve"> mRFP_Expression (control only), Tc-Riboswitches, CoV_Vaccine_Degradation, and MLOS.</w:t>
      </w:r>
    </w:p>
    <w:p>
      <w:pPr>
        <w:pStyle w:val="ListParagraph"/>
        <w:numPr>
          <w:ilvl w:val="0"/>
          <w:numId w:val="2"/>
        </w:numPr>
        <w:spacing w:after="100"/>
      </w:pPr>
      <w:r>
        <w:rPr>
          <w:b/>
          <w:bCs/>
        </w:rPr>
        <w:t xml:space="preserve">Pre-checks, both satisfied in the Stage 1 notebook:</w:t>
      </w:r>
      <w:r>
        <w:t xml:space="preserve"> sequences start at a start codon and stay in frame (needed for a clean translation to protein), and gene or transcript IDs are absent (so genomic context is not available from this file).</w:t>
      </w:r>
    </w:p>
    <w:p>
      <w:pPr>
        <w:pStyle w:val="ListParagraph"/>
        <w:numPr>
          <w:ilvl w:val="0"/>
          <w:numId w:val="2"/>
        </w:numPr>
        <w:spacing w:after="100"/>
      </w:pPr>
      <w:r>
        <w:rPr>
          <w:b/>
          <w:bCs/>
        </w:rPr>
        <w:t xml:space="preserve">Second dataset with genomic DNA: </w:t>
      </w:r>
      <w:r>
        <w:t>IsoFormer's GTEx transcript-expression dataset (InstaDeepAI/multi_omics_transcript_expression on Hugging Face) provides, per transcript, genomic DNA centered on the transcription start site, the full transcript with UTRs, the protein, and expression across tissues, with a fixed gene-level split. There, DNA carries promoter and regulatory context the protein lacks. It is the second Stage 1 dataset: a 2,000-transcript pilot (1,000 from each published split, built by Code/build_gtex_pilot.py) lets the Stage 1 measurements be compared between derived modalities (stability) and genuinely distinct ones (GTEx), Section 9.6.</w:t>
      </w:r>
    </w:p>
    <w:p>
      <w:pPr>
        <w:pStyle w:val="ListParagraph"/>
        <w:numPr>
          <w:ilvl w:val="0"/>
          <w:numId w:val="2"/>
        </w:numPr>
        <w:spacing w:after="100"/>
      </w:pPr>
      <w:r>
        <w:rPr>
          <w:b/>
          <w:bCs/>
        </w:rPr>
        <w:t xml:space="preserve">Dataset audit (September 29, 2026): </w:t>
      </w:r>
      <w:r>
        <w:t>the Split column assigns 45,749 rows to train, 9,803 to validation, and 9,804 to test, and 5,392 of the 8,283 distinct test sequences also occur in training. 12,775 repeated sequences carry differing labels (median within-sequence standard deviation 0.49), which caps achievable performance. Only 37% of rows are at most 1,000 nucleotides, so encoders with a limit near 1,000 tokens see truncated input for most sequences. BioLangFusion reports 41,123 raw and 23,929 used sequences; whether the repository file is the same version is unresolved. Results should be reported on the official split for comparison with published numbers and on a deduplicated, sequence-disjoint split for leakage-free estimates.</w:t>
      </w:r>
    </w:p>
    <w:p>
      <w:pPr>
        <w:pStyle w:val="Heading1"/>
      </w:pPr>
      <w:r>
        <w:t xml:space="preserve">5. Toolkit Reference</w:t>
      </w:r>
    </w:p>
    <w:p>
      <w:pPr>
        <w:pStyle w:val="Heading2"/>
      </w:pPr>
      <w:r>
        <w:t xml:space="preserve">5.1 Core Stage 1 Tools</w:t>
      </w:r>
    </w:p>
    <w:p>
      <w:pPr>
        <w:pStyle w:val="ListParagraph"/>
        <w:numPr>
          <w:ilvl w:val="0"/>
          <w:numId w:val="2"/>
        </w:numPr>
        <w:spacing w:after="100"/>
      </w:pPr>
      <w:r>
        <w:rPr>
          <w:b/>
          <w:bCs/>
        </w:rPr>
        <w:t xml:space="preserve">Linear probe</w:t>
      </w:r>
      <w:r>
        <w:t xml:space="preserve"> (biological information content): a simple regressor or classifier trained on frozen representations to check what biological information is linearly recoverable (scikit-learn RidgeCV or LogisticRegression).</w:t>
      </w:r>
    </w:p>
    <w:p>
      <w:pPr>
        <w:pStyle w:val="ListParagraph"/>
        <w:numPr>
          <w:ilvl w:val="0"/>
          <w:numId w:val="2"/>
        </w:numPr>
        <w:spacing w:after="100"/>
      </w:pPr>
      <w:r>
        <w:rPr>
          <w:b/>
          <w:bCs/>
        </w:rPr>
        <w:t xml:space="preserve">CKA, Centered Kernel Alignment</w:t>
      </w:r>
      <w:r>
        <w:t xml:space="preserve"> (representational similarity): compares representations layer by layer between two models. A PyTorch implementation supporting Hugging Face models is at github.com/ryusudol/Centered-Kernel-Alignment.</w:t>
      </w:r>
    </w:p>
    <w:p>
      <w:pPr>
        <w:pStyle w:val="ListParagraph"/>
        <w:numPr>
          <w:ilvl w:val="0"/>
          <w:numId w:val="2"/>
        </w:numPr>
        <w:spacing w:after="100"/>
      </w:pPr>
      <w:r>
        <w:rPr>
          <w:b/>
          <w:bCs/>
        </w:rPr>
        <w:t xml:space="preserve">CCA, Canonical Correlation Analysis</w:t>
      </w:r>
      <w:r>
        <w:t xml:space="preserve"> (similarity and alignment): sklearn.cross_decomposition.CCA finds correlated directions between two representation spaces.</w:t>
      </w:r>
    </w:p>
    <w:p>
      <w:pPr>
        <w:pStyle w:val="ListParagraph"/>
        <w:numPr>
          <w:ilvl w:val="0"/>
          <w:numId w:val="2"/>
        </w:numPr>
        <w:spacing w:after="100"/>
      </w:pPr>
      <w:r>
        <w:rPr>
          <w:b/>
          <w:bCs/>
        </w:rPr>
        <w:t xml:space="preserve">Cross-modal retrieval</w:t>
      </w:r>
      <w:r>
        <w:t xml:space="preserve"> (correspondence): FAISS or an equivalent nearest-neighbor search between embedding spaces.</w:t>
      </w:r>
    </w:p>
    <w:p>
      <w:pPr>
        <w:pStyle w:val="ListParagraph"/>
        <w:numPr>
          <w:ilvl w:val="0"/>
          <w:numId w:val="2"/>
        </w:numPr>
        <w:spacing w:after="100"/>
      </w:pPr>
      <w:r>
        <w:rPr>
          <w:b/>
          <w:bCs/>
        </w:rPr>
        <w:t xml:space="preserve">UMAP</w:t>
      </w:r>
      <w:r>
        <w:t xml:space="preserve"> (visual geometry): umap-learn projects high-dimensional representations into 2D for visual inspection.</w:t>
      </w:r>
    </w:p>
    <w:p>
      <w:pPr>
        <w:pStyle w:val="Heading2"/>
      </w:pPr>
      <w:r>
        <w:t xml:space="preserve">5.2 Representation and Alignment Measurement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60"/>
      </w:tblGrid>
      <w:tr>
        <w:trPr>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1"/>
                <w:szCs w:val="21"/>
              </w:rPr>
              <w:t xml:space="preserve">Method</w:t>
            </w:r>
          </w:p>
        </w:tc>
        <w:tc>
          <w:tcPr>
            <w:tcW w:type="dxa" w:w="3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1"/>
                <w:szCs w:val="21"/>
              </w:rPr>
              <w:t xml:space="preserve">What It Measures</w:t>
            </w:r>
          </w:p>
        </w:tc>
        <w:tc>
          <w:tcPr>
            <w:tcW w:type="dxa" w:w="39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1"/>
                <w:szCs w:val="21"/>
              </w:rPr>
              <w:t xml:space="preserve">Notes</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Linear probing</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Whether a known property is linearly decodable from frozen embeddings.</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Fast and simple. A negative result only rules out linear decodability, not all encoding.</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CKA</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Overall similarity of two representations' geometry, invariant to rotation and scaling.</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Standard first check. A linear kernel only captures linear structure. Can be inflated by geometric artifacts at high dimensionality, so read it alongside mutual k-NN, not alone.</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CCA, SVCCA, PWCCA</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The specific correlated subspace shared between two representations.</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More specific than CKA. SVCCA and PWCCA remove noisy dimensions first.</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Mutual k-nearest-neighbor alignment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Overlap of nearest-neighbor sets between two embeddings of the same inputs.</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Cheaper than CKA at scale. The metric used in the Platonic Representation Hypothesis and the ICML 2025 alignment paper; more robust to high-dimensional artifacts than CKA.</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FAISS / nearest-neighbor cross-modal retrieval</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Whether querying with one modality retrieves the correct match in the other.</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A direct, task-grounded test rather than an abstract geometry comparison.</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UMAP</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Two-dimensional visualization of embedding structure.</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Qualitative only. Never treat it as evidence by itself.</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RSA (Representational Similarity Analysis)</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Correlation between the pairwise-distance structures of two representations.</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Borrowed from neuroscience. Cheap to compute and complements CKA well.</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Optimal transport / Gromov-Wasserstein distance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Structural alignment between two spaces without requiring a linear correspondence or paired examples.</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Heavier lift; a future-work direction rather than a Stage 1 deliverable.</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Mutual information / partial information decomposition</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How much task-relevant information is shared versus unique to each modality.</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More rigorous than an informal synergy check. Ties directly to the redundancy and uniqueness split in the alignment theory framework.</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Model stitching</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Whether a small trainable layer can splice one encoder into another without losing performance.</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The most direct, operational test of alignment; a larger undertaking than the rest of this list.</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Alignment-performance slope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Whether alignment on frozen, unaligned encoders predicts if an explicit alignment loss will help or hurt downstream performance.</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The ICML 2025 paper's own diagnostic. Run in Stage 1 as an exploratory sample-level adaptation (alignment-error association for each of the 66 encoder pairs on both datasets: Spearman correlations from -0.134 to +0.122, none surviving correction); the paper's across-model version is not replicated.</w:t>
            </w:r>
          </w:p>
        </w:tc>
      </w:tr>
    </w:tbl>
    <w:p>
      <w:pPr>
        <w:spacing w:after="120"/>
      </w:pPr>
    </w:p>
    <w:p>
      <w:pPr>
        <w:pStyle w:val="Heading2"/>
      </w:pPr>
      <w:r>
        <w:t xml:space="preserve">5.3 Fusion Architecture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60"/>
      </w:tblGrid>
      <w:tr>
        <w:trPr>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1"/>
                <w:szCs w:val="21"/>
              </w:rPr>
              <w:t xml:space="preserve">Architecture</w:t>
            </w:r>
          </w:p>
        </w:tc>
        <w:tc>
          <w:tcPr>
            <w:tcW w:type="dxa" w:w="3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1"/>
                <w:szCs w:val="21"/>
              </w:rPr>
              <w:t xml:space="preserve">Description</w:t>
            </w:r>
          </w:p>
        </w:tc>
        <w:tc>
          <w:tcPr>
            <w:tcW w:type="dxa" w:w="39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1"/>
                <w:szCs w:val="21"/>
              </w:rPr>
              <w:t xml:space="preserve">Notes</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Concatenation plus MLP</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Concatenated embeddings followed by a small feedforward network.</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Mandatory baseline. Every other method must beat it to earn its cost.</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Gated fusion</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A learned gate controls how much each modality contributes to the fused representation.</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Cheap, interpretable middle ground.</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Bilinear or tensor fusion</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Explicitly models multiplicative interactions between modalities.</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Tensor fusion is exhaustive across three modalities but expensive.</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Cross-attention, Isoformer-style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Each modality attends to the others through learned attention.</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Well studied, but scales poorly with long DNA sequences.</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Perceiver-style attention</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Asymmetric cross-attention that first compresses long sequences into a smaller latent array.</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Better suited to long DNA sequences than full cross-attention.</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Coupled Mamba, Cross-Mamba</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State-space-model-based fusion.</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Efficient on long sequences. Newer and less studied than attention-based fusion.</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Mixture-of-experts fusion</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Learns to route different examples through different combination strategies.</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Useful if different genes or transcripts call for different fusion strategies.</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CoMM</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Nonlinear, synergy-maximizing fusion objective proposed as an alternative to alignment-based fusion.</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Directly relevant, since it answers the spectral-ceiling critique of CKA and CCA.</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Graph-based fusion</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Represents DNA, RNA, and protein as connected nodes and fuses them with message passing.</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Encodes the central dogma's direction explicitly rather than learning it purely from attention.</w:t>
            </w:r>
          </w:p>
        </w:tc>
      </w:tr>
    </w:tbl>
    <w:p>
      <w:pPr>
        <w:spacing w:after="120"/>
      </w:pPr>
    </w:p>
    <w:p>
      <w:pPr>
        <w:pStyle w:val="Heading1"/>
      </w:pPr>
      <w:r>
        <w:t xml:space="preserve">6. Additional Literature</w:t>
      </w:r>
    </w:p>
    <w:p>
      <w:pPr>
        <w:spacing w:after="160"/>
      </w:pPr>
      <w:r>
        <w:t xml:space="preserve">Beyond the six papers with full reviews, following up on the core reading turned up direct sequels, a serious counter-argument, and several concrete fusion architecture options.</w:t>
      </w:r>
    </w:p>
    <w:p>
      <w:pPr>
        <w:pStyle w:val="Heading2"/>
      </w:pPr>
      <w:r>
        <w:t xml:space="preserve">6.1 Direct Sequels to Central Dogma Transformer</w:t>
      </w:r>
    </w:p>
    <w:p>
      <w:pPr>
        <w:pStyle w:val="ListParagraph"/>
        <w:numPr>
          <w:ilvl w:val="0"/>
          <w:numId w:val="2"/>
        </w:numPr>
        <w:spacing w:after="100"/>
      </w:pPr>
      <w:r>
        <w:rPr>
          <w:b/>
          <w:bCs/>
        </w:rPr>
        <w:t xml:space="preserve">CDT-II:</w:t>
      </w:r>
      <w:r>
        <w:t xml:space="preserve"> adds DNA and RNA self-attention plus cross-attention specifically for transcriptional control, using genomic embeddings and per-cell expression data. Predicts perturbation effects with strong accuracy (per-gene r = 0.84) and recovers a known regulatory network (GFI1B); its cross-attention weights land on real regulatory elements such as CTCF sites.</w:t>
      </w:r>
    </w:p>
    <w:p>
      <w:pPr>
        <w:pStyle w:val="ListParagraph"/>
        <w:numPr>
          <w:ilvl w:val="0"/>
          <w:numId w:val="2"/>
        </w:numPr>
        <w:spacing w:after="100"/>
      </w:pPr>
      <w:r>
        <w:rPr>
          <w:b/>
          <w:bCs/>
        </w:rPr>
        <w:t xml:space="preserve">CDT-III:</w:t>
      </w:r>
      <w:r>
        <w:t xml:space="preserve"> extends prediction across the full DNA-RNA-protein chain with a two-stage "Virtual Cell Embedder." Adding protein-level supervision improved both RNA-level predictions and DNA-level interpretability, evidence that multi-task, multi-modality training regularizes each modality's representation rather than adding noise. It found that 66.7% of genes with observable mRNA changes show the opposite direction of change at the protein level, a concrete example of the RNA-to-protein uniqueness the alignment theory framework predicts.</w:t>
      </w:r>
    </w:p>
    <w:p>
      <w:pPr>
        <w:pStyle w:val="Heading2"/>
      </w:pPr>
      <w:r>
        <w:t xml:space="preserve">6.2 Two More Joint-Training Approaches, Alongside LucaOne</w:t>
      </w:r>
    </w:p>
    <w:p>
      <w:pPr>
        <w:pStyle w:val="ListParagraph"/>
        <w:numPr>
          <w:ilvl w:val="0"/>
          <w:numId w:val="2"/>
        </w:numPr>
        <w:spacing w:after="100"/>
      </w:pPr>
      <w:r>
        <w:rPr>
          <w:b/>
          <w:bCs/>
        </w:rPr>
        <w:t xml:space="preserve">Life-Code:</w:t>
      </w:r>
      <w:r>
        <w:t xml:space="preserve"> unifies DNA, RNA, and protein into one nucleotide-level vocabulary, trained with a codon-aware tokenizer, masked modeling, and knowledge distillation from ESM-2. A genuinely different joint-training bet from LucaOne's separate-modules approach.</w:t>
      </w:r>
    </w:p>
    <w:p>
      <w:pPr>
        <w:pStyle w:val="ListParagraph"/>
        <w:numPr>
          <w:ilvl w:val="0"/>
          <w:numId w:val="2"/>
        </w:numPr>
        <w:spacing w:after="100"/>
      </w:pPr>
      <w:r>
        <w:rPr>
          <w:b/>
          <w:bCs/>
        </w:rPr>
        <w:t xml:space="preserve">CAPTAIN:</w:t>
      </w:r>
      <w:r>
        <w:t xml:space="preserve"> pretrained directly on co-assayed single-cell RNA and protein data rather than fusing independently pretrained encoders. A reference point for what is achievable with true paired multi-omic training data.</w:t>
      </w:r>
    </w:p>
    <w:p>
      <w:pPr>
        <w:pStyle w:val="Heading2"/>
      </w:pPr>
      <w:r>
        <w:t xml:space="preserve">6.3 A Recent Unifying Framework</w:t>
      </w:r>
    </w:p>
    <w:p>
      <w:pPr>
        <w:spacing w:after="160"/>
      </w:pPr>
      <w:r>
        <w:t xml:space="preserve">"Dependency, Compression, and Synergy: A Unified Information-Theoretic View of Multimodal Learning" appears to unify the redundancy and uniqueness framing of the ICML 2025 alignment paper with the synergy framing of the beyond-alignment critique. Worth a closer read, since it may mean the two diagnostics do not need to be run as separate, unrelated checks.</w:t>
      </w:r>
    </w:p>
    <w:p>
      <w:pPr>
        <w:pStyle w:val="Heading2"/>
      </w:pPr>
      <w:r>
        <w:t xml:space="preserve">6.4 More Fusion Architecture Options</w:t>
      </w:r>
    </w:p>
    <w:p>
      <w:pPr>
        <w:pStyle w:val="ListParagraph"/>
        <w:numPr>
          <w:ilvl w:val="0"/>
          <w:numId w:val="2"/>
        </w:numPr>
        <w:spacing w:after="100"/>
      </w:pPr>
      <w:r>
        <w:rPr>
          <w:b/>
          <w:bCs/>
        </w:rPr>
        <w:t xml:space="preserve">Cross-Mamba / BiMamba interaction (CrossLLM-Mamba):</w:t>
      </w:r>
      <w:r>
        <w:t xml:space="preserve"> built for RNA interaction prediction with ESM-2 and RiNALMo; stacks modality representations through a bidirectional Mamba block instead of concatenating.</w:t>
      </w:r>
    </w:p>
    <w:p>
      <w:pPr>
        <w:pStyle w:val="ListParagraph"/>
        <w:numPr>
          <w:ilvl w:val="0"/>
          <w:numId w:val="2"/>
        </w:numPr>
        <w:spacing w:after="100"/>
      </w:pPr>
      <w:r>
        <w:rPr>
          <w:b/>
          <w:bCs/>
        </w:rPr>
        <w:t xml:space="preserve">Mamba-3 (Princeton):</w:t>
      </w:r>
      <w:r>
        <w:t xml:space="preserve"> an improved state-space backbone and the natural upgrade path if Coupled Mamba's specific implementation underperforms.</w:t>
      </w:r>
    </w:p>
    <w:p>
      <w:pPr>
        <w:pStyle w:val="ListParagraph"/>
        <w:numPr>
          <w:ilvl w:val="0"/>
          <w:numId w:val="2"/>
        </w:numPr>
        <w:spacing w:after="100"/>
      </w:pPr>
      <w:r>
        <w:rPr>
          <w:b/>
          <w:bCs/>
        </w:rPr>
        <w:t xml:space="preserve">Perceiver-style asymmetric cross-attention for DNA and protein:</w:t>
      </w:r>
      <w:r>
        <w:t xml:space="preserve"> beat a strong DNA-only baseline on mRNA prediction (R² 0.62 versus 0.59), using learnable query vectors so attention cost scales closer to linearly with sequence length.</w:t>
      </w:r>
    </w:p>
    <w:p>
      <w:pPr>
        <w:pStyle w:val="ListParagraph"/>
        <w:numPr>
          <w:ilvl w:val="0"/>
          <w:numId w:val="2"/>
        </w:numPr>
        <w:spacing w:after="100"/>
      </w:pPr>
      <w:r>
        <w:rPr>
          <w:b/>
          <w:bCs/>
        </w:rPr>
        <w:t xml:space="preserve">Mixture-of-experts fusion:</w:t>
      </w:r>
      <w:r>
        <w:t xml:space="preserve"> several 2026 papers route different examples to different modality-expert combinations rather than always fusing all modalities equally.</w:t>
      </w:r>
    </w:p>
    <w:p>
      <w:pPr>
        <w:pStyle w:val="Heading2"/>
      </w:pPr>
      <w:r>
        <w:t xml:space="preserve">6.5 Practical Tooling</w:t>
      </w:r>
    </w:p>
    <w:p>
      <w:pPr>
        <w:spacing w:after="160"/>
      </w:pPr>
      <w:r>
        <w:t xml:space="preserve">GenBio AI's AIDO.ModelGenerator is a framework built for fast, reproducible multimodal biological foundation model development. Once fusion prototyping starts, it is worth checking whether it already wraps the planned encoders.</w:t>
      </w:r>
    </w:p>
    <w:p>
      <w:pPr>
        <w:pStyle w:val="Heading1"/>
      </w:pPr>
      <w:r>
        <w:t xml:space="preserve">7. Code Repositories</w:t>
      </w:r>
    </w:p>
    <w:p>
      <w:pPr>
        <w:pStyle w:val="ListParagraph"/>
        <w:numPr>
          <w:ilvl w:val="0"/>
          <w:numId w:val="2"/>
        </w:numPr>
        <w:spacing w:after="100"/>
      </w:pPr>
      <w:r>
        <w:rPr>
          <w:b/>
          <w:bCs/>
        </w:rPr>
        <w:t xml:space="preserve">Coupled Mamba</w:t>
      </w:r>
      <w:r>
        <w:t xml:space="preserve"> (github.com/hustcselwb/coupled-mamba): the official NeurIPS 2024 implementation. Installation needs causal-conv1d and mamba-ssm. It includes training and evaluation code for the sentiment-analysis benchmarks in its paper, but no pretrained checkpoints, so it would need adapting from scratch for genomic sequences.</w:t>
      </w:r>
    </w:p>
    <w:p>
      <w:pPr>
        <w:pStyle w:val="ListParagraph"/>
        <w:numPr>
          <w:ilvl w:val="0"/>
          <w:numId w:val="2"/>
        </w:numPr>
        <w:spacing w:after="100"/>
      </w:pPr>
      <w:r>
        <w:rPr>
          <w:b/>
          <w:bCs/>
        </w:rPr>
        <w:t xml:space="preserve">Isoformer</w:t>
      </w:r>
      <w:r>
        <w:t xml:space="preserve"> (github.com/instadeepai/nucleotide-transformer): documentation and an inference notebook, hosted in InstaDeep's nucleotide-transformer repository. Unlike Coupled Mamba, a trained checkpoint is published on Hugging Face, with an example notebook for predicting transcript isoform expression from DNA, RNA, and protein inputs.</w:t>
      </w:r>
    </w:p>
    <w:p>
      <w:pPr>
        <w:pStyle w:val="Heading1"/>
      </w:pPr>
      <w:r>
        <w:t xml:space="preserve">8. Side-by-Side Comparison of the Core Papers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3130"/>
        <w:gridCol w:w="2730"/>
      </w:tblGrid>
      <w:tr>
        <w:trPr>
          <w:tblHeader/>
        </w:trPr>
        <w:tc>
          <w:tcPr>
            <w:tcW w:type="dxa" w:w="17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1"/>
                <w:szCs w:val="21"/>
              </w:rPr>
              <w:t xml:space="preserve">Paper</w:t>
            </w:r>
          </w:p>
        </w:tc>
        <w:tc>
          <w:tcPr>
            <w:tcW w:type="dxa" w:w="17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1"/>
                <w:szCs w:val="21"/>
              </w:rPr>
              <w:t xml:space="preserve">Strategy</w:t>
            </w:r>
          </w:p>
        </w:tc>
        <w:tc>
          <w:tcPr>
            <w:tcW w:type="dxa" w:w="313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1"/>
                <w:szCs w:val="21"/>
              </w:rPr>
              <w:t xml:space="preserve">Fusion / Alignment Mechanism</w:t>
            </w:r>
          </w:p>
        </w:tc>
        <w:tc>
          <w:tcPr>
            <w:tcW w:type="dxa" w:w="273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1"/>
                <w:szCs w:val="21"/>
              </w:rPr>
              <w:t xml:space="preserve">Best For</w:t>
            </w:r>
          </w:p>
        </w:tc>
      </w:tr>
      <w:tr>
        <w:trPr>
          <w:tblHeader w:val="false"/>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BioLangFusion</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Fuse frozen pretrained encoders</w:t>
            </w:r>
          </w:p>
        </w:tc>
        <w:tc>
          <w:tcPr>
            <w:tcW w:type="dxa" w:w="313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Resample all modalities to codon resolution, then concatenation, entropy-regularized attention pooling, or cross-attention</w:t>
            </w:r>
          </w:p>
        </w:tc>
        <w:tc>
          <w:tcPr>
            <w:tcW w:type="dxa" w:w="273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Cheap, modular fusion when sequences are cleanly codon-aligned</w:t>
            </w:r>
          </w:p>
        </w:tc>
      </w:tr>
      <w:tr>
        <w:trPr>
          <w:tblHeader w:val="false"/>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Isoformer</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Fuse frozen pretrained encoders</w:t>
            </w:r>
          </w:p>
        </w:tc>
        <w:tc>
          <w:tcPr>
            <w:tcW w:type="dxa" w:w="313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Successive cross-attention with residual connections across DNA, RNA, and protein embeddings</w:t>
            </w:r>
          </w:p>
        </w:tc>
        <w:tc>
          <w:tcPr>
            <w:tcW w:type="dxa" w:w="273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Tasks where no single modality is sufficient on its own</w:t>
            </w:r>
          </w:p>
        </w:tc>
      </w:tr>
      <w:tr>
        <w:trPr>
          <w:tblHeader w:val="false"/>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Central Dogma Transformer</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Fuse frozen pretrained encoders</w:t>
            </w:r>
          </w:p>
        </w:tc>
        <w:tc>
          <w:tcPr>
            <w:tcW w:type="dxa" w:w="313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One-directional cross-attention (DNA to RNA to protein), mirroring transcription and translation</w:t>
            </w:r>
          </w:p>
        </w:tc>
        <w:tc>
          <w:tcPr>
            <w:tcW w:type="dxa" w:w="273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Cases where interpretability matters as much as accuracy</w:t>
            </w:r>
          </w:p>
        </w:tc>
      </w:tr>
      <w:tr>
        <w:trPr>
          <w:tblHeader w:val="false"/>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LucaOne</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Single joint model, trained from scratch</w:t>
            </w:r>
          </w:p>
        </w:tc>
        <w:tc>
          <w:tcPr>
            <w:tcW w:type="dxa" w:w="313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Shared 39-token vocabulary (nucleotides and amino acids) with a token-type embedding; no explicit fusion step</w:t>
            </w:r>
          </w:p>
        </w:tc>
        <w:tc>
          <w:tcPr>
            <w:tcW w:type="dxa" w:w="273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Learning cross-modal structure implicitly, without an alignment scheme</w:t>
            </w:r>
          </w:p>
        </w:tc>
      </w:tr>
      <w:tr>
        <w:trPr>
          <w:tblHeader w:val="false"/>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Coupled Mamba (supplementary)</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General-purpose fusion mechanism</w:t>
            </w:r>
          </w:p>
        </w:tc>
        <w:tc>
          <w:tcPr>
            <w:tcW w:type="dxa" w:w="313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State-space model where each modality's hidden state depends on a summation of all modalities' prior states</w:t>
            </w:r>
          </w:p>
        </w:tc>
        <w:tc>
          <w:tcPr>
            <w:tcW w:type="dxa" w:w="273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Linear-cost fusion with no alignment loss, once all streams share a step grid (the codon grid here)</w:t>
            </w:r>
          </w:p>
        </w:tc>
      </w:tr>
      <w:tr>
        <w:trPr>
          <w:tblHeader w:val="false"/>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Alignment Theory (ICML 2025)</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Empirical analysis; no architecture proposed</w:t>
            </w:r>
          </w:p>
        </w:tc>
        <w:tc>
          <w:tcPr>
            <w:tcW w:type="dxa" w:w="313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Post-hoc CKA and mutual k-NN measurement between independently trained frozen encoders</w:t>
            </w:r>
          </w:p>
        </w:tc>
        <w:tc>
          <w:tcPr>
            <w:tcW w:type="dxa" w:w="273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Deciding whether alignment is worth pursuing at all for a given modality pair</w:t>
            </w:r>
          </w:p>
        </w:tc>
      </w:tr>
    </w:tbl>
    <w:p>
      <w:pPr>
        <w:spacing w:after="120"/>
      </w:pPr>
    </w:p>
    <w:p>
      <w:pPr>
        <w:pStyle w:val="Heading1"/>
      </w:pPr>
      <w:r>
        <w:t xml:space="preserve">9. Stage 1 Results</w:t>
      </w:r>
    </w:p>
    <w:p>
      <w:pPr>
        <w:spacing w:after="160"/>
      </w:pPr>
      <w:r>
        <w:t xml:space="preserve">All results come from the saved outputs of Code/Stage1_analysis.ipynb (run on an Apple GPU through PyTorch's MPS backend, Python 3.12) on 1,000 sequences sampled from mRNA_Stability and on a 2,000-transcript pilot of IsoFormer's GTEx data (Section 9.6). The notebook gives a results table and interpretation after each output, and the Overleaf project lists every metric for every encoder pair.</w:t>
      </w:r>
    </w:p>
    <w:p>
      <w:pPr>
        <w:pStyle w:val="Heading2"/>
      </w:pPr>
      <w:r>
        <w:t xml:space="preserve">9.1 Pipeline and Correctness Control</w:t>
      </w:r>
    </w:p>
    <w:p>
      <w:pPr>
        <w:pStyle w:val="ListParagraph"/>
        <w:numPr>
          <w:ilvl w:val="0"/>
          <w:numId w:val="2"/>
        </w:numPr>
        <w:spacing w:after="100"/>
      </w:pPr>
      <w:r>
        <w:rPr>
          <w:b/>
          <w:bCs/>
        </w:rPr>
        <w:t xml:space="preserve">Pipeline:</w:t>
      </w:r>
      <w:r>
        <w:t xml:space="preserve"> the notebook loads mRNA_Stability, keeps valid, in-frame sequences that start with a start codon, and translates each kept sequence to its protein via the genetic code. Each kept sequence is embedded by twelve frozen, off-the-shelf encoders (table below), and each embedding is the mean of the encoder's final hidden states. Of 1,000 sampled sequences, 981 pass the validity filter (98% retention; 964 distinct sequences). Only RNA-FM and RiNALMo truncate: 610 of the 981 sequences exceed their 1,022 nucleotides, so they read only the beginning. The codon-level encoders read one token per codon and fit every retained sequence, and HyenaDNA reads up to a million nucleotides. HyenaDNA has no attention layers and is causal: each position's state depends only on the letters before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2660"/>
        <w:gridCol w:w="2100"/>
        <w:gridCol w:w="900"/>
      </w:tblGrid>
      <w:tr>
        <w:trPr>
          <w:tblHeader/>
        </w:trPr>
        <w:tc>
          <w:tcPr>
            <w:tcW w:type="dxa" w:w="2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Encoder</w:t>
            </w:r>
          </w:p>
        </w:tc>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Modality</w:t>
            </w:r>
          </w:p>
        </w:tc>
        <w:tc>
          <w:tcPr>
            <w:tcW w:type="dxa" w:w="26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Pretraining data</w:t>
            </w:r>
          </w:p>
        </w:tc>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Tokens</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Width</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Nucleotide Transformer 500M human-ref</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DNA</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Human reference genome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6-mers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1,280</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Nucleotide Transformer v2 100M multi-species</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DNA</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Genomes of many species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6-mers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512</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DNABERT-2</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DNA</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Genomes of many species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Byte-pair tokens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768</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HyenaDNA large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DNA</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Human reference genome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Single nucleotides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256</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RNA-FM</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RNA</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Non-coding RNA (RNAcentral)</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Single nucleotides, first 1,022</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640</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RiNALMo 150M</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RNA</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Non-coding RNA</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Single nucleotides, first 1,022</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640</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mRNA-FM</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RNA</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Messenger RNA coding sequences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Codons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1,280</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CaLM</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RNA</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Coding sequences (European Nucleotide Archive)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Codons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768</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ESM-2 8M</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Protein</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UniRef50 proteins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Amino acids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320</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ESM-2 35M</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Protein</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UniRef50 proteins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Amino acids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480</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ESM-2 150M</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Protein</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UniRef50 proteins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Amino acids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640</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ProtBERT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Protein</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UniRef100 proteins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Amino acids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1,024</w:t>
            </w:r>
          </w:p>
        </w:tc>
      </w:tr>
    </w:tbl>
    <w:p>
      <w:pPr>
        <w:spacing w:after="120"/>
      </w:pPr>
    </w:p>
    <w:p>
      <w:pPr>
        <w:pStyle w:val="ListParagraph"/>
        <w:numPr>
          <w:ilvl w:val="0"/>
          <w:numId w:val="2"/>
        </w:numPr>
        <w:spacing w:after="100"/>
      </w:pPr>
      <w:r>
        <w:rPr>
          <w:b/>
          <w:bCs/>
        </w:rPr>
        <w:t xml:space="preserve">Correctness control (mRFP_Expression):</w:t>
      </w:r>
      <w:r>
        <w:t xml:space="preserve"> all 1,000 synonymous-recoding variants translate to one identical protein, as expected. The four protein encoders' embeddings collapse almost to a single point (average distance to centroid 0.00002 to 0.00006), while every nucleotide encoder's embeddings, which see the codon-level differences, spread out clearly (0.61 to 4.72). This confirms that translation, frame checking, and embedding behave correctly, so the results below are not artifacts of a broken pipeline. The spreads are not comparable across encoders, whose spaces differ in width and scale.</w:t>
      </w:r>
    </w:p>
    <w:p>
      <w:pPr>
        <w:pStyle w:val="Heading2"/>
      </w:pPr>
      <w:r>
        <w:t xml:space="preserve">9.2 Track A: Task-Relevant Decodability</w:t>
      </w:r>
    </w:p>
    <w:p>
      <w:pPr>
        <w:pStyle w:val="ListParagraph"/>
        <w:numPr>
          <w:ilvl w:val="0"/>
          <w:numId w:val="2"/>
        </w:numPr>
        <w:spacing w:after="100"/>
      </w:pPr>
      <w:r>
        <w:rPr>
          <w:b/>
          <w:bCs/>
        </w:rPr>
        <w:t xml:space="preserve">Evaluation setup:</w:t>
      </w:r>
      <w:r>
        <w:t xml:space="preserve"> every probe uses ridge regression (RidgeCV), with the scaler fit inside a scikit-learn Pipeline within each of five folds. Each fold assignment keeps identical sequences together, because the dataset has substantial duplication (65,356 rows, 29,949 distinct sequences; the 981 retained rows contain 964 distinct sequences). The folds are pinned by hashing each sequence, so the assignment is the same on every machine, and each probe is repeated over ten further fold assignments to show how much the partition moves the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900"/>
        <w:gridCol w:w="1900"/>
        <w:gridCol w:w="1200"/>
        <w:gridCol w:w="1200"/>
      </w:tblGrid>
      <w:tr>
        <w:trPr>
          <w:tblHeader/>
        </w:trPr>
        <w:tc>
          <w:tcPr>
            <w:tcW w:type="dxa" w:w="3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Encoder</w:t>
            </w:r>
          </w:p>
        </w:tc>
        <w:tc>
          <w:tcPr>
            <w:tcW w:type="dxa" w:w="1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Stability R² (fold SD)</w:t>
            </w:r>
          </w:p>
        </w:tc>
        <w:tc>
          <w:tcPr>
            <w:tcW w:type="dxa" w:w="1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Stability R², 10 assignments</w:t>
            </w:r>
          </w:p>
        </w:tc>
        <w:tc>
          <w:tcPr>
            <w:tcW w:type="dxa" w:w="1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GC R²</w:t>
            </w:r>
          </w:p>
        </w:tc>
        <w:tc>
          <w:tcPr>
            <w:tcW w:type="dxa" w:w="1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GC3 R²</w:t>
            </w:r>
          </w:p>
        </w:tc>
      </w:tr>
      <w:tr>
        <w:trPr>
          <w:tblHeader w:val="false"/>
        </w:trPr>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Nucleotide Transformer 500M human-ref</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0.032 (0.043)</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0.046</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0.985</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0.968</w:t>
            </w:r>
          </w:p>
        </w:tc>
      </w:tr>
      <w:tr>
        <w:trPr>
          <w:tblHeader w:val="false"/>
        </w:trPr>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Nucleotide Transformer v2 100M multi-species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0.080 (0.032)</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0.074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0.991</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0.986</w:t>
            </w:r>
          </w:p>
        </w:tc>
      </w:tr>
      <w:tr>
        <w:trPr>
          <w:tblHeader w:val="false"/>
        </w:trPr>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DNABERT-2</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0.054 (0.031)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0.057</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0.990</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0.948</w:t>
            </w:r>
          </w:p>
        </w:tc>
      </w:tr>
      <w:tr>
        <w:trPr>
          <w:tblHeader w:val="false"/>
        </w:trPr>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HyenaDNA large</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0.026 (0.017)</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0.019</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0.997</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0.896</w:t>
            </w:r>
          </w:p>
        </w:tc>
      </w:tr>
      <w:tr>
        <w:trPr>
          <w:tblHeader w:val="false"/>
        </w:trPr>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RNA-FM</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0.052 (0.032)</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0.046</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0.951</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0.917</w:t>
            </w:r>
          </w:p>
        </w:tc>
      </w:tr>
      <w:tr>
        <w:trPr>
          <w:tblHeader w:val="false"/>
        </w:trPr>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RiNALMo 150M</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0.078 (0.021)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0.079</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0.954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0.949</w:t>
            </w:r>
          </w:p>
        </w:tc>
      </w:tr>
      <w:tr>
        <w:trPr>
          <w:tblHeader w:val="false"/>
        </w:trPr>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mRNA-FM</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0.127 (0.032)</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0.110</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0.951</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0.946</w:t>
            </w:r>
          </w:p>
        </w:tc>
      </w:tr>
      <w:tr>
        <w:trPr>
          <w:tblHeader w:val="false"/>
        </w:trPr>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CaLM</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0.127 (0.058)</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0.132</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0.984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0.982</w:t>
            </w:r>
          </w:p>
        </w:tc>
      </w:tr>
      <w:tr>
        <w:trPr>
          <w:tblHeader w:val="false"/>
        </w:trPr>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ESM-2 8M</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0.127 (0.044)</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0.131</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0.679</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0.379</w:t>
            </w:r>
          </w:p>
        </w:tc>
      </w:tr>
      <w:tr>
        <w:trPr>
          <w:tblHeader w:val="false"/>
        </w:trPr>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ESM-2 35M</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0.114 (0.049)</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0.123</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0.686</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0.387</w:t>
            </w:r>
          </w:p>
        </w:tc>
      </w:tr>
      <w:tr>
        <w:trPr>
          <w:tblHeader w:val="false"/>
        </w:trPr>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ESM-2 150M</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0.144 (0.035)</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0.142</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0.708</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0.436</w:t>
            </w:r>
          </w:p>
        </w:tc>
      </w:tr>
      <w:tr>
        <w:trPr>
          <w:tblHeader w:val="false"/>
        </w:trPr>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ProtBERT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0.143 (0.041)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0.135</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0.700</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0.440</w:t>
            </w:r>
          </w:p>
        </w:tc>
      </w:tr>
      <w:tr>
        <w:trPr>
          <w:tblHeader w:val="false"/>
        </w:trPr>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Sequence length only</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0.003 (0.009)</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
            </w:r>
          </w:p>
        </w:tc>
      </w:tr>
    </w:tbl>
    <w:p>
      <w:pPr>
        <w:spacing w:after="120"/>
      </w:pPr>
    </w:p>
    <w:p>
      <w:pPr>
        <w:pStyle w:val="ListParagraph"/>
        <w:numPr>
          <w:ilvl w:val="0"/>
          <w:numId w:val="2"/>
        </w:numPr>
        <w:spacing w:after="100"/>
      </w:pPr>
      <w:r>
        <w:rPr>
          <w:b/>
          <w:bCs/>
        </w:rPr>
        <w:t xml:space="preserve">mRNA stability probe:</w:t>
      </w:r>
      <w:r>
        <w:t xml:space="preserve"> the protein encoders carry the most linearly accessible stability signal (R² 0.114 to 0.144 on the pinned folds), with ESM-2 150M and ProtBERT highest. Both codon-level RNA encoders reach the same range (0.127 each), so the codon-level result does not depend on one model: mRNA-FM and CaLM come from different groups and corpora. The encoders that read single nucleotides, six-nucleotide tokens, or byte-pair tokens reach 0.026 to 0.080, with HyenaDNA lowest. Each codon-level token fixes an amino acid as well as the synonymous codon, which is a consistent explanation for the codon-level scores but not a tested mechanism. All scores are low partly because identical sequences in the full file carry different labels (median within-sequence standard deviation 0.49).</w:t>
      </w:r>
    </w:p>
    <w:p>
      <w:pPr>
        <w:pStyle w:val="ListParagraph"/>
        <w:numPr>
          <w:ilvl w:val="0"/>
          <w:numId w:val="2"/>
        </w:numPr>
        <w:spacing w:after="100"/>
      </w:pPr>
      <w:r>
        <w:rPr>
          <w:b/>
          <w:bCs/>
        </w:rPr>
        <w:t xml:space="preserve">Sequence-length baseline:</w:t>
      </w:r>
      <w:r>
        <w:t xml:space="preserve"> R² 0.003 ± 0.009 on the pinned folds and 0.004 over the further assignments, indistinguishable from zero. The probe scores above are not a proxy for sequence length.</w:t>
      </w:r>
    </w:p>
    <w:p>
      <w:pPr>
        <w:pStyle w:val="ListParagraph"/>
        <w:numPr>
          <w:ilvl w:val="0"/>
          <w:numId w:val="2"/>
        </w:numPr>
        <w:spacing w:after="100"/>
      </w:pPr>
      <w:r>
        <w:rPr>
          <w:b/>
          <w:bCs/>
        </w:rPr>
        <w:t xml:space="preserve">GC content probe (known-property validity check):</w:t>
      </w:r>
      <w:r>
        <w:t xml:space="preserve"> every nucleotide encoder recovers GC content almost perfectly (R² 0.951 to 0.997), as expected for a direct compositional property. The protein encoders recover 0.679 to 0.708 of it, which follows from genetic code redundancy: certain amino acids are preferentially encoded by GC-rich or AT-rich codons, so protein composition carries an indirect signature of the source gene's GC content.</w:t>
      </w:r>
    </w:p>
    <w:p>
      <w:pPr>
        <w:pStyle w:val="ListParagraph"/>
        <w:numPr>
          <w:ilvl w:val="0"/>
          <w:numId w:val="2"/>
        </w:numPr>
        <w:spacing w:after="100"/>
      </w:pPr>
      <w:r>
        <w:rPr>
          <w:b/>
          <w:bCs/>
        </w:rPr>
        <w:t xml:space="preserve">Codon usage bias probe (GC3):</w:t>
      </w:r>
      <w:r>
        <w:t xml:space="preserve"> the nucleotide encoders recover GC3 (the GC fraction at each codon's third position, the classical proxy for codon usage bias) at R² 0.896 to 0.986. Most lose at most 0.042 from GC to GC3; HyenaDNA loses 0.101, consistent with its causal design weighting the start of each sequence. The protein encoders fall to 0.379 to 0.440, a loss of 0.26 to 0.30. GC3 correlates 0.922 with overall GC content. Translation collapses synonymous codons to the same amino acid, so this is the clearest evidence that the nucleotide embeddings carry information the protein embeddings cannot: synonymous codon usage.</w:t>
      </w:r>
    </w:p>
    <w:p>
      <w:pPr>
        <w:pStyle w:val="ListParagraph"/>
        <w:numPr>
          <w:ilvl w:val="0"/>
          <w:numId w:val="2"/>
        </w:numPr>
        <w:spacing w:after="100"/>
      </w:pPr>
      <w:r>
        <w:rPr>
          <w:b/>
          <w:bCs/>
        </w:rPr>
        <w:t xml:space="preserve">Secondary structure probe (Nussinov pairing fraction):</w:t>
      </w:r>
      <w:r>
        <w:t xml:space="preserve"> using the classical Nussinov and Jacobson (1980) maximum base-pairing algorithm on a 200-sequence subsample, cropped to each sequence's first 200 nucleotides for runtime (the algorithm is cubic in sequence length), HyenaDNA reaches R² 0.316 on the pinned folds and 0.237 over the further assignments, and every other encoder 0.048 to 0.134 over the further assignments. HyenaDNA's causal design makes the start of a sequence, the cropped region, influence every state it averages, a consistent explanation but not a tested one. Among the others, the pinned fold standard deviations are as large as the differences between encoders, and the protein encoders score about as well as most DNA encoders without seeing nucleotides, so composition likely carries much of this proxy.</w:t>
      </w:r>
    </w:p>
    <w:p>
      <w:pPr>
        <w:pStyle w:val="ListParagraph"/>
        <w:numPr>
          <w:ilvl w:val="0"/>
          <w:numId w:val="2"/>
        </w:numPr>
        <w:spacing w:after="100"/>
      </w:pPr>
      <w:r>
        <w:rPr>
          <w:b/>
          <w:bCs/>
        </w:rPr>
        <w:t xml:space="preserve">Synergy check (naive concatenation):</w:t>
      </w:r>
      <w:r>
        <w:t xml:space="preserve"> on the pinned folds the best pairs, mRNA-FM with ESM-2 150M or with ProtBERT, reach R² 0.164, and 26 of the 66 pairs exceed the better of their two encoders, by at most 0.022. Over the ten further fold assignments, 16 pairs gain under every assignment (table below), including all eight pairings of a codon-level RNA encoder with a protein encoder. Larger concatenations do not help: all DNA encoders reach 0.063, all RNA encoders 0.125, all protein encoders 0.147, one encoder per modality 0.109, and all twelve 0.132; only the protein group exceeds its best member, by 0.004. Concatenation cannot access synergistic information, so this check does not rule out gains from a learned fusion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2000"/>
        <w:gridCol w:w="2600"/>
      </w:tblGrid>
      <w:tr>
        <w:trPr>
          <w:tblHeader/>
        </w:trPr>
        <w:tc>
          <w:tcPr>
            <w:tcW w:type="dxa" w:w="47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Pair (gains under all ten assignments)</w:t>
            </w:r>
          </w:p>
        </w:tc>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Mean gain</w:t>
            </w:r>
          </w:p>
        </w:tc>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Range over 10 assignments</w:t>
            </w:r>
          </w:p>
        </w:tc>
      </w:tr>
      <w:tr>
        <w:trPr>
          <w:tblHeader w:val="false"/>
        </w:trPr>
        <w:tc>
          <w:tcPr>
            <w:tcW w:type="dxa" w:w="4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mRNA-FM + ESM-2 35M</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+0.022</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+0.014 to +0.031</w:t>
            </w:r>
          </w:p>
        </w:tc>
      </w:tr>
      <w:tr>
        <w:trPr>
          <w:tblHeader w:val="false"/>
        </w:trPr>
        <w:tc>
          <w:tcPr>
            <w:tcW w:type="dxa" w:w="4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mRNA-FM + ESM-2 150M</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+0.015</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+0.007 to +0.025</w:t>
            </w:r>
          </w:p>
        </w:tc>
      </w:tr>
      <w:tr>
        <w:trPr>
          <w:tblHeader w:val="false"/>
        </w:trPr>
        <w:tc>
          <w:tcPr>
            <w:tcW w:type="dxa" w:w="4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mRNA-FM + ProtBERT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+0.014</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+0.003 to +0.025</w:t>
            </w:r>
          </w:p>
        </w:tc>
      </w:tr>
      <w:tr>
        <w:trPr>
          <w:tblHeader w:val="false"/>
        </w:trPr>
        <w:tc>
          <w:tcPr>
            <w:tcW w:type="dxa" w:w="4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mRNA-FM + ESM-2 8M</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+0.012</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+0.004 to +0.023</w:t>
            </w:r>
          </w:p>
        </w:tc>
      </w:tr>
      <w:tr>
        <w:trPr>
          <w:tblHeader w:val="false"/>
        </w:trPr>
        <w:tc>
          <w:tcPr>
            <w:tcW w:type="dxa" w:w="4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CaLM + ESM-2 35M</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+0.012</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+0.006 to +0.019</w:t>
            </w:r>
          </w:p>
        </w:tc>
      </w:tr>
      <w:tr>
        <w:trPr>
          <w:tblHeader w:val="false"/>
        </w:trPr>
        <w:tc>
          <w:tcPr>
            <w:tcW w:type="dxa" w:w="4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mRNA-FM + CaLM</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+0.011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+0.001 to +0.023</w:t>
            </w:r>
          </w:p>
        </w:tc>
      </w:tr>
      <w:tr>
        <w:trPr>
          <w:tblHeader w:val="false"/>
        </w:trPr>
        <w:tc>
          <w:tcPr>
            <w:tcW w:type="dxa" w:w="4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CaLM + ProtBERT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+0.010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+0.004 to +0.017</w:t>
            </w:r>
          </w:p>
        </w:tc>
      </w:tr>
      <w:tr>
        <w:trPr>
          <w:tblHeader w:val="false"/>
        </w:trPr>
        <w:tc>
          <w:tcPr>
            <w:tcW w:type="dxa" w:w="4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Nucleotide Transformer v2 + RiNALMo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+0.009</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+0.006 to +0.012</w:t>
            </w:r>
          </w:p>
        </w:tc>
      </w:tr>
      <w:tr>
        <w:trPr>
          <w:tblHeader w:val="false"/>
        </w:trPr>
        <w:tc>
          <w:tcPr>
            <w:tcW w:type="dxa" w:w="4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CaLM + ESM-2 8M</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+0.009</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+0.001 to +0.012</w:t>
            </w:r>
          </w:p>
        </w:tc>
      </w:tr>
      <w:tr>
        <w:trPr>
          <w:tblHeader w:val="false"/>
        </w:trPr>
        <w:tc>
          <w:tcPr>
            <w:tcW w:type="dxa" w:w="4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CaLM + ESM-2 150M</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+0.008</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+0.001 to +0.013</w:t>
            </w:r>
          </w:p>
        </w:tc>
      </w:tr>
      <w:tr>
        <w:trPr>
          <w:tblHeader w:val="false"/>
        </w:trPr>
        <w:tc>
          <w:tcPr>
            <w:tcW w:type="dxa" w:w="4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Nucleotide Transformer 500M + DNABERT-2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+0.008</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+0.001 to +0.022</w:t>
            </w:r>
          </w:p>
        </w:tc>
      </w:tr>
      <w:tr>
        <w:trPr>
          <w:tblHeader w:val="false"/>
        </w:trPr>
        <w:tc>
          <w:tcPr>
            <w:tcW w:type="dxa" w:w="4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HyenaDNA + RNA-FM</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+0.007</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+0.003 to +0.012</w:t>
            </w:r>
          </w:p>
        </w:tc>
      </w:tr>
      <w:tr>
        <w:trPr>
          <w:tblHeader w:val="false"/>
        </w:trPr>
        <w:tc>
          <w:tcPr>
            <w:tcW w:type="dxa" w:w="4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ESM-2 35M + ProtBERT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+0.007</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+0.001 to +0.012</w:t>
            </w:r>
          </w:p>
        </w:tc>
      </w:tr>
      <w:tr>
        <w:trPr>
          <w:tblHeader w:val="false"/>
        </w:trPr>
        <w:tc>
          <w:tcPr>
            <w:tcW w:type="dxa" w:w="4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Nucleotide Transformer 500M + HyenaDNA</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+0.007</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+0.002 to +0.012</w:t>
            </w:r>
          </w:p>
        </w:tc>
      </w:tr>
      <w:tr>
        <w:trPr>
          <w:tblHeader w:val="false"/>
        </w:trPr>
        <w:tc>
          <w:tcPr>
            <w:tcW w:type="dxa" w:w="4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ESM-2 8M + ProtBERT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+0.007</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+0.000 to +0.012</w:t>
            </w:r>
          </w:p>
        </w:tc>
      </w:tr>
      <w:tr>
        <w:trPr>
          <w:tblHeader w:val="false"/>
        </w:trPr>
        <w:tc>
          <w:tcPr>
            <w:tcW w:type="dxa" w:w="4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HyenaDNA + RiNALMo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+0.003</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+0.001 to +0.007</w:t>
            </w:r>
          </w:p>
        </w:tc>
      </w:tr>
      <w:tr>
        <w:trPr>
          <w:tblHeader w:val="false"/>
        </w:trPr>
        <w:tc>
          <w:tcPr>
            <w:tcW w:type="dxa" w:w="47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Other 50 pairs (0 to 9 of 10 assignments with a gain)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-0.015 to +0.009</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
            </w:r>
          </w:p>
        </w:tc>
      </w:tr>
    </w:tbl>
    <w:p>
      <w:pPr>
        <w:spacing w:after="120"/>
      </w:pPr>
    </w:p>
    <w:p>
      <w:pPr>
        <w:pStyle w:val="Heading2"/>
      </w:pPr>
      <w:r>
        <w:t xml:space="preserve">9.3 Track B: Cross-Modal Comparability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600"/>
        <w:gridCol w:w="1400"/>
        <w:gridCol w:w="1700"/>
        <w:gridCol w:w="1700"/>
      </w:tblGrid>
      <w:tr>
        <w:trPr>
          <w:tblHeader/>
        </w:trPr>
        <w:tc>
          <w:tcPr>
            <w:tcW w:type="dxa" w:w="29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Encoder pairs</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Linear CKA</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Mutual k-NN</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First canonical correlation</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Recall@1</w:t>
            </w:r>
          </w:p>
        </w:tc>
      </w:tr>
      <w:tr>
        <w:trPr>
          <w:tblHeader w:val="false"/>
        </w:trPr>
        <w:tc>
          <w:tcPr>
            <w:tcW w:type="dxa" w:w="2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Within ESM-2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0.553 to 0.744</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0.30 to 0.44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0.984 to 0.990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0.942 to 0.955</w:t>
            </w:r>
          </w:p>
        </w:tc>
      </w:tr>
      <w:tr>
        <w:trPr>
          <w:tblHeader w:val="false"/>
        </w:trPr>
        <w:tc>
          <w:tcPr>
            <w:tcW w:type="dxa" w:w="2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ProtBERT with ESM-2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0.199 to 0.312</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0.14 to 0.15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0.969 to 0.981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0.818 to 0.873</w:t>
            </w:r>
          </w:p>
        </w:tc>
      </w:tr>
      <w:tr>
        <w:trPr>
          <w:tblHeader w:val="false"/>
        </w:trPr>
        <w:tc>
          <w:tcPr>
            <w:tcW w:type="dxa" w:w="2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Within DNA</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0.270 to 0.736</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0.15 to 0.21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0.989 to 0.994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0.591 to 0.773</w:t>
            </w:r>
          </w:p>
        </w:tc>
      </w:tr>
      <w:tr>
        <w:trPr>
          <w:tblHeader w:val="false"/>
        </w:trPr>
        <w:tc>
          <w:tcPr>
            <w:tcW w:type="dxa" w:w="2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RNA-FM with RiNALMo</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0.809</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0.25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0.995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0.931</w:t>
            </w:r>
          </w:p>
        </w:tc>
      </w:tr>
      <w:tr>
        <w:trPr>
          <w:tblHeader w:val="false"/>
        </w:trPr>
        <w:tc>
          <w:tcPr>
            <w:tcW w:type="dxa" w:w="2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mRNA-FM with CaLM</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0.163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0.983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0.619</w:t>
            </w:r>
          </w:p>
        </w:tc>
      </w:tr>
      <w:tr>
        <w:trPr>
          <w:tblHeader w:val="false"/>
        </w:trPr>
        <w:tc>
          <w:tcPr>
            <w:tcW w:type="dxa" w:w="2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DNA with RNA-FM or RiNALMo</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0.171 to 0.613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0.10 to 0.16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0.971 to 0.983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0.491 to 0.677</w:t>
            </w:r>
          </w:p>
        </w:tc>
      </w:tr>
      <w:tr>
        <w:trPr>
          <w:tblHeader w:val="false"/>
        </w:trPr>
        <w:tc>
          <w:tcPr>
            <w:tcW w:type="dxa" w:w="2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DNA with mRNA-FM or CaLM</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0.030 to 0.517</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0.07 to 0.13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0.979 to 0.985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0.271 to 0.632</w:t>
            </w:r>
          </w:p>
        </w:tc>
      </w:tr>
      <w:tr>
        <w:trPr>
          <w:tblHeader w:val="false"/>
        </w:trPr>
        <w:tc>
          <w:tcPr>
            <w:tcW w:type="dxa" w:w="2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DNA with protein</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0.058 to 0.163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0.05 to 0.08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0.935 to 0.959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0.168 to 0.540</w:t>
            </w:r>
          </w:p>
        </w:tc>
      </w:tr>
      <w:tr>
        <w:trPr>
          <w:tblHeader w:val="false"/>
        </w:trPr>
        <w:tc>
          <w:tcPr>
            <w:tcW w:type="dxa" w:w="2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RNA-FM or RiNALMo with mRNA-FM or CaLM</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0.126 to 0.681</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0.08 to 0.18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0.962 to 0.967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0.306 to 0.591</w:t>
            </w:r>
          </w:p>
        </w:tc>
      </w:tr>
      <w:tr>
        <w:trPr>
          <w:tblHeader w:val="false"/>
        </w:trPr>
        <w:tc>
          <w:tcPr>
            <w:tcW w:type="dxa" w:w="2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RNA-FM or RiNALMo with protein</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0.116 to 0.339</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0.06 to 0.13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0.902 to 0.944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0.196 to 0.509</w:t>
            </w:r>
          </w:p>
        </w:tc>
      </w:tr>
      <w:tr>
        <w:trPr>
          <w:tblHeader w:val="false"/>
        </w:trPr>
        <w:tc>
          <w:tcPr>
            <w:tcW w:type="dxa" w:w="2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mRNA-FM with protein</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0.037 to 0.295</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0.09 to 0.11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0.922 to 0.940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0.405 to 0.464</w:t>
            </w:r>
          </w:p>
        </w:tc>
      </w:tr>
      <w:tr>
        <w:trPr>
          <w:tblHeader w:val="false"/>
        </w:trPr>
        <w:tc>
          <w:tcPr>
            <w:tcW w:type="dxa" w:w="2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CaLM with protein</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0.309 to 0.448</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0.16 to 0.25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0.967 to 0.976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0.794 to 0.866</w:t>
            </w:r>
          </w:p>
        </w:tc>
      </w:tr>
    </w:tbl>
    <w:p>
      <w:pPr>
        <w:spacing w:after="120"/>
      </w:pPr>
    </w:p>
    <w:p>
      <w:pPr>
        <w:pStyle w:val="ListParagraph"/>
        <w:numPr>
          <w:ilvl w:val="0"/>
          <w:numId w:val="2"/>
        </w:numPr>
        <w:spacing w:after="100"/>
      </w:pPr>
      <w:r>
        <w:rPr>
          <w:b/>
          <w:bCs/>
        </w:rPr>
        <w:t xml:space="preserve">Final-layer linear CKA:</w:t>
      </w:r>
      <w:r>
        <w:t xml:space="preserve"> agreement follows tokenization and training more than the modality label. RNA-FM and RiNALMo agree most of any pair (0.809), then the three ESM-2 models (0.553 to 0.744) and Nucleotide Transformer v2 with HyenaDNA (0.736). Nucleotide Transformer 500M, DNABERT-2, and HyenaDNA agree with RNA-FM and RiNALMo at 0.398 to 0.613 whether labeled DNA or RNA, while the two Nucleotide Transformer models agree only moderately (0.398) despite sharing a tokenizer. The two codon-level encoders differ sharply: CaLM agrees with RNA-FM and RiNALMo (0.632 and 0.681) and with every protein encoder (0.309 to 0.448), while mRNA-FM agrees with every encoder except ProtBERT at most 0.182, and with CaLM at 0.163. ProtBERT agrees with the ESM-2 models (0.199 to 0.312) much less than they agree with each other.</w:t>
      </w:r>
    </w:p>
    <w:p>
      <w:pPr>
        <w:pStyle w:val="ListParagraph"/>
        <w:numPr>
          <w:ilvl w:val="0"/>
          <w:numId w:val="2"/>
        </w:numPr>
        <w:spacing w:after="100"/>
      </w:pPr>
      <w:r>
        <w:rPr>
          <w:b/>
          <w:bCs/>
        </w:rPr>
        <w:t xml:space="preserve">Layer-wise CKA:</w:t>
      </w:r>
      <w:r>
        <w:t xml:space="preserve"> computed on a 194-sequence subsample (200 rows sampled before the sequence filters) across every hidden state of each pair. The highest agreement involves an early state (0, 1, or 2) of at least one encoder in 58 of the 66 pairs; deeper layers mostly diverge. For Nucleotide Transformer 500M and RNA-FM, agreement peaks at 0.764 (DNA state 14, RNA state 1), with a band of high agreement at DNA states 12 to 16 across every RNA state. CaLM agrees with the ESM-2 models at up to 0.847 to 0.874 at CaLM state 1 and keeps 0.469 to 0.480 at the final states, the highest final-state agreement of any nucleotide-protein pair. mRNA-FM's middle states (2 to 5) agree with every other encoder at 0.650 to 0.780, but its final state reaches at most 0.362 with any state of any encoder, so its isolated geometry arises in its last blocks. ProtBERT's embedding layer agrees strongly (0.875 to 0.944) with every nucleotide encoder that reads the full sequence, but at most 0.481 with RNA-FM and RiNALMo; ProtBERT adds a learned position embedding to every token, so sequence length is a consistent explanation, not a tested one. Final-layer values on the subsample exceed the full-sample values for 63 of the 66 pairs (for example 0.596 against 0.530 for Nucleotide Transformer 500M and RNA-FM), as expected for linear CKA with few examples relative to the embedding widths, so layer-wise values should be compared within that analysis.</w:t>
      </w:r>
    </w:p>
    <w:p>
      <w:pPr>
        <w:pStyle w:val="ListParagraph"/>
        <w:numPr>
          <w:ilvl w:val="0"/>
          <w:numId w:val="2"/>
        </w:numPr>
        <w:spacing w:after="100"/>
      </w:pPr>
      <w:r>
        <w:rPr>
          <w:b/>
          <w:bCs/>
        </w:rPr>
        <w:t xml:space="preserve">Mutual k-nearest-neighbor alignment (k = 10):</w:t>
      </w:r>
      <w:r>
        <w:t xml:space="preserve"> every pair shares more neighbors than the chance level of about 0.010, from about 5 to 43 times. The ordering largely follows CKA, with two differences: CaLM shares more neighbors with the ESM-2 models (0.22 to 0.25) than with any nucleotide encoder (at most 0.18), and mRNA-FM, whose global geometry agrees least with the protein encoders, shares more local neighborhoods with them (0.09 to 0.11) than the DNA encoders do (0.05 to 0.08). Values are given to two decimals because the third varies by about 0.001 between hardware backends.</w:t>
      </w:r>
    </w:p>
    <w:p>
      <w:pPr>
        <w:pStyle w:val="ListParagraph"/>
        <w:numPr>
          <w:ilvl w:val="0"/>
          <w:numId w:val="2"/>
        </w:numPr>
        <w:spacing w:after="100"/>
      </w:pPr>
      <w:r>
        <w:rPr>
          <w:b/>
          <w:bCs/>
        </w:rPr>
        <w:t xml:space="preserve">CCA and cross-modal retrieval</w:t>
      </w:r>
      <w:r>
        <w:t xml:space="preserve"> (PCA to 50 dimensions per encoder, then 10 canonical components, fitted on 690 rows and evaluated on 291 held-out rows, with every copy of a sequence on one side): the first canonical correlation is 0.902 to 0.995 for every pair. Retrieval separates the pairs more clearly. The ESM-2 models find each other's sequences as the top candidate 94% to 96% of the time and RNA-FM and RiNALMo 93%, against a chance level of 0.34%. CaLM finds a sequence's protein partner 79% to 87% of the time, as often as ProtBERT finds an ESM-2 model's; mRNA-FM does so 41% to 46% of the time and Nucleotide Transformer v2 48% to 54%, despite their low CKA with the protein encoders. RNA-FM finds it least often of the single-nucleotide encoders (20% to 22%), against 43% to 51% for RiNALMo, which reads the same truncated window.</w:t>
      </w:r>
    </w:p>
    <w:p>
      <w:pPr>
        <w:pStyle w:val="ListParagraph"/>
        <w:numPr>
          <w:ilvl w:val="0"/>
          <w:numId w:val="2"/>
        </w:numPr>
        <w:spacing w:after="100"/>
      </w:pPr>
      <w:r>
        <w:rPr>
          <w:b/>
          <w:bCs/>
        </w:rPr>
        <w:t xml:space="preserve">Reading Track B together:</w:t>
      </w:r>
      <w:r>
        <w:t xml:space="preserve"> CKA and mutual k-NN say the full spaces mostly disagree, especially across modalities; CCA and retrieval say a specific, strong, learnable shared subspace exists within every pair. The composition control shows that, for pairs involving a DNA encoder, this shared subspace is mostly composition.</w:t>
      </w:r>
    </w:p>
    <w:p>
      <w:pPr>
        <w:pStyle w:val="ListParagraph"/>
        <w:numPr>
          <w:ilvl w:val="0"/>
          <w:numId w:val="2"/>
        </w:numPr>
        <w:spacing w:after="100"/>
      </w:pPr>
      <w:r>
        <w:rPr>
          <w:b/>
          <w:bCs/>
        </w:rPr>
        <w:t xml:space="preserve">Composition control:</w:t>
      </w:r>
      <w:r>
        <w:t xml:space="preserve"> composition explains, in sample, 61% to 92% of the variance in the DNA embeddings, 65% to 68% in RNA-FM's and RiNALMo's, 42% to 48% in the protein embeddings, 47% in CaLM's, and 30% in mRNA-FM's, against about 9% expected by chance from 88 predictors. After regressing letter, codon, and amino-acid frequencies out of every embedding, CKA falls by 52% to 90% for every pair involving a DNA encoder, and Recall@1 for those pairs to at most 0.244. Three groups keep strong agreement: the ESM-2 models (Recall@1 0.70 to 0.87 after the control) and ProtBERT with them (0.48 to 0.62), RNA-FM with RiNALMo (0.70), and CaLM with the protein encoders, whose CKA falls by only 9% to 20% and which still finds its protein partner 58% to 69% of the time, about 170 to 200 times chance. mRNA-FM keeps 7% to 11%. These residuals are the part that could reflect shared information beyond composition. Raw similarity between frozen embeddings is a weak alignment target, and later comparisons should report agreement before and after this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600"/>
        <w:gridCol w:w="1600"/>
        <w:gridCol w:w="1600"/>
        <w:gridCol w:w="1600"/>
      </w:tblGrid>
      <w:tr>
        <w:trPr>
          <w:tblHeader/>
        </w:trPr>
        <w:tc>
          <w:tcPr>
            <w:tcW w:type="dxa" w:w="29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Encoder pairs</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CKA before</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CKA after</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Recall@1 before</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Recall@1 after</w:t>
            </w:r>
          </w:p>
        </w:tc>
      </w:tr>
      <w:tr>
        <w:trPr>
          <w:tblHeader w:val="false"/>
        </w:trPr>
        <w:tc>
          <w:tcPr>
            <w:tcW w:type="dxa" w:w="2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Within ESM-2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0.553 to 0.744</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0.376 to 0.643</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0.942 to 0.955</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0.701 to 0.869</w:t>
            </w:r>
          </w:p>
        </w:tc>
      </w:tr>
      <w:tr>
        <w:trPr>
          <w:tblHeader w:val="false"/>
        </w:trPr>
        <w:tc>
          <w:tcPr>
            <w:tcW w:type="dxa" w:w="2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ProtBERT with ESM-2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0.199 to 0.312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0.093 to 0.162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0.818 to 0.873</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0.481 to 0.622</w:t>
            </w:r>
          </w:p>
        </w:tc>
      </w:tr>
      <w:tr>
        <w:trPr>
          <w:tblHeader w:val="false"/>
        </w:trPr>
        <w:tc>
          <w:tcPr>
            <w:tcW w:type="dxa" w:w="2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Within DNA</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0.270 to 0.736</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0.038 to 0.113</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0.591 to 0.773</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0.103 to 0.162</w:t>
            </w:r>
          </w:p>
        </w:tc>
      </w:tr>
      <w:tr>
        <w:trPr>
          <w:tblHeader w:val="false"/>
        </w:trPr>
        <w:tc>
          <w:tcPr>
            <w:tcW w:type="dxa" w:w="2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RNA-FM with RiNALMo</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0.809</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0.378</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0.931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0.704</w:t>
            </w:r>
          </w:p>
        </w:tc>
      </w:tr>
      <w:tr>
        <w:trPr>
          <w:tblHeader w:val="false"/>
        </w:trPr>
        <w:tc>
          <w:tcPr>
            <w:tcW w:type="dxa" w:w="2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mRNA-FM with CaLM</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0.163</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0.084</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0.619</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0.124</w:t>
            </w:r>
          </w:p>
        </w:tc>
      </w:tr>
      <w:tr>
        <w:trPr>
          <w:tblHeader w:val="false"/>
        </w:trPr>
        <w:tc>
          <w:tcPr>
            <w:tcW w:type="dxa" w:w="2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DNA with RNA-FM or RiNALMo</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0.171 to 0.613</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0.044 to 0.164</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0.491 to 0.677</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0.052 to 0.244</w:t>
            </w:r>
          </w:p>
        </w:tc>
      </w:tr>
      <w:tr>
        <w:trPr>
          <w:tblHeader w:val="false"/>
        </w:trPr>
        <w:tc>
          <w:tcPr>
            <w:tcW w:type="dxa" w:w="2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DNA with mRNA-FM or CaLM</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0.030 to 0.517</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0.012 to 0.075</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0.271 to 0.632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0.027 to 0.086</w:t>
            </w:r>
          </w:p>
        </w:tc>
      </w:tr>
      <w:tr>
        <w:trPr>
          <w:tblHeader w:val="false"/>
        </w:trPr>
        <w:tc>
          <w:tcPr>
            <w:tcW w:type="dxa" w:w="2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DNA with protein</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0.058 to 0.163</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0.010 to 0.072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0.168 to 0.540</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0.021 to 0.082</w:t>
            </w:r>
          </w:p>
        </w:tc>
      </w:tr>
      <w:tr>
        <w:trPr>
          <w:tblHeader w:val="false"/>
        </w:trPr>
        <w:tc>
          <w:tcPr>
            <w:tcW w:type="dxa" w:w="2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RNA-FM or RiNALMo with mRNA-FM or CaLM</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0.126 to 0.681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0.055 to 0.183</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0.306 to 0.591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0.041 to 0.210</w:t>
            </w:r>
          </w:p>
        </w:tc>
      </w:tr>
      <w:tr>
        <w:trPr>
          <w:tblHeader w:val="false"/>
        </w:trPr>
        <w:tc>
          <w:tcPr>
            <w:tcW w:type="dxa" w:w="2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RNA-FM or RiNALMo with protein</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0.116 to 0.339</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0.035 to 0.161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0.196 to 0.509</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0.021 to 0.223</w:t>
            </w:r>
          </w:p>
        </w:tc>
      </w:tr>
      <w:tr>
        <w:trPr>
          <w:tblHeader w:val="false"/>
        </w:trPr>
        <w:tc>
          <w:tcPr>
            <w:tcW w:type="dxa" w:w="2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mRNA-FM with protein</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0.037 to 0.295</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0.021 to 0.261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0.405 to 0.464</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0.069 to 0.113</w:t>
            </w:r>
          </w:p>
        </w:tc>
      </w:tr>
      <w:tr>
        <w:trPr>
          <w:tblHeader w:val="false"/>
        </w:trPr>
        <w:tc>
          <w:tcPr>
            <w:tcW w:type="dxa" w:w="2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CaLM with protein</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0.309 to 0.448</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0.246 to 0.401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0.794 to 0.866</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0.581 to 0.687</w:t>
            </w:r>
          </w:p>
        </w:tc>
      </w:tr>
    </w:tbl>
    <w:p>
      <w:pPr>
        <w:spacing w:after="120"/>
      </w:pPr>
    </w:p>
    <w:p>
      <w:pPr>
        <w:pStyle w:val="ListParagraph"/>
        <w:numPr>
          <w:ilvl w:val="0"/>
          <w:numId w:val="2"/>
        </w:numPr>
        <w:spacing w:after="100"/>
      </w:pPr>
      <w:r>
        <w:rPr>
          <w:b/>
          <w:bCs/>
        </w:rPr>
        <w:t xml:space="preserve">High- and low-variance directions:</w:t>
      </w:r>
      <w:r>
        <w:t xml:space="preserve"> each embedding was split into its top ten principal components and the rest. The top ten hold 55% (CaLM) to 96% (HyenaDNA) of the variance, composition explains 37% to 95% of that block against 18% to 36% of the rest, and for ESM-2 8M and 35M the top ten alone give 85% and 94% of the whole embedding's stability R²; the rest alone gives slightly below zero for every encoder. CKA on the top block reproduces the whole-embedding CKA within 0.035 for every pair. The low-variance directions still agree for the ESM-2 models (0.48 to 0.59) and for CaLM with the protein encoders (0.39 to 0.41), and mRNA-FM is the case where they agree more than the top block (0.29 with every protein encoder), so its correspondence with protein sits in low-variance directions, which fits its low CKA but substantial retrieval.</w:t>
      </w:r>
    </w:p>
    <w:p>
      <w:pPr>
        <w:pStyle w:val="ListParagraph"/>
        <w:numPr>
          <w:ilvl w:val="0"/>
          <w:numId w:val="2"/>
        </w:numPr>
        <w:spacing w:after="100"/>
      </w:pPr>
      <w:r>
        <w:rPr>
          <w:b/>
          <w:bCs/>
        </w:rPr>
        <w:t xml:space="preserve">UMAP:</w:t>
      </w:r>
      <w:r>
        <w:t xml:space="preserve"> most layouts show one broad cloud plus one or two small, tightly packed groups separated from it. DNABERT-2 separates a larger group, HyenaDNA and CaLM show a single loose cloud, and mRNA-FM is the only layout whose main cloud divides into two large lobes. Because each layout is fitted separately and points are unlabeled, the plots do not show whether these groups contain the same sequences; tracing them back to the rows, and checking length, GC content, and species, would test that. Illustrative only, not evidence on its own.</w:t>
      </w:r>
    </w:p>
    <w:p>
      <w:pPr>
        <w:pStyle w:val="Heading2"/>
      </w:pPr>
      <w:r>
        <w:t xml:space="preserve">9.4 Track C: Interpretability and Supporting Diagnostics</w:t>
      </w:r>
    </w:p>
    <w:p>
      <w:pPr>
        <w:pStyle w:val="ListParagraph"/>
        <w:numPr>
          <w:ilvl w:val="0"/>
          <w:numId w:val="2"/>
        </w:numPr>
        <w:spacing w:after="100"/>
      </w:pPr>
      <w:r>
        <w:rPr>
          <w:b/>
          <w:bCs/>
        </w:rPr>
        <w:t xml:space="preserve">Attention-motif overlap test (design):</w:t>
      </w:r>
      <w:r>
        <w:t xml:space="preserve"> the motif scan targets the AU-rich element pentamer (AUUUA) and nonamer (UUAUUUAUU), the two most-cited motifs mediating ARE-directed mRNA decay (Lagnado et al., 1994; Zubiaga et al., 1995), and the DRACH consensus for m6A sites (Dominissini et al., 2012; Meyer et al., 2012), a direct, independent regulator of mRNA half-life, scanned as degenerate IUPAC patterns. Results are broken down per motif class alongside the pooled result, since ARE- and m6A-mediated decay work through different mechanisms and a pooled result can hide an effect specific to one of them. DNABERT-2's model code does not return attention weights and HyenaDNA has no attention layers, so the test covers the other six nucleotide encoders.</w:t>
      </w:r>
    </w:p>
    <w:p>
      <w:pPr>
        <w:pStyle w:val="ListParagraph"/>
        <w:numPr>
          <w:ilvl w:val="0"/>
          <w:numId w:val="2"/>
        </w:numPr>
        <w:spacing w:after="100"/>
      </w:pPr>
      <w:r>
        <w:rPr>
          <w:b/>
          <w:bCs/>
        </w:rPr>
        <w:t xml:space="preserve">Attention-motif overlap test (results):</w:t>
      </w:r>
      <w:r>
        <w:t xml:space="preserve"> across the first 100 sequences, the fraction with nominally higher attention at motif positions is 7% for Nucleotide Transformer 500M and 9% for RNA-FM, near the 5% chance baseline, with slightly negative mean gaps. Nucleotide Transformer v2, RiNALMo, and CaLM give ARE pentamers more attention in a quarter to a third of the sequences that contain one, with positive mean gaps (0.011 to 0.040). mRNA-FM passes in 93 of 100 sequences, almost entirely through DRACH matches, but its mean gap is only +0.0015 on a zero-to-one scale. The ARE nonamer appears in none of the 100 sequences.</w:t>
      </w:r>
    </w:p>
    <w:p>
      <w:pPr>
        <w:pStyle w:val="ListParagraph"/>
        <w:numPr>
          <w:ilvl w:val="0"/>
          <w:numId w:val="2"/>
        </w:numPr>
        <w:spacing w:after="100"/>
      </w:pPr>
      <w:r>
        <w:rPr>
          <w:b/>
          <w:bCs/>
        </w:rPr>
        <w:t xml:space="preserve">Permutation nulls:</w:t>
      </w:r>
      <w:r>
        <w:t xml:space="preserve"> a rank test over about 2,500 positions per sequence detects tiny systematic shifts, so each association was tested against 500 shuffles that keep the matched positions within 100-nucleotide bins (position null) or among positions with the same codon and place within it (codon-and-frame null). Position explains none of the associations. Codon context explains most of them: mRNA-FM's DRACH shift falls to +0.0001 and RiNALMo's ARE gap disappears, so both attend to the codons these motifs occupy rather than to the motifs, and Nucleotide Transformer v2 keeps about half of its gap without reaching 0.05. CaLM is the one encoder whose ARE association survives both nulls (excess gap +0.014, p = 0.002, the smallest attainable). It rests on 41 sequences and one attention summary, and 500 shuffles cannot pass a Bonferroni correction for 36 tests, so it is a lead for follow-up rather than an established association. Every other row has p of at least 0.54.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600"/>
        <w:gridCol w:w="1400"/>
        <w:gridCol w:w="2000"/>
        <w:gridCol w:w="2000"/>
      </w:tblGrid>
      <w:tr>
        <w:trPr>
          <w:tblHeader/>
        </w:trPr>
        <w:tc>
          <w:tcPr>
            <w:tcW w:type="dxa" w:w="23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Encoder</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Motif</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Observed gap</w:t>
            </w:r>
          </w:p>
        </w:tc>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Position null: excess (p)</w:t>
            </w:r>
          </w:p>
        </w:tc>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Codon-and-frame null: excess (p)</w:t>
            </w:r>
          </w:p>
        </w:tc>
      </w:tr>
      <w:tr>
        <w:trPr>
          <w:tblHeader w:val="false"/>
        </w:trPr>
        <w:tc>
          <w:tcPr>
            <w:tcW w:type="dxa" w:w="2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Nucleotide Transformer v2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ARE pentamer</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+0.0110</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+0.0149 (0.014)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+0.0061 (0.200)</w:t>
            </w:r>
          </w:p>
        </w:tc>
      </w:tr>
      <w:tr>
        <w:trPr>
          <w:tblHeader w:val="false"/>
        </w:trPr>
        <w:tc>
          <w:tcPr>
            <w:tcW w:type="dxa" w:w="2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RiNALMo 150M</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ARE pentamer</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+0.0400</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+0.0424 (0.002)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-0.0008 (0.585)</w:t>
            </w:r>
          </w:p>
        </w:tc>
      </w:tr>
      <w:tr>
        <w:trPr>
          <w:tblHeader w:val="false"/>
        </w:trPr>
        <w:tc>
          <w:tcPr>
            <w:tcW w:type="dxa" w:w="2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mRNA-FM</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All pooled</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+0.0014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+0.0014 (0.002)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+0.0001 (0.072)</w:t>
            </w:r>
          </w:p>
        </w:tc>
      </w:tr>
      <w:tr>
        <w:trPr>
          <w:tblHeader w:val="false"/>
        </w:trPr>
        <w:tc>
          <w:tcPr>
            <w:tcW w:type="dxa" w:w="2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mRNA-FM</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DRACH</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+0.0015</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+0.0014 (0.002)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+0.0001 (0.082)</w:t>
            </w:r>
          </w:p>
        </w:tc>
      </w:tr>
      <w:tr>
        <w:trPr>
          <w:tblHeader w:val="false"/>
        </w:trPr>
        <w:tc>
          <w:tcPr>
            <w:tcW w:type="dxa" w:w="2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CaLM</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ARE pentamer</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+0.0298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+0.0302 (0.002)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+0.0140 (0.002)</w:t>
            </w:r>
          </w:p>
        </w:tc>
      </w:tr>
    </w:tbl>
    <w:p>
      <w:pPr>
        <w:spacing w:after="120"/>
      </w:pPr>
    </w:p>
    <w:p>
      <w:pPr>
        <w:pStyle w:val="ListParagraph"/>
        <w:numPr>
          <w:ilvl w:val="0"/>
          <w:numId w:val="2"/>
        </w:numPr>
        <w:spacing w:after="100"/>
      </w:pPr>
      <w:r>
        <w:rPr>
          <w:b/>
          <w:bCs/>
        </w:rPr>
        <w:t xml:space="preserve">Important limit on Track C:</w:t>
      </w:r>
      <w:r>
        <w:t xml:space="preserve"> the mRNA_Stability sequences are coding-only. Every length is a multiple of three, 98.2% start with ATG, and 99.1% end exactly at their first in-frame stop codon, so there is no UTR context. AREs and m6A sites are canonically enriched in 3' UTRs, so this test only covers coding regions, where these elements are less concentrated. Section 9.6 repeats it on GTEx 3' UTRs.</w:t>
      </w:r>
    </w:p>
    <w:p>
      <w:pPr>
        <w:pStyle w:val="ListParagraph"/>
        <w:numPr>
          <w:ilvl w:val="0"/>
          <w:numId w:val="2"/>
        </w:numPr>
        <w:spacing w:after="100"/>
      </w:pPr>
      <w:r>
        <w:rPr>
          <w:b/>
          <w:bCs/>
        </w:rPr>
        <w:t xml:space="preserve">Alignment-error association</w:t>
      </w:r>
      <w:r>
        <w:t xml:space="preserve"> (an exploratory adaptation of the ICML 2025 paper's diagnostic, reported as a Spearman correlation rather than a fitted slope): on the held-out CCA test-set vectors (291 rows), the Spearman correlation between per-sample local alignment and downstream prediction error ranges from -0.125 to +0.122 across the 66 pairs. Four pairs have a nominal p below 0.05, the smallest 0.033 for RiNALMo with ESM-2 8M, and none survives a Bonferroni correction for 66 pairs (threshold 0.0008). Read against the paper's framework, this is consistent with the view that an explicit alignment loss is unlikely to help the fusion architecture, but it does not establish modality uniqueness or directly predict the effect of training with an alignment loss. It is a sample-level adaptation of the paper's across-model diagnostic, not a replication.</w:t>
      </w:r>
    </w:p>
    <w:p>
      <w:pPr>
        <w:pStyle w:val="ListParagraph"/>
        <w:numPr>
          <w:ilvl w:val="0"/>
          <w:numId w:val="2"/>
        </w:numPr>
        <w:spacing w:after="100"/>
      </w:pPr>
      <w:r>
        <w:rPr>
          <w:b/>
          <w:bCs/>
        </w:rPr>
        <w:t xml:space="preserve">Representational Similarity Analysis (RSA):</w:t>
      </w:r>
      <w:r>
        <w:t xml:space="preserve"> the Spearman correlation between two encoders' pairwise-distance structures ranks the pairs much as CKA does: 0.616 to 0.818 within ESM-2, 0.758 for RNA-FM with RiNALMo, 0.269 to 0.698 within DNA, 0.351 to 0.469 for CaLM with the protein encoders, and 0.031 to 0.265 for DNA with protein. mRNA-FM's distance structure barely resembles any other encoder's (at most 0.126). A Mantel permutation test with 499 permutations gives p = 0.002, the smallest attainable value, for 61 pairs, 0.004 to 0.016 for four more, and 0.056 for mRNA-FM with ESM-2 150M. RSA reuses the same embeddings as the other diagnostics, so it is supporting evidence rather than a fully independent confirmation.</w:t>
      </w:r>
    </w:p>
    <w:p>
      <w:pPr>
        <w:pStyle w:val="Heading2"/>
      </w:pPr>
      <w:r>
        <w:t xml:space="preserve">9.5 Published-Split Comparison with BioLangFusion</w:t>
      </w:r>
    </w:p>
    <w:p>
      <w:pPr>
        <w:pStyle w:val="ListParagraph"/>
        <w:numPr>
          <w:ilvl w:val="0"/>
          <w:numId w:val="2"/>
        </w:numPr>
        <w:spacing w:after="100"/>
      </w:pPr>
      <w:r>
        <w:rPr>
          <w:b/>
          <w:bCs/>
        </w:rPr>
        <w:t xml:space="preserve">Setup:</w:t>
      </w:r>
      <w:r>
        <w:t xml:space="preserve"> 3,000 rows from the published training split and 1,000 from the published test split (seed 42), filtered as above to 2,937 and 981; each probe is fit once on the training rows and scored by Spearman correlation on the test rows, and also on the 295 test rows whose sequence occurs nowhere in the full published training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2100"/>
        <w:gridCol w:w="2100"/>
      </w:tblGrid>
      <w:tr>
        <w:trPr>
          <w:tblHeader/>
        </w:trPr>
        <w:tc>
          <w:tcPr>
            <w:tcW w:type="dxa" w:w="5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Encoders</w:t>
            </w:r>
          </w:p>
        </w:tc>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Spearman, all test rows</w:t>
            </w:r>
          </w:p>
        </w:tc>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Spearman, unseen sequences</w:t>
            </w:r>
          </w:p>
        </w:tc>
      </w:tr>
      <w:tr>
        <w:trPr>
          <w:tblHeader w:val="false"/>
        </w:trPr>
        <w:tc>
          <w:tcPr>
            <w:tcW w:type="dxa" w:w="5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Best single encoder (ProtBERT)</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0.396</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0.433</w:t>
            </w:r>
          </w:p>
        </w:tc>
      </w:tr>
      <w:tr>
        <w:trPr>
          <w:tblHeader w:val="false"/>
        </w:trPr>
        <w:tc>
          <w:tcPr>
            <w:tcW w:type="dxa" w:w="5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CaLM</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0.377</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0.391</w:t>
            </w:r>
          </w:p>
        </w:tc>
      </w:tr>
      <w:tr>
        <w:trPr>
          <w:tblHeader w:val="false"/>
        </w:trPr>
        <w:tc>
          <w:tcPr>
            <w:tcW w:type="dxa" w:w="5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ESM-2 150M</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0.371</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0.373</w:t>
            </w:r>
          </w:p>
        </w:tc>
      </w:tr>
      <w:tr>
        <w:trPr>
          <w:tblHeader w:val="false"/>
        </w:trPr>
        <w:tc>
          <w:tcPr>
            <w:tcW w:type="dxa" w:w="5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mRNA-FM + ProtBERT</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0.392</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0.417</w:t>
            </w:r>
          </w:p>
        </w:tc>
      </w:tr>
      <w:tr>
        <w:trPr>
          <w:tblHeader w:val="false"/>
        </w:trPr>
        <w:tc>
          <w:tcPr>
            <w:tcW w:type="dxa" w:w="5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BioLangFusion's three encoders concatenated</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0.364</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0.351</w:t>
            </w:r>
          </w:p>
        </w:tc>
      </w:tr>
      <w:tr>
        <w:trPr>
          <w:tblHeader w:val="false"/>
        </w:trPr>
        <w:tc>
          <w:tcPr>
            <w:tcW w:type="dxa" w:w="5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All twelve encoders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0.401</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0.402</w:t>
            </w:r>
          </w:p>
        </w:tc>
      </w:tr>
      <w:tr>
        <w:trPr>
          <w:tblHeader w:val="false"/>
        </w:trPr>
        <w:tc>
          <w:tcPr>
            <w:tcW w:type="dxa" w:w="5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BioLangFusion, published (concatenation; best fusion)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0.539; 0.563</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
            </w:r>
          </w:p>
        </w:tc>
      </w:tr>
    </w:tbl>
    <w:p>
      <w:pPr>
        <w:spacing w:after="120"/>
      </w:pPr>
    </w:p>
    <w:p>
      <w:pPr>
        <w:pStyle w:val="ListParagraph"/>
        <w:numPr>
          <w:ilvl w:val="0"/>
          <w:numId w:val="2"/>
        </w:numPr>
        <w:spacing w:after="100"/>
      </w:pPr>
      <w:r>
        <w:rPr>
          <w:b/>
          <w:bCs/>
        </w:rPr>
        <w:t xml:space="preserve">Reading:</w:t>
      </w:r>
      <w:r>
        <w:t xml:space="preserve"> the frozen encoders keep their cross-validated order: ProtBERT, CaLM, and ESM-2 150M lead, and the encoders that read single nucleotides, six-nucleotide tokens, or byte-pair tokens trail (0.275 to 0.322). BioLangFusion's three encoders concatenated reach 0.364, above each alone but well below its published concatenation (0.539) and best fusion (0.563). The comparison is not like for like: BioLangFusion trains a TextCNN head on token-level embeddings with 23,929 filtered sequences, while this probe is linear on mean-pooled embeddings with 2,937 rows of a different version of the file.</w:t>
      </w:r>
    </w:p>
    <w:p>
      <w:pPr>
        <w:pStyle w:val="Heading2"/>
      </w:pPr>
      <w:r>
        <w:t xml:space="preserve">9.6 Distinct Inputs: GTEx Transcript Expression</w:t>
      </w:r>
    </w:p>
    <w:p>
      <w:pPr>
        <w:pStyle w:val="ListParagraph"/>
        <w:numPr>
          <w:ilvl w:val="0"/>
          <w:numId w:val="2"/>
        </w:numPr>
        <w:spacing w:after="100"/>
      </w:pPr>
      <w:r>
        <w:rPr>
          <w:b/>
          <w:bCs/>
        </w:rPr>
        <w:t xml:space="preserve">Pilot:</w:t>
      </w:r>
      <w:r>
        <w:t xml:space="preserve"> Code/build_gtex_pilot.py samples 1,000 protein-coding transcripts from each of IsoFormer's published train and test splits and adds 6,000 nucleotides of GRCh38 DNA centered on each transcription start site. After the Stage 1 filters, 999 train transcripts (951 genes) and 996 test transcripts (558 genes) remain, with no gene in both. DNA encoders read the window, RNA-FM and RiNALMo the transcript, mRNA-FM and CaLM the coding sequence, and the protein encoders the protein. Probes predict all 30 tissues at once and report R² averaged over tissues, with folds grouped by gene.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1200"/>
        <w:gridCol w:w="2200"/>
        <w:gridCol w:w="1800"/>
      </w:tblGrid>
      <w:tr>
        <w:trPr>
          <w:tblHeader/>
        </w:trPr>
        <w:tc>
          <w:tcPr>
            <w:tcW w:type="dxa" w:w="4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Encoder or features</w:t>
            </w:r>
          </w:p>
        </w:tc>
        <w:tc>
          <w:tcPr>
            <w:tcW w:type="dxa" w:w="1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Modality</w:t>
            </w:r>
          </w:p>
        </w:tc>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Expression R² (fold SD)</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R², 10 assignments</w:t>
            </w:r>
          </w:p>
        </w:tc>
      </w:tr>
      <w:tr>
        <w:trPr>
          <w:tblHeader w:val="false"/>
        </w:trPr>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Nucleotide Transformer 500M human-ref</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DNA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0.034 (0.025)</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0.039</w:t>
            </w:r>
          </w:p>
        </w:tc>
      </w:tr>
      <w:tr>
        <w:trPr>
          <w:tblHeader w:val="false"/>
        </w:trPr>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Nucleotide Transformer v2 100M multi-species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DNA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0.036 (0.030)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0.041</w:t>
            </w:r>
          </w:p>
        </w:tc>
      </w:tr>
      <w:tr>
        <w:trPr>
          <w:tblHeader w:val="false"/>
        </w:trPr>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DNABERT-2</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DNA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0.033 (0.028)</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0.047</w:t>
            </w:r>
          </w:p>
        </w:tc>
      </w:tr>
      <w:tr>
        <w:trPr>
          <w:tblHeader w:val="false"/>
        </w:trPr>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HyenaDNA large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DNA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0.031 (0.028)</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0.038</w:t>
            </w:r>
          </w:p>
        </w:tc>
      </w:tr>
      <w:tr>
        <w:trPr>
          <w:tblHeader w:val="false"/>
        </w:trPr>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RNA-FM</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RNA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0.149 (0.037)</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0.161</w:t>
            </w:r>
          </w:p>
        </w:tc>
      </w:tr>
      <w:tr>
        <w:trPr>
          <w:tblHeader w:val="false"/>
        </w:trPr>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RiNALMo 150M</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RNA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0.149 (0.047)</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0.150</w:t>
            </w:r>
          </w:p>
        </w:tc>
      </w:tr>
      <w:tr>
        <w:trPr>
          <w:tblHeader w:val="false"/>
        </w:trPr>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mRNA-FM</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RNA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0.172 (0.044)</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0.176</w:t>
            </w:r>
          </w:p>
        </w:tc>
      </w:tr>
      <w:tr>
        <w:trPr>
          <w:tblHeader w:val="false"/>
        </w:trPr>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CaLM</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RNA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0.120 (0.032)</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0.119</w:t>
            </w:r>
          </w:p>
        </w:tc>
      </w:tr>
      <w:tr>
        <w:trPr>
          <w:tblHeader w:val="false"/>
        </w:trPr>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ESM-2 8M</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Protein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0.091 (0.022)</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0.099</w:t>
            </w:r>
          </w:p>
        </w:tc>
      </w:tr>
      <w:tr>
        <w:trPr>
          <w:tblHeader w:val="false"/>
        </w:trPr>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ESM-2 35M</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Protein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0.104 (0.031)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0.113</w:t>
            </w:r>
          </w:p>
        </w:tc>
      </w:tr>
      <w:tr>
        <w:trPr>
          <w:tblHeader w:val="false"/>
        </w:trPr>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ESM-2 150M</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Protein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0.130 (0.043)</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0.138</w:t>
            </w:r>
          </w:p>
        </w:tc>
      </w:tr>
      <w:tr>
        <w:trPr>
          <w:tblHeader w:val="false"/>
        </w:trPr>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ProtBERT</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Protein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0.163 (0.040)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0.164</w:t>
            </w:r>
          </w:p>
        </w:tc>
      </w:tr>
      <w:tr>
        <w:trPr>
          <w:tblHeader w:val="false"/>
        </w:trPr>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Lengths (4 features)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0.242 (0.036)</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0.238</w:t>
            </w:r>
          </w:p>
        </w:tc>
      </w:tr>
      <w:tr>
        <w:trPr>
          <w:tblHeader w:val="false"/>
        </w:trPr>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All twelve encoders concatenated</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0.239 (0.051)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0.241</w:t>
            </w:r>
          </w:p>
        </w:tc>
      </w:tr>
    </w:tbl>
    <w:p>
      <w:pPr>
        <w:spacing w:after="120"/>
      </w:pPr>
    </w:p>
    <w:p>
      <w:pPr>
        <w:pStyle w:val="ListParagraph"/>
        <w:numPr>
          <w:ilvl w:val="0"/>
          <w:numId w:val="2"/>
        </w:numPr>
        <w:spacing w:after="100"/>
      </w:pPr>
      <w:r>
        <w:rPr>
          <w:b/>
          <w:bCs/>
        </w:rPr>
        <w:t xml:space="preserve">Expression probes:</w:t>
      </w:r>
      <w:r>
        <w:t xml:space="preserve"> the RNA and protein encoders recover 0.09 to 0.18 of expression variance, the DNA encoders reading the region around the start site 0.03 to 0.05. Four length features (transcript, coding sequence, and each UTR) reach 0.242, more than any single encoder: mean pooling divides by the number of tokens, truncation caps what an encoder sees, and every DNA window has the same length, so a pooled embedding hides lengths that are known correlates of expression.</w:t>
      </w:r>
    </w:p>
    <w:p>
      <w:pPr>
        <w:pStyle w:val="ListParagraph"/>
        <w:numPr>
          <w:ilvl w:val="0"/>
          <w:numId w:val="2"/>
        </w:numPr>
        <w:spacing w:after="100"/>
      </w:pPr>
      <w:r>
        <w:rPr>
          <w:b/>
          <w:bCs/>
        </w:rPr>
        <w:t xml:space="preserve">Concatenation:</w:t>
      </w:r>
      <w:r>
        <w:t xml:space="preserve"> 57 of the 66 pairs exceed the better encoder on the pinned folds, and 47 gain under all ten further assignments, against 16 on the stability data. Every DNA encoder gains with every protein and codon-level encoder (by 0.013 to 0.041 on average), even though the DNA window alone predicts little. DNA with RNA-FM or RiNALMo gains inconsistently, which fits the overlap between the window's downstream half and the transcript start those two encoders read. All four RNA encoders together reach 0.216, and all twelve 0.239, the level of the length features.</w:t>
      </w:r>
    </w:p>
    <w:p>
      <w:pPr>
        <w:pStyle w:val="ListParagraph"/>
        <w:numPr>
          <w:ilvl w:val="0"/>
          <w:numId w:val="2"/>
        </w:numPr>
        <w:spacing w:after="100"/>
      </w:pPr>
      <w:r>
        <w:rPr>
          <w:b/>
          <w:bCs/>
        </w:rPr>
        <w:t xml:space="preserve">Published split, against IsoFormer:</w:t>
      </w:r>
      <w:r>
        <w:t xml:space="preserve"> with IsoFormer's protein encoder (ESM-2 150M) and Nucleotide Transformer v2 for DNA, the three-modality sets reach R² 0.216 to 0.249 on the 996 test transcripts and all twelve encoders 0.269, about half of IsoFormer's 0.43 with about 1% of its training transcripts. DNA alone is weakest and adding modalities helps in IsoFormer's order; RNA alone falls furthest short (0.150 to 0.204 against 0.36), which fits IsoFormer fine-tuning its RNA encoder.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Encoder pairs (GTEx)</w:t>
            </w:r>
          </w:p>
        </w:tc>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Linear CKA</w:t>
            </w:r>
          </w:p>
        </w:tc>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Recall@1</w:t>
            </w:r>
          </w:p>
        </w:tc>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Recall@1 after control</w:t>
            </w:r>
          </w:p>
        </w:tc>
      </w:tr>
      <w:tr>
        <w:trPr>
          <w:tblHeader w:val="false"/>
        </w:trPr>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Within ESM-2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0.618 to 0.770</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0.928 to 0.959</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0.639 to 0.824</w:t>
            </w:r>
          </w:p>
        </w:tc>
      </w:tr>
      <w:tr>
        <w:trPr>
          <w:tblHeader w:val="false"/>
        </w:trPr>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Within DNA</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0.638 to 0.933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0.658 to 0.953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0.618 to 0.947</w:t>
            </w:r>
          </w:p>
        </w:tc>
      </w:tr>
      <w:tr>
        <w:trPr>
          <w:tblHeader w:val="false"/>
        </w:trPr>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RNA-FM with RiNALMo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0.845</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0.887</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0.809</w:t>
            </w:r>
          </w:p>
        </w:tc>
      </w:tr>
      <w:tr>
        <w:trPr>
          <w:tblHeader w:val="false"/>
        </w:trPr>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DNA with RNA-FM or RiNALMo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0.305 to 0.464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0.009 to 0.041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0.003 to 0.019</w:t>
            </w:r>
          </w:p>
        </w:tc>
      </w:tr>
      <w:tr>
        <w:trPr>
          <w:tblHeader w:val="false"/>
        </w:trPr>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DNA with mRNA-FM or CaLM</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0.030 to 0.288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0.003 to 0.025</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0.000 to 0.022</w:t>
            </w:r>
          </w:p>
        </w:tc>
      </w:tr>
      <w:tr>
        <w:trPr>
          <w:tblHeader w:val="false"/>
        </w:trPr>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DNA with protein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0.019 to 0.071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0.000 to 0.016</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0.000 to 0.016</w:t>
            </w:r>
          </w:p>
        </w:tc>
      </w:tr>
      <w:tr>
        <w:trPr>
          <w:tblHeader w:val="false"/>
        </w:trPr>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RNA-FM or RiNALMo with protein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0.089 to 0.241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0.088 to 0.263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0.016 to 0.085</w:t>
            </w:r>
          </w:p>
        </w:tc>
      </w:tr>
      <w:tr>
        <w:trPr>
          <w:tblHeader w:val="false"/>
        </w:trPr>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mRNA-FM with protein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0.121 to 0.437</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0.370 to 0.467</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0.078 to 0.166</w:t>
            </w:r>
          </w:p>
        </w:tc>
      </w:tr>
      <w:tr>
        <w:trPr>
          <w:tblHeader w:val="false"/>
        </w:trPr>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CaLM with protein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0.404 to 0.551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0.690 to 0.828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sz w:val="20"/>
                <w:szCs w:val="20"/>
              </w:rPr>
              <w:t xml:space="preserve">0.436 to 0.627</w:t>
            </w:r>
          </w:p>
        </w:tc>
      </w:tr>
    </w:tbl>
    <w:p>
      <w:pPr>
        <w:spacing w:after="120"/>
      </w:pPr>
    </w:p>
    <w:p>
      <w:pPr>
        <w:pStyle w:val="ListParagraph"/>
        <w:numPr>
          <w:ilvl w:val="0"/>
          <w:numId w:val="2"/>
        </w:numPr>
        <w:spacing w:after="100"/>
      </w:pPr>
      <w:r>
        <w:rPr>
          <w:b/>
          <w:bCs/>
        </w:rPr>
        <w:t xml:space="preserve">Geometry:</w:t>
      </w:r>
      <w:r>
        <w:t xml:space="preserve"> the DNA encoders agree with each other much more than on the stability data (CKA 0.638 to 0.933) and with everything else much less: a transcript's own window is ranked first for at most 4.1% of 319 test transcripts (chance 0.31%), as expected for different sequences. Among the encoders that read coding information the stability pattern repeats, and CaLM again keeps the most correspondence with the protein encoders after the composition control (Recall@1 0.44 to 0.63).</w:t>
      </w:r>
    </w:p>
    <w:p>
      <w:pPr>
        <w:pStyle w:val="ListParagraph"/>
        <w:numPr>
          <w:ilvl w:val="0"/>
          <w:numId w:val="2"/>
        </w:numPr>
        <w:spacing w:after="100"/>
      </w:pPr>
      <w:r>
        <w:rPr>
          <w:b/>
          <w:bCs/>
        </w:rPr>
        <w:t xml:space="preserve">Attention in 3' UTRs:</w:t>
      </w:r>
      <w:r>
        <w:t xml:space="preserve"> RNA-FM and RiNALMo read the 3' UTRs of 100 train transcripts. RNA-FM shows no association with ARE pentamers or DRACH (every permutation p at least 0.158). RiNALMo's ARE gap survives the position null (p = 0.002) but not a null that keeps each position's three-nucleotide context (p = 0.164), so it attends to the U-rich trinucleotides that make up an AUUUA pentamer wherever they occur, repeating its coding-sequence result.</w:t>
      </w:r>
    </w:p>
    <w:p>
      <w:pPr>
        <w:pStyle w:val="ListParagraph"/>
        <w:numPr>
          <w:ilvl w:val="0"/>
          <w:numId w:val="2"/>
        </w:numPr>
        <w:spacing w:after="100"/>
      </w:pPr>
      <w:r>
        <w:rPr>
          <w:b/>
          <w:bCs/>
        </w:rPr>
        <w:t xml:space="preserve">Diagnostics:</w:t>
      </w:r>
      <w:r>
        <w:t xml:space="preserve"> the alignment-error association again finds nothing (Spearman -0.134 to +0.100, none below the Bonferroni threshold), and RSA ranks the pairs as CKA does; mRNA-FM's distance structure is unrelated to that of the DNA encoders and the ESM-2 models (Mantel p 0.126 to 0.706).</w:t>
      </w:r>
    </w:p>
    <w:p>
      <w:pPr>
        <w:pStyle w:val="Heading2"/>
      </w:pPr>
      <w:r>
        <w:t xml:space="preserve">9.7 Stage 1 Summary</w:t>
      </w:r>
    </w:p>
    <w:p>
      <w:pPr>
        <w:spacing w:after="160"/>
      </w:pPr>
      <w:r>
        <w:t xml:space="preserve">The protein encoders and the two codon-level RNA encoders carry the most linearly accessible stability signal (R² about 0.11 to 0.14), and the other nucleotide encoders reach 0.026 to 0.080; none of this is driven by sequence length. The pipeline is verified correct by the synonymous-recoding control. Agreement between encoders follows tokenization and training more than the modality label, CCA and retrieval find a strong shared subspace for every pair, and the composition control shows that most agreement involving a DNA encoder is reproduced by letter, codon, and amino-acid frequencies alone. The protein encoders, RNA-FM with RiNALMo, and CaLM with the protein encoders keep strong agreement after it. Per-sequence alignment never tracks prediction error.</w:t>
      </w:r>
    </w:p>
    <w:p>
      <w:pPr>
        <w:spacing w:after="160"/>
      </w:pPr>
      <w:r>
        <w:t xml:space="preserve">Every pairing of a codon-level RNA encoder with a protein encoder adds about 0.01 to 0.02 under every fold assignment, and whether a learned fusion mechanism can use the modalities together is the Stage 3 question. With distinct inputs (GTEx), concatenation adds signal far more broadly, but transcript lengths match all twelve encoders together. On the published splits the frozen probes keep their order and fall well short of the trained published models. Position never explains the attention associations and codon context explains most of them; CaLM's ARE association is the one lead. Every planned Stage 1 check is implemented and run for all twelve encoders on both datasets, except attention for DNABERT-2 and HyenaDNA.</w:t>
      </w:r>
    </w:p>
    <w:p>
      <w:pPr>
        <w:pStyle w:val="Heading2"/>
      </w:pPr>
      <w:r>
        <w:t xml:space="preserve">9.8 Interpreting the Results</w:t>
      </w:r>
    </w:p>
    <w:p>
      <w:pPr>
        <w:pStyle w:val="ListParagraph"/>
        <w:numPr>
          <w:ilvl w:val="0"/>
          <w:numId w:val="2"/>
        </w:numPr>
        <w:spacing w:after="100"/>
      </w:pPr>
      <w:r>
        <w:rPr>
          <w:b/>
          <w:bCs/>
        </w:rPr>
        <w:t xml:space="preserve">The disagreement between metrics is the finding.</w:t>
      </w:r>
      <w:r>
        <w:t xml:space="preserve"> CKA and mutual k-NN say the spaces mostly disagree, while CCA and retrieval find, and RSA is consistent with, a strong, learnable shared subspace in every pair. The composition control resolves the contrast for pairs involving a DNA encoder: that subspace is mostly composition.</w:t>
      </w:r>
    </w:p>
    <w:p>
      <w:pPr>
        <w:pStyle w:val="ListParagraph"/>
        <w:numPr>
          <w:ilvl w:val="0"/>
          <w:numId w:val="2"/>
        </w:numPr>
        <w:spacing w:after="100"/>
      </w:pPr>
      <w:r>
        <w:rPr>
          <w:b/>
          <w:bCs/>
        </w:rPr>
        <w:t xml:space="preserve">Tokenization matters as much as modality.</w:t>
      </w:r>
      <w:r>
        <w:t xml:space="preserve"> Encoders of one modality are not interchangeable: mRNA-FM and CaLM both read codons, both complement the protein encoders, and both reach the protein encoders' stability range, yet their geometries differ sharply, while RNA-FM and RiNALMo are nearly redundant. Modality comparisons should therefore include more than one encoder per modality.</w:t>
      </w:r>
    </w:p>
    <w:p>
      <w:pPr>
        <w:pStyle w:val="ListParagraph"/>
        <w:numPr>
          <w:ilvl w:val="0"/>
          <w:numId w:val="2"/>
        </w:numPr>
        <w:spacing w:after="100"/>
      </w:pPr>
      <w:r>
        <w:rPr>
          <w:b/>
          <w:bCs/>
        </w:rPr>
        <w:t xml:space="preserve">CaLM is the most protein-like nucleotide encoder.</w:t>
      </w:r>
      <w:r>
        <w:t xml:space="preserve"> Its agreement with the protein encoders survives the composition control, holds through its layers, and appears on both datasets, and its attention to AU-rich pentamers survives both nulls. What in its training produces this has not been tested.</w:t>
      </w:r>
    </w:p>
    <w:p>
      <w:pPr>
        <w:pStyle w:val="ListParagraph"/>
        <w:numPr>
          <w:ilvl w:val="0"/>
          <w:numId w:val="2"/>
        </w:numPr>
        <w:spacing w:after="100"/>
      </w:pPr>
      <w:r>
        <w:rPr>
          <w:b/>
          <w:bCs/>
        </w:rPr>
        <w:t xml:space="preserve">Distinct inputs change the picture.</w:t>
      </w:r>
      <w:r>
        <w:t xml:space="preserve"> On GTEx, the DNA window shares almost no correspondence with the other molecules yet adds signal, which is what uniqueness looks like; on the stability data, where all inputs are one sequence, gains are rare and small.</w:t>
      </w:r>
    </w:p>
    <w:p>
      <w:pPr>
        <w:pStyle w:val="ListParagraph"/>
        <w:numPr>
          <w:ilvl w:val="0"/>
          <w:numId w:val="2"/>
        </w:numPr>
        <w:spacing w:after="100"/>
      </w:pPr>
      <w:r>
        <w:rPr>
          <w:b/>
          <w:bCs/>
        </w:rPr>
        <w:t xml:space="preserve">Implication for fusion.</w:t>
      </w:r>
      <w:r>
        <w:t xml:space="preserve"> A learned fusion mechanism (Coupled Mamba, then cross-attention) is the right Stage 3 test, since it can use token-level interactions that pooled linear probes cannot. The bar is high: fusion must beat the best single encoder (ESM-2 150M or ProtBERT on stability) and the concatenation-plus-MLP baseline, and on GTEx the length baseline.</w:t>
      </w:r>
    </w:p>
    <w:p>
      <w:pPr>
        <w:pStyle w:val="Heading2"/>
      </w:pPr>
      <w:r>
        <w:t xml:space="preserve">9.9 Literature and Toolkit Status</w:t>
      </w:r>
    </w:p>
    <w:p>
      <w:pPr>
        <w:pStyle w:val="ListParagraph"/>
        <w:numPr>
          <w:ilvl w:val="0"/>
          <w:numId w:val="2"/>
        </w:numPr>
        <w:spacing w:after="100"/>
      </w:pPr>
      <w:r>
        <w:rPr>
          <w:b/>
          <w:bCs/>
        </w:rPr>
        <w:t xml:space="preserve">Full standalone reviews:</w:t>
      </w:r>
      <w:r>
        <w:t xml:space="preserve"> BioLangFusion, Isoformer, Central Dogma Transformer, LucaOne, Coupled Mamba, and the alignment theory paper (ICML 2025).</w:t>
      </w:r>
    </w:p>
    <w:p>
      <w:pPr>
        <w:pStyle w:val="ListParagraph"/>
        <w:numPr>
          <w:ilvl w:val="0"/>
          <w:numId w:val="2"/>
        </w:numPr>
        <w:spacing w:after="100"/>
      </w:pPr>
      <w:r>
        <w:rPr>
          <w:b/>
          <w:bCs/>
        </w:rPr>
        <w:t xml:space="preserve">Surveyed at a lighter level:</w:t>
      </w:r>
      <w:r>
        <w:t xml:space="preserve"> CDT-II, CDT-III, Life-Code, CAPTAIN, the beyond-alignment / Synergistic Information Score critique, the dependency-compression-synergy preprint, CrossLLM-Mamba, Mamba-3, the DNA-protein Perceiver paper, and DNABERT-viz.</w:t>
      </w:r>
    </w:p>
    <w:p>
      <w:pPr>
        <w:pStyle w:val="ListParagraph"/>
        <w:numPr>
          <w:ilvl w:val="0"/>
          <w:numId w:val="2"/>
        </w:numPr>
        <w:spacing w:after="100"/>
      </w:pPr>
      <w:r>
        <w:rPr>
          <w:b/>
          <w:bCs/>
        </w:rPr>
        <w:t xml:space="preserve">Toolkit implemented and run:</w:t>
      </w:r>
      <w:r>
        <w:t xml:space="preserve"> linear probing (RidgeCV, five grouped folds pinned by hash, plus ten further fold assignments), CKA (final-layer and layer-wise), mutual k-NN alignment, CCA with held-out cross-modal retrieval on a grouped split, the composition control, the high- and low-variance split, UMAP, the GC content validity probe, the sequence-length confound check, the synergy check, the pipeline-correctness control, the alignment-error association, attention extraction with ARE and m6A motif matching and two permutation nulls, RSA with a Mantel permutation test, the dataset audit, the two extended Track A probes (GC3 and Nussinov pairing fraction), and published-split comparisons with BioLangFusion and IsoFormer, all for twelve encoders across DNA, RNA, and protein on two datasets, in one notebook built on the shared mbf package.</w:t>
      </w:r>
    </w:p>
    <w:p>
      <w:pPr>
        <w:pStyle w:val="Heading1"/>
      </w:pPr>
      <w:r>
        <w:t xml:space="preserve">10. Stage 2 Decision: What Alignment Means</w:t>
      </w:r>
    </w:p>
    <w:p>
      <w:pPr>
        <w:spacing w:after="160"/>
      </w:pPr>
      <w:r>
        <w:t xml:space="preserve">Stage 2 is a decision rather than a computation, so it has no notebook and runs no new experiments. It answers one question: what alignment means for DNA, RNA, and protein, and whether the fusion models should enforce it. The answer sends the project straight into Stage 3. The decision is recorded here and in the Overleaf section "Stage 2: What Alignment Means for DNA, RNA, and Protein", and any code it calls for is built and tested in Stage 3, since the only meaningful test of an alignment choice is whether fusion improves.</w:t>
      </w:r>
    </w:p>
    <w:p>
      <w:pPr>
        <w:pStyle w:val="Heading2"/>
      </w:pPr>
      <w:r>
        <w:t xml:space="preserve">10.1 Why Define Alignment</w:t>
      </w:r>
    </w:p>
    <w:p>
      <w:pPr>
        <w:spacing w:after="160"/>
      </w:pPr>
      <w:r>
        <w:t xml:space="preserve">In multimodal learning on video and audio, alignment usually means two things: the modalities share a time axis, so frame t of the video and window t of the audio describe the same moment, and representations of the same moment are trained to coincide, as in contrastive training. For DNA, RNA, and protein it was not obvious that either applies, so Stage 1 measured alignment between frozen encoders before any fusion model was designed to impose it.</w:t>
      </w:r>
    </w:p>
    <w:p>
      <w:pPr>
        <w:pStyle w:val="Heading2"/>
      </w:pPr>
      <w:r>
        <w:t xml:space="preserve">10.2 Two Meanings of Alignment</w:t>
      </w:r>
    </w:p>
    <w:p>
      <w:pPr>
        <w:pStyle w:val="ListParagraph"/>
        <w:numPr>
          <w:ilvl w:val="0"/>
          <w:numId w:val="2"/>
        </w:numPr>
        <w:spacing w:after="100"/>
      </w:pPr>
      <w:r>
        <w:rPr>
          <w:b/>
          <w:bCs/>
        </w:rPr>
        <w:t xml:space="preserve">Positional alignment:</w:t>
      </w:r>
      <w:r>
        <w:t xml:space="preserve"> positions in one input correspond to positions in another. The biology fixes this; no model has to learn it. On the stability data every input derives from one coding sequence, so each codon corresponds to exactly one amino acid and every token stream can be resampled to one codon grid: RNA-FM's three nucleotide vectors per codon are averaged, each six-nucleotide Nucleotide Transformer token spans two codons, byte-pair tokens are split by the nucleotides they cover, and CaLM and the protein encoders already give one token per codon. On GTEx, the DNA window, the transcript, and the protein have no position-by-position correspondence.</w:t>
      </w:r>
    </w:p>
    <w:p>
      <w:pPr>
        <w:pStyle w:val="ListParagraph"/>
        <w:numPr>
          <w:ilvl w:val="0"/>
          <w:numId w:val="2"/>
        </w:numPr>
        <w:spacing w:after="100"/>
      </w:pPr>
      <w:r>
        <w:rPr>
          <w:b/>
          <w:bCs/>
        </w:rPr>
        <w:t xml:space="preserve">Representational alignment:</w:t>
      </w:r>
      <w:r>
        <w:t xml:space="preserve"> two encoders organize the same examples in the same way, so sequences that are similar in one embedding space are similar in the other, and one encoder's embedding of a sequence can be used to find the other's. Stage 1 measured it as whole-space similarity (CKA, mutual k-NN, RSA) and as shared directions (held-out CCA and retrieval).</w:t>
      </w:r>
    </w:p>
    <w:p>
      <w:pPr>
        <w:pStyle w:val="ListParagraph"/>
        <w:numPr>
          <w:ilvl w:val="0"/>
          <w:numId w:val="2"/>
        </w:numPr>
        <w:spacing w:after="100"/>
      </w:pPr>
      <w:r>
        <w:rPr>
          <w:b/>
          <w:bCs/>
        </w:rPr>
        <w:t xml:space="preserve">Predictive complementarity, kept separate:</w:t>
      </w:r>
      <w:r>
        <w:t xml:space="preserve"> two encoders together predict a target better than the better of the two alone, measured with concatenated linear probes over eleven fold assignments. It is not a form of alignment, and Stage 1 shows the two need not coincide.</w:t>
      </w:r>
    </w:p>
    <w:p>
      <w:pPr>
        <w:pStyle w:val="Heading2"/>
      </w:pPr>
      <w:r>
        <w:t xml:space="preserve">10.3 Evidence from Stage 1</w:t>
      </w:r>
    </w:p>
    <w:p>
      <w:pPr>
        <w:pStyle w:val="ListParagraph"/>
        <w:numPr>
          <w:ilvl w:val="0"/>
          <w:numId w:val="2"/>
        </w:numPr>
        <w:spacing w:after="100"/>
      </w:pPr>
      <w:r>
        <w:rPr>
          <w:b/>
          <w:bCs/>
        </w:rPr>
        <w:t xml:space="preserve">Most raw agreement is composition.</w:t>
      </w:r>
      <w:r>
        <w:t xml:space="preserve"> Removing letter, codon, and amino-acid frequencies cuts CKA by 52% to 90% for every pair with a DNA encoder, and Recall@1 for those pairs falls to at most 0.244.</w:t>
      </w:r>
    </w:p>
    <w:p>
      <w:pPr>
        <w:pStyle w:val="ListParagraph"/>
        <w:numPr>
          <w:ilvl w:val="0"/>
          <w:numId w:val="2"/>
        </w:numPr>
        <w:spacing w:after="100"/>
      </w:pPr>
      <w:r>
        <w:rPr>
          <w:b/>
          <w:bCs/>
        </w:rPr>
        <w:t xml:space="preserve">Few pairs stay aligned after the control.</w:t>
      </w:r>
      <w:r>
        <w:t xml:space="preserve"> The ESM-2 models with each other (Recall@1 0.70 to 0.87), RNA-FM with RiNALMo (0.70), and CaLM with the protein encoders (0.58 to 0.69, about 170 to 200 times the 0.0034 chance level).</w:t>
      </w:r>
    </w:p>
    <w:p>
      <w:pPr>
        <w:pStyle w:val="ListParagraph"/>
        <w:numPr>
          <w:ilvl w:val="0"/>
          <w:numId w:val="2"/>
        </w:numPr>
        <w:spacing w:after="100"/>
      </w:pPr>
      <w:r>
        <w:rPr>
          <w:b/>
          <w:bCs/>
        </w:rPr>
        <w:t xml:space="preserve">Agreement follows tokenization and training more than modality.</w:t>
      </w:r>
      <w:r>
        <w:t xml:space="preserve"> RNA-FM and RiNALMo agree at CKA 0.809; the two codon-level encoders at only 0.163.</w:t>
      </w:r>
    </w:p>
    <w:p>
      <w:pPr>
        <w:pStyle w:val="ListParagraph"/>
        <w:numPr>
          <w:ilvl w:val="0"/>
          <w:numId w:val="2"/>
        </w:numPr>
        <w:spacing w:after="100"/>
      </w:pPr>
      <w:r>
        <w:rPr>
          <w:b/>
          <w:bCs/>
        </w:rPr>
        <w:t xml:space="preserve">Alignment does not track prediction error.</w:t>
      </w:r>
      <w:r>
        <w:t xml:space="preserve"> Per-sequence alignment against prediction error gives Spearman -0.125 to +0.122 on stability and -0.134 to +0.100 on GTEx, with no pair surviving correction on either dataset.</w:t>
      </w:r>
    </w:p>
    <w:p>
      <w:pPr>
        <w:pStyle w:val="ListParagraph"/>
        <w:numPr>
          <w:ilvl w:val="0"/>
          <w:numId w:val="2"/>
        </w:numPr>
        <w:spacing w:after="100"/>
      </w:pPr>
      <w:r>
        <w:rPr>
          <w:b/>
          <w:bCs/>
        </w:rPr>
        <w:t xml:space="preserve">Complementarity appears where alignment is low.</w:t>
      </w:r>
      <w:r>
        <w:t xml:space="preserve"> mRNA-FM with each protein encoder gains under every fold assignment (+0.012 to +0.022) despite low alignment, and on GTEx every DNA encoder gains with every protein encoder although the DNA window almost never retrieves its own protein (Recall@1 at most 0.016). This is the uniqueness regime in which the alignment-theory paper finds that alignment stops predicting performance.</w:t>
      </w:r>
    </w:p>
    <w:p>
      <w:pPr>
        <w:pStyle w:val="Heading2"/>
      </w:pPr>
      <w:r>
        <w:t xml:space="preserve">10.4 Definition</w:t>
      </w:r>
    </w:p>
    <w:p>
      <w:pPr>
        <w:spacing w:after="160"/>
      </w:pPr>
      <w:r>
        <w:t xml:space="preserve">For this project, two encoders are aligned to the extent that their representations of corresponding inputs agree on held-out examples after the composition control. Agreement that letter, codon, and amino-acid frequencies reproduce is recorded but not counted as alignment, and alignment is reported separately from complementarity. Alignment is a measurement reported for each pair, not an objective the fusion models are trained toward.</w:t>
      </w:r>
    </w:p>
    <w:p>
      <w:pPr>
        <w:pStyle w:val="Heading2"/>
      </w:pPr>
      <w:r>
        <w:t xml:space="preserve">10.5 Placement in the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3600"/>
        <w:gridCol w:w="3200"/>
      </w:tblGrid>
      <w:tr>
        <w:trPr>
          <w:tblHeader/>
        </w:trPr>
        <w:tc>
          <w:tcPr>
            <w:tcW w:type="dxa" w:w="25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Pairs</w:t>
            </w:r>
          </w:p>
        </w:tc>
        <w:tc>
          <w:tcPr>
            <w:tcW w:type="dxa" w:w="3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Stage 1 reading</w:t>
            </w:r>
          </w:p>
        </w:tc>
        <w:tc>
          <w:tcPr>
            <w:tcW w:type="dxa" w:w="3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Branch (Section 3.2)</w:t>
            </w:r>
          </w:p>
        </w:tc>
      </w:tr>
      <w:tr>
        <w:trPr>
          <w:tblHeader w:val="false"/>
        </w:trPr>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Within ESM-2</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Strong agreement that survives the control</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High alignment, redundant: one ESM-2 model per experiment</w:t>
            </w:r>
          </w:p>
        </w:tc>
      </w:tr>
      <w:tr>
        <w:trPr>
          <w:tblHeader w:val="false"/>
        </w:trPr>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RNA-FM with RiNALMo</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CKA 0.809; Recall@1 0.70 after the control</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High alignment, redundant: one of the two per experiment</w:t>
            </w:r>
          </w:p>
        </w:tc>
      </w:tr>
      <w:tr>
        <w:trPr>
          <w:tblHeader w:val="false"/>
        </w:trPr>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ProtBERT with ESM-2</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Moderate agreement after the control; small, mostly consistent gains</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Moderate: ProtBERT kept as a separate candidate</w:t>
            </w:r>
          </w:p>
        </w:tc>
      </w:tr>
      <w:tr>
        <w:trPr>
          <w:tblHeader w:val="false"/>
        </w:trPr>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CaLM with protein</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Agreement survives the control; consistent gains; no alignment-error relationship</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Moderate alignment without a positive slope: no loss by default, alignment-loss ablation</w:t>
            </w:r>
          </w:p>
        </w:tc>
      </w:tr>
      <w:tr>
        <w:trPr>
          <w:tblHeader w:val="false"/>
        </w:trPr>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mRNA-FM with protein</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Low global agreement, correspondence in low-variance directions; largest consistent gains</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Low alignment, complementary: skip explicit alignment</w:t>
            </w:r>
          </w:p>
        </w:tc>
      </w:tr>
      <w:tr>
        <w:trPr>
          <w:tblHeader w:val="false"/>
        </w:trPr>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DNA, RNA-FM, or RiNALMo with protein (stability)</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Agreement mostly composition; inconsistent gains</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Low alignment beyond composition</w:t>
            </w:r>
          </w:p>
        </w:tc>
      </w:tr>
      <w:tr>
        <w:trPr>
          <w:tblHeader w:val="false"/>
        </w:trPr>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DNA with RNA or protein (GTEx)</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Near-chance correspondence; consistent gains except with RNA-FM and RiNALMo</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Low alignment, unique information: cross-attention or pooled fusion</w:t>
            </w:r>
          </w:p>
        </w:tc>
      </w:tr>
    </w:tbl>
    <w:p>
      <w:pPr>
        <w:spacing w:after="120"/>
      </w:pPr>
    </w:p>
    <w:p>
      <w:pPr>
        <w:spacing w:after="160"/>
      </w:pPr>
      <w:r>
        <w:t xml:space="preserve">Together the rows fall in the "mixed across pairs" branch, so each pairing is decided on its own terms.</w:t>
      </w:r>
    </w:p>
    <w:p>
      <w:pPr>
        <w:pStyle w:val="Heading2"/>
      </w:pPr>
      <w:r>
        <w:t xml:space="preserve">10.6 Decision</w:t>
      </w:r>
    </w:p>
    <w:p>
      <w:pPr>
        <w:pStyle w:val="ListParagraph"/>
        <w:numPr>
          <w:ilvl w:val="0"/>
          <w:numId w:val="2"/>
        </w:numPr>
        <w:spacing w:after="100"/>
      </w:pPr>
      <w:r>
        <w:rPr>
          <w:b/>
          <w:bCs/>
        </w:rPr>
        <w:t xml:space="preserve">Impose positional alignment only where the biology supplies it.</w:t>
      </w:r>
      <w:r>
        <w:t xml:space="preserve"> On the stability data, DNA, RNA, and protein token streams are resampled to one codon grid, as in BioLangFusion, which is the step grid Coupled Mamba needs. On GTEx no such grid exists, so fusion there uses cross-attention or pooled representations.</w:t>
      </w:r>
    </w:p>
    <w:p>
      <w:pPr>
        <w:pStyle w:val="ListParagraph"/>
        <w:numPr>
          <w:ilvl w:val="0"/>
          <w:numId w:val="2"/>
        </w:numPr>
        <w:spacing w:after="100"/>
      </w:pPr>
      <w:r>
        <w:rPr>
          <w:b/>
          <w:bCs/>
        </w:rPr>
        <w:t xml:space="preserve">No explicit alignment loss in the first fusion models.</w:t>
      </w:r>
      <w:r>
        <w:t xml:space="preserve"> They train on the prediction loss alone. A contrastive or CCA-style term would mainly pull the representations toward shared composition, and it could suppress information only one modality carries, such as synonymous codon choice. An alignment-loss ablation on CaLM with a protein encoder, the one cross-modal pair aligned after the control, stays a conditional Stage 3 experiment.</w:t>
      </w:r>
    </w:p>
    <w:p>
      <w:pPr>
        <w:pStyle w:val="ListParagraph"/>
        <w:numPr>
          <w:ilvl w:val="0"/>
          <w:numId w:val="2"/>
        </w:numPr>
        <w:spacing w:after="100"/>
      </w:pPr>
      <w:r>
        <w:rPr>
          <w:b/>
          <w:bCs/>
        </w:rPr>
        <w:t xml:space="preserve">One encoder per redundant family.</w:t>
      </w:r>
      <w:r>
        <w:t xml:space="preserve"> One ESM-2 model represents that family; ProtBERT, which agrees much less with it, is a separate candidate. RNA-FM and RiNALMo are likewise nearly redundant.</w:t>
      </w:r>
    </w:p>
    <w:p>
      <w:pPr>
        <w:pStyle w:val="ListParagraph"/>
        <w:numPr>
          <w:ilvl w:val="0"/>
          <w:numId w:val="2"/>
        </w:numPr>
        <w:spacing w:after="100"/>
      </w:pPr>
      <w:r>
        <w:rPr>
          <w:b/>
          <w:bCs/>
        </w:rPr>
        <w:t xml:space="preserve">First pairings to fuse.</w:t>
      </w:r>
      <w:r>
        <w:t xml:space="preserve"> A codon-level RNA encoder (mRNA-FM or CaLM) with a protein encoder (ESM-2 150M or ProtBERT) on the stability data, the pairing with the most consistent concatenation gains; and the transcript and protein with the DNA window on GTEx, compared against the length baseline as well as the best single encoder and concatenation.</w:t>
      </w:r>
    </w:p>
    <w:p>
      <w:pPr>
        <w:pStyle w:val="ListParagraph"/>
        <w:numPr>
          <w:ilvl w:val="0"/>
          <w:numId w:val="2"/>
        </w:numPr>
        <w:spacing w:after="100"/>
      </w:pPr>
      <w:r>
        <w:rPr>
          <w:b/>
          <w:bCs/>
        </w:rPr>
        <w:t xml:space="preserve">Report alignment beside every fusion result.</w:t>
      </w:r>
      <w:r>
        <w:t xml:space="preserve"> Each fused pair reports CKA and Recall@1 before and after the composition control, the Mantel test for RSA, and its concatenation gain, next to its fusion gain.</w:t>
      </w:r>
    </w:p>
    <w:p>
      <w:pPr>
        <w:pStyle w:val="Heading2"/>
      </w:pPr>
      <w:r>
        <w:t xml:space="preserve">10.7 What Stage 3 Tests</w:t>
      </w:r>
    </w:p>
    <w:p>
      <w:pPr>
        <w:spacing w:after="160"/>
      </w:pPr>
      <w:r>
        <w:t xml:space="preserve">Whether these Stage 1 measurements predict where fusion helps. If alignment and complementarity measured on frozen encoders anticipate fusion gains, they form the project's method for deciding whether and how to fuse before training anything.</w:t>
      </w:r>
    </w:p>
    <w:p>
      <w:pPr>
        <w:pStyle w:val="Heading2"/>
      </w:pPr>
      <w:r>
        <w:t xml:space="preserve">10.8 Open Items for the Review</w:t>
      </w:r>
    </w:p>
    <w:p>
      <w:pPr>
        <w:pStyle w:val="ListParagraph"/>
        <w:numPr>
          <w:ilvl w:val="0"/>
          <w:numId w:val="2"/>
        </w:numPr>
        <w:spacing w:after="100"/>
      </w:pPr>
      <w:r>
        <w:t xml:space="preserve">Whether the agreement that survives the linear composition control is shared information or nonlinear composition; a nonlinear composition model would test this.</w:t>
      </w:r>
    </w:p>
    <w:p>
      <w:pPr>
        <w:pStyle w:val="ListParagraph"/>
        <w:numPr>
          <w:ilvl w:val="0"/>
          <w:numId w:val="2"/>
        </w:numPr>
        <w:spacing w:after="100"/>
      </w:pPr>
      <w:r>
        <w:t xml:space="preserve">Whether to keep per-pair decisions, as the decision tree allows, or adopt one fusion design for all three modalities.</w:t>
      </w:r>
    </w:p>
    <w:p>
      <w:pPr>
        <w:pStyle w:val="ListParagraph"/>
        <w:numPr>
          <w:ilvl w:val="0"/>
          <w:numId w:val="2"/>
        </w:numPr>
        <w:spacing w:after="100"/>
      </w:pPr>
      <w:r>
        <w:t xml:space="preserve">Whether the GTEx length baseline, which matches every encoder combination, should become a required input or control in Stage 3 and Stage 4 comparisons on that task.</w:t>
      </w:r>
    </w:p>
    <w:p>
      <w:pPr>
        <w:pStyle w:val="Heading1"/>
      </w:pPr>
      <w:r>
        <w:t xml:space="preserve">11. Next Steps</w:t>
      </w:r>
    </w:p>
    <w:p>
      <w:pPr>
        <w:pStyle w:val="Heading3"/>
      </w:pPr>
      <w:r>
        <w:t xml:space="preserve">Setup</w:t>
      </w:r>
    </w:p>
    <w:p>
      <w:pPr>
        <w:pStyle w:val="ListParagraph"/>
        <w:numPr>
          <w:ilvl w:val="0"/>
          <w:numId w:val="2"/>
        </w:numPr>
        <w:spacing w:after="100"/>
      </w:pPr>
      <w:r>
        <w:t xml:space="preserve">Secure GPU access for Stage 3 training. Google Colab is the fastest path if lab GPU access is not yet set up.</w:t>
      </w:r>
    </w:p>
    <w:p>
      <w:pPr>
        <w:pStyle w:val="ListParagraph"/>
        <w:numPr>
          <w:ilvl w:val="0"/>
          <w:numId w:val="2"/>
        </w:numPr>
        <w:spacing w:after="100"/>
      </w:pPr>
      <w:r>
        <w:t xml:space="preserve">Confirm the mRNA_Stability.csv version against the CodonBERT repository and BioLangFusion's filtering (41,123 raw to 23,929 used), and build a deduplicated, sequence-disjoint split.</w:t>
      </w:r>
    </w:p>
    <w:p>
      <w:pPr>
        <w:pStyle w:val="Heading3"/>
      </w:pPr>
      <w:r>
        <w:t xml:space="preserve">Stage 3 (Fusion)</w:t>
      </w:r>
    </w:p>
    <w:p>
      <w:pPr>
        <w:pStyle w:val="ListParagraph"/>
        <w:numPr>
          <w:ilvl w:val="0"/>
          <w:numId w:val="2"/>
        </w:numPr>
        <w:spacing w:after="100"/>
      </w:pPr>
      <w:r>
        <w:t xml:space="preserve">Extract token-level embeddings for the selected encoders and, on the stability data, resample the DNA, RNA, and protein token streams to one codon grid.</w:t>
      </w:r>
    </w:p>
    <w:p>
      <w:pPr>
        <w:pStyle w:val="ListParagraph"/>
        <w:numPr>
          <w:ilvl w:val="0"/>
          <w:numId w:val="2"/>
        </w:numPr>
        <w:spacing w:after="100"/>
      </w:pPr>
      <w:r>
        <w:t xml:space="preserve">Run the baselines first for every pairing: the best single encoder, concatenation plus an MLP head, and the Stage 1 linear concatenation on the same folds; on GTEx, also the four length features.</w:t>
      </w:r>
    </w:p>
    <w:p>
      <w:pPr>
        <w:pStyle w:val="ListParagraph"/>
        <w:numPr>
          <w:ilvl w:val="0"/>
          <w:numId w:val="2"/>
        </w:numPr>
        <w:spacing w:after="100"/>
      </w:pPr>
      <w:r>
        <w:t xml:space="preserve">Build the Coupled Mamba fusion module first, then Isoformer-style cross-attention: frozen encoders feeding a trainable fusion layer plus a task head, training only the fusion module and head. Start with a codon-level RNA encoder and a protein encoder on stability, and the transcript and protein with the DNA window on GTEx.</w:t>
      </w:r>
    </w:p>
    <w:p>
      <w:pPr>
        <w:pStyle w:val="ListParagraph"/>
        <w:numPr>
          <w:ilvl w:val="0"/>
          <w:numId w:val="2"/>
        </w:numPr>
        <w:spacing w:after="100"/>
      </w:pPr>
      <w:r>
        <w:t xml:space="preserve">Run the conditional alignment-loss ablation on CaLM with a protein encoder: the same fusion model trained with and without a contrastive or CCA-style loss.</w:t>
      </w:r>
    </w:p>
    <w:p>
      <w:pPr>
        <w:pStyle w:val="ListParagraph"/>
        <w:numPr>
          <w:ilvl w:val="0"/>
          <w:numId w:val="2"/>
        </w:numPr>
        <w:spacing w:after="100"/>
      </w:pPr>
      <w:r>
        <w:t xml:space="preserve">Build in an Isoformer-style ablation (reinitialize one encoder's weights and confirm performance drops) to show the model genuinely uses cross-modal information rather than leaning on whichever modality is stronger.</w:t>
      </w:r>
    </w:p>
    <w:p>
      <w:pPr>
        <w:pStyle w:val="ListParagraph"/>
        <w:numPr>
          <w:ilvl w:val="0"/>
          <w:numId w:val="2"/>
        </w:numPr>
        <w:spacing w:after="100"/>
      </w:pPr>
      <w:r>
        <w:t xml:space="preserve">Scale up from the pilots to full training sets, since a trained fusion module needs more data than the pilots to find the narrow shared subspace reliably.</w:t>
      </w:r>
    </w:p>
    <w:p>
      <w:pPr>
        <w:pStyle w:val="ListParagraph"/>
        <w:numPr>
          <w:ilvl w:val="0"/>
          <w:numId w:val="2"/>
        </w:numPr>
        <w:spacing w:after="100"/>
      </w:pPr>
      <w:r>
        <w:t xml:space="preserve">Read each fusion gain against the pair's Stage 1 alignment, before and after the composition control, and its linear concatenation gain, to test whether the Stage 1 measurements predict where fusion helps.</w:t>
      </w:r>
    </w:p>
    <w:p>
      <w:pPr>
        <w:pStyle w:val="Heading3"/>
      </w:pPr>
      <w:r>
        <w:t xml:space="preserve">Stage 4 (Benchmarking)</w:t>
      </w:r>
    </w:p>
    <w:p>
      <w:pPr>
        <w:pStyle w:val="ListParagraph"/>
        <w:numPr>
          <w:ilvl w:val="0"/>
          <w:numId w:val="2"/>
        </w:numPr>
        <w:spacing w:after="100"/>
      </w:pPr>
      <w:r>
        <w:t xml:space="preserve">Compare single-modality, pairwise, and three-modality (DNA, RNA, protein) fusion against BioLangFusion's and CodonBERT's published mRNA_Stability scores on the official split and against IsoFormer on GTEx, report leakage-free results on a deduplicated split, and run the mRFP_Expression control.</w:t>
      </w:r>
    </w:p>
    <w:p>
      <w:pPr>
        <w:pStyle w:val="ListParagraph"/>
        <w:numPr>
          <w:ilvl w:val="0"/>
          <w:numId w:val="2"/>
        </w:numPr>
        <w:spacing w:after="100"/>
      </w:pPr>
      <w:r>
        <w:t xml:space="preserve">This is the actual test of the project's premise: does fusion beat the best single-modality model? Everything before this stage is groundwork for answering that question honestly.</w:t>
      </w:r>
    </w:p>
    <w:p>
      <w:pPr>
        <w:pStyle w:val="Heading1"/>
      </w:pPr>
      <w:r>
        <w:t xml:space="preserve">12. Open Questions</w:t>
      </w:r>
    </w:p>
    <w:p>
      <w:pPr>
        <w:pStyle w:val="ListParagraph"/>
        <w:numPr>
          <w:ilvl w:val="0"/>
          <w:numId w:val="2"/>
        </w:numPr>
        <w:spacing w:after="100"/>
      </w:pPr>
      <w:r>
        <w:t>Does mRNA stability become the confirmed Stage 4 benchmark, or one of several alongside IsoFormer's GTEx data? Is the repository's mRNA_Stability.csv the same version BioLangFusion used (Section 4)?</w:t>
      </w:r>
    </w:p>
    <w:p>
      <w:pPr>
        <w:pStyle w:val="ListParagraph"/>
        <w:numPr>
          <w:ilvl w:val="0"/>
          <w:numId w:val="2"/>
        </w:numPr>
        <w:spacing w:after="100"/>
      </w:pPr>
      <w:r>
        <w:t xml:space="preserve">Probe means on the 981-sequence pilot move by up to about 0.02 between fold assignments, so each probe reports pinned folds and the mean over ten further assignments. Should package versions also be pinned, beyond the six pinned model revisions, before comparing encoders across machines?</w:t>
      </w:r>
    </w:p>
    <w:p>
      <w:pPr>
        <w:pStyle w:val="ListParagraph"/>
        <w:numPr>
          <w:ilvl w:val="0"/>
          <w:numId w:val="2"/>
        </w:numPr>
        <w:spacing w:after="100"/>
      </w:pPr>
      <w:r>
        <w:t xml:space="preserve">Stage 2 decides each pairing on its own terms. Should Stage 3 and Stage 4 report results per pair as well, or converge on one fusion design for all three modalities once the first pairings are tested?</w:t>
      </w:r>
    </w:p>
    <w:p>
      <w:pPr>
        <w:pStyle w:val="ListParagraph"/>
        <w:numPr>
          <w:ilvl w:val="0"/>
          <w:numId w:val="2"/>
        </w:numPr>
        <w:spacing w:after="100"/>
      </w:pPr>
      <w:r>
        <w:t>Is the small agreement that survives the composition control shared biological information, or nonlinear composition that a linear control cannot remove?</w:t>
      </w:r>
    </w:p>
    <w:p>
      <w:pPr>
        <w:pStyle w:val="ListParagraph"/>
        <w:numPr>
          <w:ilvl w:val="0"/>
          <w:numId w:val="2"/>
        </w:numPr>
        <w:spacing w:after="100"/>
      </w:pPr>
      <w:r>
        <w:t xml:space="preserve">What do the codon-level encoders carry that the protein encoders lack, and why does CaLM's geometry resemble the protein encoders' while mRNA-FM's diverges in its last layers?</w:t>
      </w:r>
    </w:p>
    <w:p>
      <w:pPr>
        <w:pStyle w:val="ListParagraph"/>
        <w:numPr>
          <w:ilvl w:val="0"/>
          <w:numId w:val="2"/>
        </w:numPr>
        <w:spacing w:after="100"/>
      </w:pPr>
      <w:r>
        <w:t xml:space="preserve">Stage 2 imposes only positional alignment (the codon grid) and treats representational alignment as a measurement. Does that fit the lab's alignment study, or should a learned or contrastive alignment step be tested more broadly than the CaLM ablation?</w:t>
      </w:r>
    </w:p>
    <w:p>
      <w:pPr>
        <w:pStyle w:val="ListParagraph"/>
        <w:numPr>
          <w:ilvl w:val="0"/>
          <w:numId w:val="2"/>
        </w:numPr>
        <w:spacing w:after="100"/>
      </w:pPr>
      <w:r>
        <w:t xml:space="preserve">How much should interpretability matter as a project goal relative to raw predictive performance?</w:t>
      </w:r>
    </w:p>
    <w:p>
      <w:pPr>
        <w:pStyle w:val="ListParagraph"/>
        <w:numPr>
          <w:ilvl w:val="0"/>
          <w:numId w:val="2"/>
        </w:numPr>
        <w:spacing w:after="100"/>
      </w:pPr>
      <w:r>
        <w:t xml:space="preserve">What counts as a "biologically meaningful" pattern when interpreting probing, CKA, or UMAP results, and which known signals (codon usage, GC content, structural motifs) should be checked first, given that the GC and layer-wise CKA results already point toward a compositional explanation?</w:t>
      </w:r>
    </w:p>
    <w:p>
      <w:pPr>
        <w:pStyle w:val="ListParagraph"/>
        <w:numPr>
          <w:ilvl w:val="0"/>
          <w:numId w:val="2"/>
        </w:numPr>
        <w:spacing w:after="100"/>
      </w:pPr>
      <w:r>
        <w:t xml:space="preserve">How does this analysis relate to the lab's own alignment study: should it feed into that study or run as a separate check?</w:t>
      </w:r>
    </w:p>
    <w:p>
      <w:pPr>
        <w:pStyle w:val="ListParagraph"/>
        <w:numPr>
          <w:ilvl w:val="0"/>
          <w:numId w:val="2"/>
        </w:numPr>
        <w:spacing w:after="100"/>
      </w:pPr>
      <w:r>
        <w:t xml:space="preserve">Should the synergy check be a formal Stage 1 deliverable alongside CKA and mutual k-NN, or are alignment metrics alone considered sufficient?</w:t>
      </w:r>
    </w:p>
    <w:p>
      <w:pPr>
        <w:pStyle w:val="ListParagraph"/>
        <w:numPr>
          <w:ilvl w:val="0"/>
          <w:numId w:val="2"/>
        </w:numPr>
        <w:spacing w:after="100"/>
      </w:pPr>
      <w:r>
        <w:t xml:space="preserve">For Track C, is a different attention layer or head, or gradient attribution, worth testing, and does CaLM's ARE-pentamer association hold on more coding sequences with enough permutations to pass a correction?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RNA and Protein Fusion Project: Shared Project Notes</dc:title>
  <dc:creator>RNA-Protein-Multimodal-Fusion team</dc:creator>
  <cp:lastModifiedBy>Un-named</cp:lastModifiedBy>
  <cp:revision>1</cp:revision>
  <dcterms:created xsi:type="dcterms:W3CDTF">2026-09-27T03:16:18.933Z</dcterms:created>
  <dcterms:modified xsi:type="dcterms:W3CDTF">2026-09-27T03:16:18.942Z</dcterms:modified>
</cp:coreProperties>
</file>

<file path=docProps/custom.xml><?xml version="1.0" encoding="utf-8"?>
<Properties xmlns="http://schemas.openxmlformats.org/officeDocument/2006/custom-properties" xmlns:vt="http://schemas.openxmlformats.org/officeDocument/2006/docPropsVTypes"/>
</file>