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multimodal-bio-fusion</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Code/Stage1_analysis.ipynb in the project repository (multimodal-bio-fusion on GitHub).</w:t>
      </w:r>
    </w:p>
    <w:p>
      <w:pPr>
        <w:pStyle w:val="ListParagraph"/>
        <w:numPr>
          <w:ilvl w:val="0"/>
          <w:numId w:val="2"/>
        </w:numPr>
        <w:spacing w:after="100"/>
      </w:pPr>
      <w:r>
        <w:rPr>
          <w:b/>
          <w:bCs/>
        </w:rPr>
        <w:t xml:space="preserve">Manuscript:</w:t>
      </w:r>
      <w:r>
        <w:t xml:space="preserve"> the project paper is written in the Overleaf project “multimodal-bio-fusion”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 xml:space="preserve">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(Section 10), and Stage 3 (Fusion) is next (Section 11).</w:t>
      </w:r>
    </w:p>
    <w:p>
      <w:pPr>
        <w:pStyle w:val="Heading2"/>
      </w:pPr>
      <w:r>
        <w:t xml:space="preserve">Main Stage 1 Findings</w:t>
      </w:r>
    </w:p>
    <w:p>
      <w:pPr>
        <w:pStyle w:val="ListParagraph"/>
        <w:numPr>
          <w:ilvl w:val="0"/>
          <w:numId w:val="2"/>
        </w:numPr>
        <w:spacing w:after="100"/>
      </w:pPr>
      <w:r>
        <w:t xml:space="preserve">The protein encoders and the two codon-level RNA encoders carry the most linearly accessible stability signal (R² 0.114 to 0.144 and 0.127). The other nucleotide encoders reach 0.026 to 0.080, and sequence length alone predicts nothing (0.003).</w:t>
      </w:r>
    </w:p>
    <w:p>
      <w:pPr>
        <w:pStyle w:val="ListParagraph"/>
        <w:numPr>
          <w:ilvl w:val="0"/>
          <w:numId w:val="2"/>
        </w:numPr>
        <w:spacing w:after="100"/>
      </w:pPr>
      <w:r>
        <w:t xml:space="preserve">Agreement follows tokenization and training more than the modality label. RNA-FM and RiNALMo agree most of any pair (final-layer CKA 0.809), then the three ESM-2 models (0.553 to 0.744); encoders reading single letters or short tokens of the same sequence agree whether labeled DNA or RNA. mRNA-FM agrees globally with almost no encoder, not even CaLM (0.163).</w:t>
      </w:r>
    </w:p>
    <w:p>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RiNALMo, and CaLM with the protein encoders, which still finds its protein partner 58% to 69% of the time (CCA Recall@1, against 0.0034 chance).</w:t>
      </w:r>
    </w:p>
    <w:p>
      <w:pPr>
        <w:pStyle w:val="ListParagraph"/>
        <w:numPr>
          <w:ilvl w:val="0"/>
          <w:numId w:val="2"/>
        </w:numPr>
        <w:spacing w:after="100"/>
      </w:pPr>
      <w:r>
        <w:t xml:space="preserve">Linear concatenation of either codon-level encoder with any protein encoder improves on the better encoder under all ten further fold assignments, by about 0.01 to 0.02 on the stability data. Larger concatenations do not improve on their best member.</w:t>
      </w:r>
    </w:p>
    <w:p>
      <w:pPr>
        <w:pStyle w:val="ListParagraph"/>
        <w:numPr>
          <w:ilvl w:val="0"/>
          <w:numId w:val="2"/>
        </w:numPr>
        <w:spacing w:after="100"/>
      </w:pPr>
      <w:r>
        <w:t xml:space="preserve">On GTEx,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pPr>
        <w:pStyle w:val="ListParagraph"/>
        <w:numPr>
          <w:ilvl w:val="0"/>
          <w:numId w:val="2"/>
        </w:numPr>
        <w:spacing w:after="100"/>
      </w:pPr>
      <w:r>
        <w:t xml:space="preserve">Position never explains the attention associations at stability motifs, and codon context explains most of them. CaLM's attention to AU-rich pentamers survives both permutation nulls, a lead rather than a finding. Per-sequence alignment does not predict error for any pair on either dataset.</w:t>
      </w:r>
    </w:p>
    <w:p>
      <w:pPr>
        <w:pStyle w:val="Heading2"/>
      </w:pPr>
      <w:r>
        <w:t xml:space="preserve">Stage 2 Decision</w:t>
      </w:r>
    </w:p>
    <w:p>
      <w:pPr>
        <w:spacing w:after="160"/>
      </w:pPr>
      <w:r>
        <w:t xml:space="preserve">Two encoders count as aligned to the extent that their representations of the same inputs agree on held-out examples after the composition control; agreement that counts alone reproduce is recorded but not counted. On that definition the pairs fall in the "mixed across pairs" branch of the decision tree (Section 3.2), so each pairing is decided on its own terms. The first fusion models get no explicit alignment loss, since per-sequence alignment never tracks error and most cross-modal agreement is composition. Positional correspondence is used only where the biology supplies it (the shared codon grid on the stability data). The first pairings to fuse are a codon-level RNA encoder with a protein encoder on the stability data, and the transcript and protein with the DNA window on GTEx. Section 10 gives the evidence and the full decision.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two pilot datasets.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(decided)</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each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all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HyenaDNA for DNA; RNA-FM, RiNALMo, mRNA-FM, and CaLM for RNA; and ESM-2 8M, 35M, and 150M and ProtBERT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Code/build_gtex_pilot.py) lets the Stage 1 measurements be compared between derived modalities (stability) and genuinely distinct ones (GTEx), Section 9.6.</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of the 66 encoder pairs on both datasets: Spearman correlations from -0.134 to +0.122,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all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 xml:space="preserve">All results come from the saved outputs of Code/Stage1_analysis.ipynb (run on an Apple GPU through PyTorch's MPS backend, Python 3.12) on 1,000 sequences sampled from mRNA_Stability and on a 2,000-transcript pilot of IsoFormer's GTEx data (Section 9.6). The notebook gives a results table and interpretation after each output, and the Overleaf project lists every metric for every encoder pair.</w:t>
      </w:r>
    </w:p>
    <w:p>
      <w:pPr>
        <w:pStyle w:val="Heading2"/>
      </w:pPr>
      <w:r>
        <w:t xml:space="preserve">9.1 Pipeline and Correctness Control</w:t>
      </w:r>
    </w:p>
    <w:p>
      <w:pPr>
        <w:pStyle w:val="ListParagraph"/>
        <w:numPr>
          <w:ilvl w:val="0"/>
          <w:numId w:val="2"/>
        </w:numPr>
        <w:spacing w:after="100"/>
      </w:pPr>
      <w:r>
        <w:rPr>
          <w:b/>
          <w:bCs/>
        </w:rPr>
        <w:t xml:space="preserve">Pipeline:</w:t>
      </w:r>
      <w:r>
        <w:t xml:space="preserve"> the notebook loads mRNA_Stability,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RiNALMo truncate: 610 of the 981 sequences exceed their 1,022 nucleotides, so they read only the beginning. The codon-level encoders read one token per codon and fit every retained sequence, and HyenaDNA reads up to a million nucleotides. HyenaDNA has no attention layers and is causal: each position's state depends only on the letters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2660"/>
        <w:gridCol w:w="2100"/>
        <w:gridCol w:w="900"/>
      </w:tblGrid>
      <w:tr>
        <w:trPr>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Modality</w:t>
            </w:r>
          </w:p>
        </w:tc>
        <w:tc>
          <w:tcPr>
            <w:tcW w:type="dxa" w:w="26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Pretraining data</w:t>
            </w:r>
          </w:p>
        </w:tc>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Tokens</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Width</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500M human-ref</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 reference genome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6-mers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1,280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v2 100M multi-species</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Genomes of many species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6-mers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512</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DNABERT-2</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Genomes of many species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Byte-pair tokens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768</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HyenaDNA large</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 reference genome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Single nucleotides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256</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Non-coding RNA (RNAcentral)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Single nucleotides, first 1,022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640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RiNALMo 150M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Non-coding RNA</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Single nucleotides, first 1,022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640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Messenger RNA coding sequences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Codons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1,280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Coding sequences (European Nucleotide Archive)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Codons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768</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8M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UniRef50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320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35M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UniRef50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480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ESM-2 150M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UniRef50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640</w:t>
            </w:r>
          </w:p>
        </w:tc>
      </w:tr>
      <w:tr>
        <w:trPr>
          <w:tblHeader w:val="false"/>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ProtBERT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UniRef100 proteins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Amino acids</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1,024</w:t>
            </w:r>
          </w:p>
        </w:tc>
      </w:tr>
    </w:tbl>
    <w:p>
      <w:pPr>
        <w:spacing w:after="120"/>
      </w:pPr>
    </w:p>
    <w:p>
      <w:pPr>
        <w:pStyle w:val="ListParagraph"/>
        <w:numPr>
          <w:ilvl w:val="0"/>
          <w:numId w:val="2"/>
        </w:numPr>
        <w:spacing w:after="100"/>
      </w:pPr>
      <w:r>
        <w:rPr>
          <w:b/>
          <w:bCs/>
        </w:rPr>
        <w:t xml:space="preserve">Correctness control (mRFP_Expression):</w:t>
      </w:r>
      <w:r>
        <w:t xml:space="preserve"> all 1,000 synonymous-recoding variants translate to one identical protein, as expected. The four protein encoders' embeddings collapse almost to a single point (average distance to centroid 0.00002 to 0.00006), while every nucleotide encoder's embeddings,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pPr>
        <w:pStyle w:val="Heading2"/>
      </w:pPr>
      <w:r>
        <w:t xml:space="preserve">9.2 Track A: Task-Relevant Decodability</w:t>
      </w:r>
    </w:p>
    <w:p>
      <w:pPr>
        <w:pStyle w:val="ListParagraph"/>
        <w:numPr>
          <w:ilvl w:val="0"/>
          <w:numId w:val="2"/>
        </w:numPr>
        <w:spacing w:after="100"/>
      </w:pPr>
      <w:r>
        <w:rPr>
          <w:b/>
          <w:bCs/>
        </w:rPr>
        <w:t xml:space="preserve">Evaluation setup:</w:t>
      </w:r>
      <w:r>
        <w:t xml:space="preserve"> every probe uses ridge regression (RidgeCV),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00"/>
        <w:gridCol w:w="1900"/>
        <w:gridCol w:w="1200"/>
        <w:gridCol w:w="1200"/>
      </w:tblGrid>
      <w:tr>
        <w:trPr>
          <w:tblHeader/>
        </w:trPr>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w:t>
            </w:r>
          </w:p>
        </w:tc>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Stability R² (fold SD)</w:t>
            </w:r>
          </w:p>
        </w:tc>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Stability R², 10 assignments</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GC R²</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GC3 R²</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500M human-ref</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0.032 (0.043)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0.968</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v2 100M multi-species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0.080 (0.032)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0.074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0.991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DNABERT-2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0.054 (0.031)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0.990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0.948</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HyenaDNA large</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0.026 (0.017)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0.896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0.052 (0.032)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0.951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0.917</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RiNALMo 150M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0.078 (0.021)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0.079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0.954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0.949</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0.127 (0.032)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0.110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0.951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0.946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0.127 (0.058)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0.132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0.982</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8M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0.127 (0.044)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0.131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0.679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0.379</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35M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0.114 (0.049)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0.686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0.387</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ESM-2 150M</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0.144 (0.035)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0.142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0.708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0.436</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ProtBERT</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0.143 (0.041)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0.135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0.700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0.440</w:t>
            </w:r>
          </w:p>
        </w:tc>
      </w:tr>
      <w:tr>
        <w:trPr>
          <w:tblHeader w:val="false"/>
        </w:trPr>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Sequence length only</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0.003 (0.009)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
            </w:r>
          </w:p>
        </w:tc>
      </w:tr>
    </w:tbl>
    <w:p>
      <w:pPr>
        <w:spacing w:after="120"/>
      </w:pPr>
    </w:p>
    <w:p>
      <w:pPr>
        <w:pStyle w:val="ListParagraph"/>
        <w:numPr>
          <w:ilvl w:val="0"/>
          <w:numId w:val="2"/>
        </w:numPr>
        <w:spacing w:after="100"/>
      </w:pPr>
      <w:r>
        <w:rPr>
          <w:b/>
          <w:bCs/>
        </w:rPr>
        <w:t xml:space="preserve">mRNA stability probe:</w:t>
      </w:r>
      <w:r>
        <w:t xml:space="preserve"> the protein encoders carry the most linearly accessible stability signal (R² 0.114 to 0.144 on the pinned folds), with ESM-2 150M and ProtBERT highest. Both codon-level RNA encoders reach the same range (0.127 each), so the codon-level result does not depend on one model: mRNA-FM and CaLM come from different groups and corpora. The encoders that read single nucleotides, six-nucleotide tokens, or byte-pair tokens reach 0.026 to 0.080, with HyenaDNA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w:t>
      </w:r>
    </w:p>
    <w:p>
      <w:pPr>
        <w:pStyle w:val="ListParagraph"/>
        <w:numPr>
          <w:ilvl w:val="0"/>
          <w:numId w:val="2"/>
        </w:numPr>
        <w:spacing w:after="100"/>
      </w:pPr>
      <w:r>
        <w:rPr>
          <w:b/>
          <w:bCs/>
        </w:rPr>
        <w:t xml:space="preserve">Sequence-length baseline:</w:t>
      </w:r>
      <w:r>
        <w:t xml:space="preserve"> R² 0.003 ± 0.009 on the pinned folds and 0.004 over the further assignments, indistinguishable from zero. The probe scores above are not a proxy for sequence length.</w:t>
      </w:r>
    </w:p>
    <w:p>
      <w:pPr>
        <w:pStyle w:val="ListParagraph"/>
        <w:numPr>
          <w:ilvl w:val="0"/>
          <w:numId w:val="2"/>
        </w:numPr>
        <w:spacing w:after="100"/>
      </w:pPr>
      <w:r>
        <w:rPr>
          <w:b/>
          <w:bCs/>
        </w:rPr>
        <w:t xml:space="preserve">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 xml:space="preserve">Codon usage bias probe (GC3):</w:t>
      </w:r>
      <w:r>
        <w:t xml:space="preserve"> the nucleotide encoders recover GC3 (the GC fraction at each codon's third position, the classical proxy for codon usage bias) at R² 0.896 to 0.986. Most lose at most 0.042 from GC to GC3; HyenaDNA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pPr>
        <w:pStyle w:val="ListParagraph"/>
        <w:numPr>
          <w:ilvl w:val="0"/>
          <w:numId w:val="2"/>
        </w:numPr>
        <w:spacing w:after="100"/>
      </w:pPr>
      <w:r>
        <w:rPr>
          <w:b/>
          <w:bCs/>
        </w:rPr>
        <w:t xml:space="preserve">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HyenaDNA reaches R² 0.316 on the pinned folds and 0.237 over the further assignments, and every other encoder 0.048 to 0.134 over the further assignments. HyenaDNA's causal design makes the start of a sequence, the cropped region, influence every state it averages, a consistent explanation but not a tested one. Among the others, the pinned fold standard deviations are as large as the differences between encoders, and the protein encoders score about as well as most DNA encoders without seeing nucleotides, so composition likely carries much of this proxy.</w:t>
      </w:r>
    </w:p>
    <w:p>
      <w:pPr>
        <w:pStyle w:val="ListParagraph"/>
        <w:numPr>
          <w:ilvl w:val="0"/>
          <w:numId w:val="2"/>
        </w:numPr>
        <w:spacing w:after="100"/>
      </w:pPr>
      <w:r>
        <w:rPr>
          <w:b/>
          <w:bCs/>
        </w:rPr>
        <w:t xml:space="preserve">Synergy check (naive concatenation):</w:t>
      </w:r>
      <w:r>
        <w:t xml:space="preserve"> on the pinned folds the best pairs, mRNA-FM with ESM-2 150M or with ProtBERT,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60"/>
        <w:gridCol w:w="2000"/>
        <w:gridCol w:w="2600"/>
      </w:tblGrid>
      <w:tr>
        <w:trPr>
          <w:tblHeader/>
        </w:trPr>
        <w:tc>
          <w:tcPr>
            <w:tcW w:type="dxa" w:w="47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Pair (gains under all ten assignments)</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Mean gain</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Range over 10 assignments</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 ESM-2 35M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+0.014 to +0.031</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 ESM-2 150M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+0.007 to +0.025</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 ProtBERT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+0.003 to +0.025</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 ESM-2 8M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+0.004 to +0.023</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 ESM-2 35M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+0.006 to +0.019</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 CaLM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 to +0.023</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 ProtBERT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+0.004 to +0.017</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v2 + RiNALMo</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+0.006 to +0.012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 ESM-2 8M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 to +0.012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 ESM-2 150M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 to +0.013</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500M + DNABERT-2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 to +0.022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HyenaDNA + RNA-FM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+0.003 to +0.012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35M + ProtBERT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 to +0.012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500M + HyenaDNA</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+0.002 to +0.012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8M + ProtBERT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 to +0.012</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HyenaDNA + RiNALMo</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 to +0.007</w:t>
            </w:r>
          </w:p>
        </w:tc>
      </w:tr>
      <w:tr>
        <w:trPr>
          <w:tblHeader w:val="false"/>
        </w:trPr>
        <w:tc>
          <w:tcPr>
            <w:tcW w:type="dxa" w:w="4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Other 50 pairs (0 to 9 of 10 assignments with a gain)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-0.015 to +0.009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
            </w:r>
          </w:p>
        </w:tc>
      </w:tr>
    </w:tbl>
    <w:p>
      <w:pPr>
        <w:spacing w:after="120"/>
      </w:pPr>
    </w:p>
    <w:p>
      <w:pPr>
        <w:pStyle w:val="Heading2"/>
      </w:pPr>
      <w:r>
        <w:t xml:space="preserve">9.3 Track B: Cross-Modal Comparability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400"/>
        <w:gridCol w:w="1700"/>
        <w:gridCol w:w="1700"/>
      </w:tblGrid>
      <w:tr>
        <w:trPr>
          <w:tblHeader/>
        </w:trPr>
        <w:tc>
          <w:tcPr>
            <w:tcW w:type="dxa" w:w="2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 pairs</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Linear CKA</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Mutual k-NN</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First canonical correlation</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Recall@1</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ESM-2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0.553 to 0.744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0.30 to 0.44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0.984 to 0.990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0.942 to 0.955</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ProtBERT with ESM-2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0.199 to 0.312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0.14 to 0.15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0.969 to 0.981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0.818 to 0.873</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DNA</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0.270 to 0.736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0.15 to 0.21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0.989 to 0.994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0.591 to 0.773</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with RiNALMo</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0.809</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0.995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0.931</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with 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0.619</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RNA-FM or RiNALMo</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0.171 to 0.613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0.10 to 0.16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0.971 to 0.983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0.491 to 0.677</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mRNA-FM or 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0.030 to 0.517</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0.07 to 0.13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0.979 to 0.985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0.271 to 0.632</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0.058 to 0.163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 to 0.08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0.935 to 0.959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0.168 to 0.540</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or RiNALMo with mRNA-FM or 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0.126 to 0.681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0.08 to 0.18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0.962 to 0.967</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0.306 to 0.591</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or RiNALMo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0.116 to 0.339</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0.06 to 0.13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0.902 to 0.944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0.196 to 0.509</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0.037 to 0.295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0.09 to 0.11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0.922 to 0.940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0.405 to 0.464</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0.309 to 0.448</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 to 0.25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0.967 to 0.976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0.794 to 0.866</w:t>
            </w:r>
          </w:p>
        </w:tc>
      </w:tr>
    </w:tbl>
    <w:p>
      <w:pPr>
        <w:spacing w:after="120"/>
      </w:pPr>
    </w:p>
    <w:p>
      <w:pPr>
        <w:pStyle w:val="ListParagraph"/>
        <w:numPr>
          <w:ilvl w:val="0"/>
          <w:numId w:val="2"/>
        </w:numPr>
        <w:spacing w:after="100"/>
      </w:pPr>
      <w:r>
        <w:rPr>
          <w:b/>
          <w:bCs/>
        </w:rPr>
        <w:t xml:space="preserve">Final-layer linear CKA:</w:t>
      </w:r>
      <w:r>
        <w:t xml:space="preserve"> agreement follows tokenization and training more than the modality label. RNA-FM and RiNALMo agree most of any pair (0.809), then the three ESM-2 models (0.553 to 0.744) and Nucleotide Transformer v2 with HyenaDNA (0.736). Nucleotide Transformer 500M, DNABERT-2, and HyenaDNA agree with RNA-FM and RiNALMo at 0.398 to 0.613 whether labeled DNA or RNA, while the two Nucleotide Transformer models agree only moderately (0.398) despite sharing a tokenizer. The two codon-level encoders differ sharply: CaLM agrees with RNA-FM and RiNALMo (0.632 and 0.681) and with every protein encoder (0.309 to 0.448), while mRNA-FM agrees with every encoder except ProtBERT at most 0.182, and with CaLM at 0.163. ProtBERT agrees with the ESM-2 models (0.199 to 0.312) much less than they agree with each other.</w:t>
      </w:r>
    </w:p>
    <w:p>
      <w:pPr>
        <w:pStyle w:val="ListParagraph"/>
        <w:numPr>
          <w:ilvl w:val="0"/>
          <w:numId w:val="2"/>
        </w:numPr>
        <w:spacing w:after="100"/>
      </w:pPr>
      <w:r>
        <w:rPr>
          <w:b/>
          <w:bCs/>
        </w:rPr>
        <w:t xml:space="preserve">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CaLM agrees with the ESM-2 models at up to 0.847 to 0.874 at CaLM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ProtBERT's embedding layer agrees strongly (0.875 to 0.944) with every nucleotide encoder that reads the full sequence, but at most 0.481 with RNA-FM and RiNALMo; ProtBERT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pPr>
        <w:pStyle w:val="ListParagraph"/>
        <w:numPr>
          <w:ilvl w:val="0"/>
          <w:numId w:val="2"/>
        </w:numPr>
        <w:spacing w:after="100"/>
      </w:pPr>
      <w:r>
        <w:rPr>
          <w:b/>
          <w:bCs/>
        </w:rPr>
        <w:t xml:space="preserve">Mutual k-nearest-neighbor alignment (k = 10):</w:t>
      </w:r>
      <w:r>
        <w:t xml:space="preserve"> every pair shares more neighbors than the chance level of about 0.010, from about 5 to 43 times. The ordering largely follows CKA, with two differences: CaLM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pPr>
        <w:pStyle w:val="ListParagraph"/>
        <w:numPr>
          <w:ilvl w:val="0"/>
          <w:numId w:val="2"/>
        </w:numPr>
        <w:spacing w:after="100"/>
      </w:pPr>
      <w:r>
        <w:rPr>
          <w:b/>
          <w:bCs/>
        </w:rPr>
        <w:t xml:space="preserve">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RiNALMo 93%, against a chance level of 0.34%. CaLM finds a sequence's protein partner 79% to 87% of the time, as often as ProtBERT finds an ESM-2 model's; mRNA-FM does so 41% to 46% of the time and Nucleotide Transformer v2 48% to 54%, despite their low CKA with the protein encoders. RNA-FM finds it least often of the single-nucleotide encoders (20% to 22%), against 43% to 51% for RiNALMo, which reads the same truncated window.</w:t>
      </w:r>
    </w:p>
    <w:p>
      <w:pPr>
        <w:pStyle w:val="ListParagraph"/>
        <w:numPr>
          <w:ilvl w:val="0"/>
          <w:numId w:val="2"/>
        </w:numPr>
        <w:spacing w:after="100"/>
      </w:pPr>
      <w:r>
        <w:rPr>
          <w:b/>
          <w:bCs/>
        </w:rPr>
        <w:t xml:space="preserve">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pPr>
        <w:pStyle w:val="ListParagraph"/>
        <w:numPr>
          <w:ilvl w:val="0"/>
          <w:numId w:val="2"/>
        </w:numPr>
        <w:spacing w:after="100"/>
      </w:pPr>
      <w:r>
        <w:rPr>
          <w:b/>
          <w:bCs/>
        </w:rPr>
        <w:t xml:space="preserve">Composition control:</w:t>
      </w:r>
      <w:r>
        <w:t xml:space="preserve"> composition explains, in sample, 61% to 92% of the variance in the DNA embeddings, 65% to 68% in RNA-FM's and RiNALMo's, 42% to 48% in the protein embeddings, 47% in CaLM's,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ProtBERT with them (0.48 to 0.62), RNA-FM with RiNALMo (0.70), and CaLM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 pairs</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CKA before</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CKA after</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Recall@1 before</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Recall@1 after</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ESM-2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0.553 to 0.744</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0.376 to 0.643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0.942 to 0.955</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0.701 to 0.869</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ProtBERT with ESM-2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0.199 to 0.312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0.093 to 0.162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0.818 to 0.873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0.481 to 0.622</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DNA</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0.270 to 0.736</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0.038 to 0.113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0.591 to 0.773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0.103 to 0.162</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with RiNALMo</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0.809</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0.378</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0.931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0.704</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with 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0.084</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0.619</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0.124</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RNA-FM or RiNALMo</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0.171 to 0.613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0.044 to 0.164</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0.491 to 0.677</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0.052 to 0.244</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mRNA-FM or 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0.030 to 0.517</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0.012 to 0.075</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0.271 to 0.632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0.027 to 0.086</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0.058 to 0.163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0.010 to 0.072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0.168 to 0.540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0.021 to 0.082</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or RiNALMo with mRNA-FM or 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0.126 to 0.681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0.055 to 0.183</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0.306 to 0.591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0.041 to 0.210</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or RiNALMo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0.116 to 0.339</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0.035 to 0.161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0.196 to 0.509</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0.021 to 0.223</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0.037 to 0.295</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0.021 to 0.261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0.405 to 0.464</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0.069 to 0.113</w:t>
            </w:r>
          </w:p>
        </w:tc>
      </w:tr>
      <w:tr>
        <w:trPr>
          <w:tblHeader w:val="false"/>
        </w:trPr>
        <w:tc>
          <w:tcPr>
            <w:tcW w:type="dxa" w:w="2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with protein</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0.309 to 0.448</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0.246 to 0.401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0.794 to 0.866</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0.581 to 0.687</w:t>
            </w:r>
          </w:p>
        </w:tc>
      </w:tr>
    </w:tbl>
    <w:p>
      <w:pPr>
        <w:spacing w:after="120"/>
      </w:pPr>
    </w:p>
    <w:p>
      <w:pPr>
        <w:pStyle w:val="ListParagraph"/>
        <w:numPr>
          <w:ilvl w:val="0"/>
          <w:numId w:val="2"/>
        </w:numPr>
        <w:spacing w:after="100"/>
      </w:pPr>
      <w:r>
        <w:rPr>
          <w:b/>
          <w:bCs/>
        </w:rPr>
        <w:t xml:space="preserve">High- and low-variance directions:</w:t>
      </w:r>
      <w:r>
        <w:t xml:space="preserve"> each embedding was split into its top ten principal components and the rest. The top ten hold 55% (CaLM) to 96% (HyenaDNA)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CaLM with the protein encoders (0.39 to 0.41), and mRNA-FM is the case where they agree more than the top block (0.29 with every protein encoder), so its correspondence with protein sits in low-variance directions, which fits its low CKA but substantial retrieval.</w:t>
      </w:r>
    </w:p>
    <w:p>
      <w:pPr>
        <w:pStyle w:val="ListParagraph"/>
        <w:numPr>
          <w:ilvl w:val="0"/>
          <w:numId w:val="2"/>
        </w:numPr>
        <w:spacing w:after="100"/>
      </w:pPr>
      <w:r>
        <w:rPr>
          <w:b/>
          <w:bCs/>
        </w:rPr>
        <w:t xml:space="preserve">UMAP:</w:t>
      </w:r>
      <w:r>
        <w:t xml:space="preserve"> most layouts show one broad cloud plus one or two small, tightly packed groups separated from it. DNABERT-2 separates a larger group, HyenaDNA and CaLM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HyenaDNA has no attention layers, so the test covers the other six nucleotide encoders.</w:t>
      </w:r>
    </w:p>
    <w:p>
      <w:pPr>
        <w:pStyle w:val="ListParagraph"/>
        <w:numPr>
          <w:ilvl w:val="0"/>
          <w:numId w:val="2"/>
        </w:numPr>
        <w:spacing w:after="100"/>
      </w:pPr>
      <w:r>
        <w:rPr>
          <w:b/>
          <w:bCs/>
        </w:rPr>
        <w:t xml:space="preserve">Attention-motif overlap test (results):</w:t>
      </w:r>
      <w:r>
        <w:t xml:space="preserve"> across the first 100 sequences, the fraction with nominally higher attention at motif positions is 7% for Nucleotide Transformer 500M and 9% for RNA-FM, near the 5% chance baseline, with slightly negative mean gaps. Nucleotide Transformer v2, RiNALMo, and CaLM give ARE pentamers more attention in a quarter to a third of the sequences that contain one, with positive mean gaps (0.011 to 0.040). mRNA-FM passes in 93 of 100 sequences, almost entirely through DRACH matches, but its mean gap is only +0.0015 on a zero-to-one scale. The ARE nonamer appears in none of the 100 sequences.</w:t>
      </w:r>
    </w:p>
    <w:p>
      <w:pPr>
        <w:pStyle w:val="ListParagraph"/>
        <w:numPr>
          <w:ilvl w:val="0"/>
          <w:numId w:val="2"/>
        </w:numPr>
        <w:spacing w:after="100"/>
      </w:pPr>
      <w:r>
        <w:rPr>
          <w:b/>
          <w:bCs/>
        </w:rPr>
        <w:t xml:space="preserve">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RiNALMo's ARE gap disappears, so both attend to the codons these motifs occupy rather than to the motifs, and Nucleotide Transformer v2 keeps about half of its gap without reaching 0.05. CaLM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600"/>
        <w:gridCol w:w="1400"/>
        <w:gridCol w:w="2000"/>
        <w:gridCol w:w="2000"/>
      </w:tblGrid>
      <w:tr>
        <w:trPr>
          <w:tblHeader/>
        </w:trPr>
        <w:tc>
          <w:tcPr>
            <w:tcW w:type="dxa" w:w="2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Motif</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Observed gap</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Position null: excess (p)</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Codon-and-frame null: excess (p)</w:t>
            </w:r>
          </w:p>
        </w:tc>
      </w:tr>
      <w:tr>
        <w:trPr>
          <w:tblHeader w:val="false"/>
        </w:trPr>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v2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ARE pentamer</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+0.0110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+0.0149 (0.014)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+0.0061 (0.200)</w:t>
            </w:r>
          </w:p>
        </w:tc>
      </w:tr>
      <w:tr>
        <w:trPr>
          <w:tblHeader w:val="false"/>
        </w:trPr>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RiNALMo 150M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ARE pentamer</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+0.0400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+0.0424 (0.002)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-0.0008 (0.585)</w:t>
            </w:r>
          </w:p>
        </w:tc>
      </w:tr>
      <w:tr>
        <w:trPr>
          <w:tblHeader w:val="false"/>
        </w:trPr>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pooled</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+0.0014 (0.002)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+0.0001 (0.072)</w:t>
            </w:r>
          </w:p>
        </w:tc>
      </w:tr>
      <w:tr>
        <w:trPr>
          <w:tblHeader w:val="false"/>
        </w:trPr>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DRACH</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+0.0014 (0.002)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+0.0001 (0.082)</w:t>
            </w:r>
          </w:p>
        </w:tc>
      </w:tr>
      <w:tr>
        <w:trPr>
          <w:tblHeader w:val="false"/>
        </w:trPr>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ARE pentamer</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+0.0298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+0.0302 (0.002)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+0.0140 (0.002)</w:t>
            </w:r>
          </w:p>
        </w:tc>
      </w:tr>
    </w:tbl>
    <w:p>
      <w:pPr>
        <w:spacing w:after="120"/>
      </w:pPr>
    </w:p>
    <w:p>
      <w:pPr>
        <w:pStyle w:val="ListParagraph"/>
        <w:numPr>
          <w:ilvl w:val="0"/>
          <w:numId w:val="2"/>
        </w:numPr>
        <w:spacing w:after="100"/>
      </w:pPr>
      <w:r>
        <w:rPr>
          <w:b/>
          <w:bCs/>
        </w:rPr>
        <w:t xml:space="preserve">Important limit on Track C:</w:t>
      </w:r>
      <w:r>
        <w:t xml:space="preserve"> the mRNA_Stability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GTEx 3' UTRs.</w:t>
      </w:r>
    </w:p>
    <w:p>
      <w:pPr>
        <w:pStyle w:val="ListParagraph"/>
        <w:numPr>
          <w:ilvl w:val="0"/>
          <w:numId w:val="2"/>
        </w:numPr>
        <w:spacing w:after="100"/>
      </w:pPr>
      <w:r>
        <w:rPr>
          <w:b/>
          <w:bCs/>
        </w:rPr>
        <w:t xml:space="preserve">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RiNALMo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 xml:space="preserve">Representational Similarity Analysis (RSA):</w:t>
      </w:r>
      <w:r>
        <w:t xml:space="preserve"> the Spearman correlation between two encoders' pairwise-distance structures ranks the pairs much as CKA does: 0.616 to 0.818 within ESM-2, 0.758 for RNA-FM with RiNALMo, 0.269 to 0.698 within DNA, 0.351 to 0.469 for CaLM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pPr>
        <w:pStyle w:val="Heading2"/>
      </w:pPr>
      <w:r>
        <w:t xml:space="preserve">9.5 Published-Split Comparison with BioLangFusion</w:t>
      </w:r>
    </w:p>
    <w:p>
      <w:pPr>
        <w:pStyle w:val="ListParagraph"/>
        <w:numPr>
          <w:ilvl w:val="0"/>
          <w:numId w:val="2"/>
        </w:numPr>
        <w:spacing w:after="100"/>
      </w:pPr>
      <w:r>
        <w:rPr>
          <w:b/>
          <w:bCs/>
        </w:rPr>
        <w:t xml:space="preserve">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2100"/>
        <w:gridCol w:w="2100"/>
      </w:tblGrid>
      <w:tr>
        <w:trPr>
          <w:tblHeader/>
        </w:trPr>
        <w:tc>
          <w:tcPr>
            <w:tcW w:type="dxa" w:w="5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Encoders</w:t>
            </w:r>
          </w:p>
        </w:tc>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Spearman, all test rows</w:t>
            </w:r>
          </w:p>
        </w:tc>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Spearman, unseen sequences</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Best single encoder (ProtBERT)</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0.396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0.433</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0.391</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ESM-2 150M</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0.371</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0.373</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 ProtBERT</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0.392</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0.417</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BioLangFusion's three encoders concatenated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0.364</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0.351</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twelve encoders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0.401</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0.402</w:t>
            </w:r>
          </w:p>
        </w:tc>
      </w:tr>
      <w:tr>
        <w:trPr>
          <w:tblHeader w:val="false"/>
        </w:trPr>
        <w:tc>
          <w:tcPr>
            <w:tcW w:type="dxa" w:w="5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BioLangFusion, published (concatenation; best fusion)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0.539; 0.563</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
            </w:r>
          </w:p>
        </w:tc>
      </w:tr>
    </w:tbl>
    <w:p>
      <w:pPr>
        <w:spacing w:after="120"/>
      </w:pPr>
    </w:p>
    <w:p>
      <w:pPr>
        <w:pStyle w:val="ListParagraph"/>
        <w:numPr>
          <w:ilvl w:val="0"/>
          <w:numId w:val="2"/>
        </w:numPr>
        <w:spacing w:after="100"/>
      </w:pPr>
      <w:r>
        <w:rPr>
          <w:b/>
          <w:bCs/>
        </w:rPr>
        <w:t xml:space="preserve">Reading:</w:t>
      </w:r>
      <w:r>
        <w:t xml:space="preserve"> the frozen encoders keep their cross-validated order: ProtBERT, CaLM, and ESM-2 150M lead, and the encoders that read single nucleotides, six-nucleotide tokens, or byte-pair tokens trail (0.275 to 0.322). BioLangFusion's three encoders concatenated reach 0.364, above each alone but well below its published concatenation (0.539) and best fusion (0.563). The comparison is not like for like: BioLangFusion trains a TextCNN head on token-level embeddings with 23,929 filtered sequences, while this probe is linear on mean-pooled embeddings with 2,937 rows of a different version of the file.</w:t>
      </w:r>
    </w:p>
    <w:p>
      <w:pPr>
        <w:pStyle w:val="Heading2"/>
      </w:pPr>
      <w:r>
        <w:t xml:space="preserve">9.6 Distinct Inputs: GTEx Transcript Expression</w:t>
      </w:r>
    </w:p>
    <w:p>
      <w:pPr>
        <w:pStyle w:val="ListParagraph"/>
        <w:numPr>
          <w:ilvl w:val="0"/>
          <w:numId w:val="2"/>
        </w:numPr>
        <w:spacing w:after="100"/>
      </w:pPr>
      <w:r>
        <w:rPr>
          <w:b/>
          <w:bCs/>
        </w:rPr>
        <w:t xml:space="preserve">Pilot:</w:t>
      </w:r>
      <w:r>
        <w:t xml:space="preserve"> Code/build_gtex_pilot.py samples 1,000 protein-coding transcripts from each of IsoFormer's published train and test splits and adds 6,000 nucleotides of GRCh38 DNA centered on each transcription start site. After the Stage 1 filters, 999 train transcripts (951 genes) and 996 test transcripts (558 genes) remain, with no gene in both. DNA encoders read the window, RNA-FM and RiNALMo the transcript, mRNA-FM and CaLM the coding sequence, and the protein encoders the protein. Probes predict all 30 tissues at once and report R² averaged over tissues, with folds grouped by gene.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200"/>
        <w:gridCol w:w="2200"/>
        <w:gridCol w:w="1800"/>
      </w:tblGrid>
      <w:tr>
        <w:trPr>
          <w:tblHeader/>
        </w:trPr>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 or features</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Modality</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Expression R² (fold SD)</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R², 10 assignments</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500M human-ref</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0.034 (0.025)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0.039</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Nucleotide Transformer v2 100M multi-species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0.036 (0.030)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0.041</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DNABERT-2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0.033 (0.028)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0.047</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HyenaDNA large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0.031 (0.028)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0.038</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0.149 (0.037)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0.161</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RiNALMo 150M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0.149 (0.047)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0.150</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0.172 (0.044)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0.176</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0.120 (0.032)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0.119</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8M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0.091 (0.022)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0.099</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35M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0.104 (0.031)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0.113</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ESM-2 150M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0.130 (0.043)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0.138</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ProtBERT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0.163 (0.040)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0.164</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Lengths (4 features)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0.242 (0.036)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0.238</w:t>
            </w:r>
          </w:p>
        </w:tc>
      </w:tr>
      <w:tr>
        <w:trPr>
          <w:tblHeader w:val="false"/>
        </w:trPr>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twelve encoders concatenated</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0.239 (0.051)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0.241</w:t>
            </w:r>
          </w:p>
        </w:tc>
      </w:tr>
    </w:tbl>
    <w:p>
      <w:pPr>
        <w:spacing w:after="120"/>
      </w:pPr>
    </w:p>
    <w:p>
      <w:pPr>
        <w:pStyle w:val="ListParagraph"/>
        <w:numPr>
          <w:ilvl w:val="0"/>
          <w:numId w:val="2"/>
        </w:numPr>
        <w:spacing w:after="100"/>
      </w:pPr>
      <w:r>
        <w:rPr>
          <w:b/>
          <w:bCs/>
        </w:rPr>
        <w:t xml:space="preserve">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pPr>
        <w:pStyle w:val="ListParagraph"/>
        <w:numPr>
          <w:ilvl w:val="0"/>
          <w:numId w:val="2"/>
        </w:numPr>
        <w:spacing w:after="100"/>
      </w:pPr>
      <w:r>
        <w:rPr>
          <w:b/>
          <w:bCs/>
        </w:rPr>
        <w:t xml:space="preserve">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RiNALMo gains inconsistently, which fits the overlap between the window's downstream half and the transcript start those two encoders read. All four RNA encoders together reach 0.216, and all twelve 0.239, the level of the length features.</w:t>
      </w:r>
    </w:p>
    <w:p>
      <w:pPr>
        <w:pStyle w:val="ListParagraph"/>
        <w:numPr>
          <w:ilvl w:val="0"/>
          <w:numId w:val="2"/>
        </w:numPr>
        <w:spacing w:after="100"/>
      </w:pPr>
      <w:r>
        <w:rPr>
          <w:b/>
          <w:bCs/>
        </w:rPr>
        <w:t xml:space="preserve">Published split, against IsoFormer:</w:t>
      </w:r>
      <w:r>
        <w:t xml:space="preserve"> with IsoFormer's protein encoder (ESM-2 150M) and Nucleotide Transformer v2 for DNA, the three-modality sets reach R² 0.216 to 0.249 on the 996 test transcripts and all twelve encoders 0.269, about half of IsoFormer's 0.43 with about 1% of its training transcripts. DNA alone is weakest and adding modalities helps in IsoFormer's order; RNA alone falls furthest short (0.150 to 0.204 against 0.36), which fits IsoFormer fine-tuning its RNA encoder.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Encoder pairs (GTEx)</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Linear CKA</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Recall@1</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Recall@1 after control</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ESM-2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0.618 to 0.770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0.928 to 0.959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0.639 to 0.824</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DNA</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0.638 to 0.933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0.658 to 0.953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0.618 to 0.947</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with RiNALMo</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0.845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0.887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0.809</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RNA-FM or RiNALMo</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0.305 to 0.464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0.009 to 0.041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0.003 to 0.019</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mRNA-FM or CaLM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0.030 to 0.288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0.003 to 0.025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 to 0.022</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protein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0.019 to 0.071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 to 0.016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0.000 to 0.016</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or RiNALMo with protein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0.089 to 0.241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0.088 to 0.263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0.016 to 0.085</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with protein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0.121 to 0.437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0.370 to 0.467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0.078 to 0.166</w:t>
            </w:r>
          </w:p>
        </w:tc>
      </w:tr>
      <w:tr>
        <w:trPr>
          <w:tblHeader w:val="false"/>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with protein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0.404 to 0.551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0.690 to 0.828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right"/>
            </w:pPr>
            <w:r>
              <w:rPr>
                <w:sz w:val="20"/>
                <w:szCs w:val="20"/>
              </w:rPr>
              <w:t xml:space="preserve">0.436 to 0.627</w:t>
            </w:r>
          </w:p>
        </w:tc>
      </w:tr>
    </w:tbl>
    <w:p>
      <w:pPr>
        <w:spacing w:after="120"/>
      </w:pPr>
    </w:p>
    <w:p>
      <w:pPr>
        <w:pStyle w:val="ListParagraph"/>
        <w:numPr>
          <w:ilvl w:val="0"/>
          <w:numId w:val="2"/>
        </w:numPr>
        <w:spacing w:after="100"/>
      </w:pPr>
      <w:r>
        <w:rPr>
          <w:b/>
          <w:bCs/>
        </w:rPr>
        <w:t xml:space="preserve">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CaLM again keeps the most correspondence with the protein encoders after the composition control (Recall@1 0.44 to 0.63).</w:t>
      </w:r>
    </w:p>
    <w:p>
      <w:pPr>
        <w:pStyle w:val="ListParagraph"/>
        <w:numPr>
          <w:ilvl w:val="0"/>
          <w:numId w:val="2"/>
        </w:numPr>
        <w:spacing w:after="100"/>
      </w:pPr>
      <w:r>
        <w:rPr>
          <w:b/>
          <w:bCs/>
        </w:rPr>
        <w:t xml:space="preserve">Attention in 3' UTRs:</w:t>
      </w:r>
      <w:r>
        <w:t xml:space="preserve"> RNA-FM and RiNALMo read the 3' UTRs of 100 train transcripts. RNA-FM shows no association with ARE pentamers or DRACH (every permutation p at least 0.158). RiNALMo's ARE gap survives the position null (p = 0.002) but not a null that keeps each position's three-nucleotide context (p = 0.164), so it attends to the U-rich trinucleotides that make up an AUUUA pentamer wherever they occur, repeating its coding-sequence result.</w:t>
      </w:r>
    </w:p>
    <w:p>
      <w:pPr>
        <w:pStyle w:val="ListParagraph"/>
        <w:numPr>
          <w:ilvl w:val="0"/>
          <w:numId w:val="2"/>
        </w:numPr>
        <w:spacing w:after="100"/>
      </w:pPr>
      <w:r>
        <w:rPr>
          <w:b/>
          <w:bCs/>
        </w:rPr>
        <w:t xml:space="preserve">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pPr>
        <w:pStyle w:val="Heading2"/>
      </w:pPr>
      <w:r>
        <w:t xml:space="preserve">9.7 Stage 1 Summary</w:t>
      </w:r>
    </w:p>
    <w:p>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RiNALMo, and CaLM with the protein encoders keep strong agreement after it. Per-sequence alignment never tracks prediction error.</w:t>
      </w:r>
    </w:p>
    <w:p>
      <w:pPr>
        <w:spacing w:after="160"/>
      </w:pPr>
      <w:r>
        <w:t xml:space="preserve">Every pairing of a codon-level RNA encoder with a protein encoder adds about 0.01 to 0.02 under every fold assignment, and whether a learned fusion mechanism can use the modalities together is the Stage 3 question. With distinct inputs (GTEx), concatenation adds signal far more broadly, but transcript lengths match all twelve encoders together. On the published splits the frozen probes keep their order and fall well short of the trained published models. Position never explains the attention associations and codon context explains most of them; CaLM's ARE association is the one lead. Every planned Stage 1 check is implemented and run for all twelve encoders on both datasets, except attention for DNABERT-2 and HyenaDNA.</w:t>
      </w:r>
    </w:p>
    <w:p>
      <w:pPr>
        <w:pStyle w:val="Heading2"/>
      </w:pPr>
      <w:r>
        <w:t xml:space="preserve">9.8 Interpreting the Results</w:t>
      </w:r>
    </w:p>
    <w:p>
      <w:pPr>
        <w:pStyle w:val="ListParagraph"/>
        <w:numPr>
          <w:ilvl w:val="0"/>
          <w:numId w:val="2"/>
        </w:numPr>
        <w:spacing w:after="100"/>
      </w:pPr>
      <w:r>
        <w:rPr>
          <w:b/>
          <w:bCs/>
        </w:rPr>
        <w:t xml:space="preserve">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pPr>
        <w:pStyle w:val="ListParagraph"/>
        <w:numPr>
          <w:ilvl w:val="0"/>
          <w:numId w:val="2"/>
        </w:numPr>
        <w:spacing w:after="100"/>
      </w:pPr>
      <w:r>
        <w:rPr>
          <w:b/>
          <w:bCs/>
        </w:rPr>
        <w:t xml:space="preserve">Tokenization matters as much as modality.</w:t>
      </w:r>
      <w:r>
        <w:t xml:space="preserve"> Encoders of one modality are not interchangeable: mRNA-FM and CaLM both read codons, both complement the protein encoders, and both reach the protein encoders' stability range, yet their geometries differ sharply, while RNA-FM and RiNALMo are nearly redundant. Modality comparisons should therefore include more than one encoder per modality.</w:t>
      </w:r>
    </w:p>
    <w:p>
      <w:pPr>
        <w:pStyle w:val="ListParagraph"/>
        <w:numPr>
          <w:ilvl w:val="0"/>
          <w:numId w:val="2"/>
        </w:numPr>
        <w:spacing w:after="100"/>
      </w:pPr>
      <w:r>
        <w:rPr>
          <w:b/>
          <w:bCs/>
        </w:rPr>
        <w:t xml:space="preserve">CaLM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pPr>
        <w:pStyle w:val="ListParagraph"/>
        <w:numPr>
          <w:ilvl w:val="0"/>
          <w:numId w:val="2"/>
        </w:numPr>
        <w:spacing w:after="100"/>
      </w:pPr>
      <w:r>
        <w:rPr>
          <w:b/>
          <w:bCs/>
        </w:rPr>
        <w:t xml:space="preserve">Distinct inputs change the picture.</w:t>
      </w:r>
      <w:r>
        <w:t xml:space="preserve"> On GTEx, the DNA window shares almost no correspondence with the other molecules yet adds signal, which is what uniqueness looks like; on the stability data, where all inputs are one sequence, gains are rare and small.</w:t>
      </w:r>
    </w:p>
    <w:p>
      <w:pPr>
        <w:pStyle w:val="ListParagraph"/>
        <w:numPr>
          <w:ilvl w:val="0"/>
          <w:numId w:val="2"/>
        </w:numPr>
        <w:spacing w:after="100"/>
      </w:pPr>
      <w:r>
        <w:rPr>
          <w:b/>
          <w:bCs/>
        </w:rPr>
        <w:t xml:space="preserve">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ProtBERT on stability) and the concatenation-plus-MLP baseline, and on GTEx the length baseline.</w:t>
      </w:r>
    </w:p>
    <w:p>
      <w:pPr>
        <w:pStyle w:val="Heading2"/>
      </w:pPr>
      <w:r>
        <w:t xml:space="preserve">9.9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 xml:space="preserve">Toolkit implemented and run:</w:t>
      </w:r>
      <w:r>
        <w:t xml:space="preserve"> linear probing (RidgeCV, five grouped folds pinned by hash, plus ten further fold assignments), CKA (final-layer and layer-wise), mutual k-NN alignment, CCA with held-out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Nussinov pairing fraction), and published-split comparisons with BioLangFusion and IsoFormer, all for twelve encoders across DNA, RNA, and protein on two datasets, in one notebook built on the shared mbf package.</w:t>
      </w:r>
    </w:p>
    <w:p>
      <w:pPr>
        <w:pStyle w:val="Heading1"/>
      </w:pPr>
      <w:r>
        <w:t xml:space="preserve">10. Stage 2 Decision: Defining Alignment</w:t>
      </w:r>
    </w:p>
    <w:p>
      <w:pPr>
        <w:spacing w:after="160"/>
      </w:pPr>
      <w:r>
        <w:t xml:space="preserve">Stage 2 is a decision rather than a computation, so it has no notebook. It is recorded here and in the Overleaf section "Stage 2: Defining Alignment", and any code it calls for is built and tested in Stage 3, since the only meaningful test of an alignment choice is whether fusion improves.</w:t>
      </w:r>
    </w:p>
    <w:p>
      <w:pPr>
        <w:pStyle w:val="Heading2"/>
      </w:pPr>
      <w:r>
        <w:t xml:space="preserve">10.1 Working Definition</w:t>
      </w:r>
    </w:p>
    <w:p>
      <w:pPr>
        <w:pStyle w:val="ListParagraph"/>
        <w:numPr>
          <w:ilvl w:val="0"/>
          <w:numId w:val="2"/>
        </w:numPr>
        <w:spacing w:after="100"/>
      </w:pPr>
      <w:r>
        <w:rPr>
          <w:b/>
          <w:bCs/>
        </w:rPr>
        <w:t xml:space="preserve">Biological correspondence:</w:t>
      </w:r>
      <w:r>
        <w:t xml:space="preserve"> two inputs describe the same molecule or region, such as a coding sequence and its translation, or a transcript and the DNA around its start site. This is fixed by the data, not measured.</w:t>
      </w:r>
    </w:p>
    <w:p>
      <w:pPr>
        <w:pStyle w:val="ListParagraph"/>
        <w:numPr>
          <w:ilvl w:val="0"/>
          <w:numId w:val="2"/>
        </w:numPr>
        <w:spacing w:after="100"/>
      </w:pPr>
      <w:r>
        <w:rPr>
          <w:b/>
          <w:bCs/>
        </w:rPr>
        <w:t xml:space="preserve">Representational alignment:</w:t>
      </w:r>
      <w:r>
        <w:t xml:space="preserve"> two encoders' embeddings of corresponding inputs organize the examples in the same way, measured as whole-space similarity (CKA, mutual k-NN, RSA) and as shared directions (held-out CCA and retrieval).</w:t>
      </w:r>
    </w:p>
    <w:p>
      <w:pPr>
        <w:pStyle w:val="ListParagraph"/>
        <w:numPr>
          <w:ilvl w:val="0"/>
          <w:numId w:val="2"/>
        </w:numPr>
        <w:spacing w:after="100"/>
      </w:pPr>
      <w:r>
        <w:rPr>
          <w:b/>
          <w:bCs/>
        </w:rPr>
        <w:t xml:space="preserve">Predictive complementarity:</w:t>
      </w:r>
      <w:r>
        <w:t xml:space="preserve"> two encoders together predict a target better than the better of the two alone, measured with concatenated linear probes over eleven fold assignments.</w:t>
      </w:r>
    </w:p>
    <w:p>
      <w:pPr>
        <w:pStyle w:val="ListParagraph"/>
        <w:numPr>
          <w:ilvl w:val="0"/>
          <w:numId w:val="2"/>
        </w:numPr>
        <w:spacing w:after="100"/>
      </w:pPr>
      <w:r>
        <w:rPr>
          <w:b/>
          <w:bCs/>
        </w:rPr>
        <w:t xml:space="preserve">Definition:</w:t>
      </w:r>
      <w:r>
        <w:t xml:space="preserve">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since Stage 1 shows the two need not coincide. Every fused pair reports CKA and Recall@1 before and after the control, the Mantel test for RSA, and its concatenation gain.</w:t>
      </w:r>
    </w:p>
    <w:p>
      <w:pPr>
        <w:pStyle w:val="Heading2"/>
      </w:pPr>
      <w:r>
        <w:t xml:space="preserve">10.2 Evidence from Stage 1</w:t>
      </w:r>
    </w:p>
    <w:p>
      <w:pPr>
        <w:pStyle w:val="ListParagraph"/>
        <w:numPr>
          <w:ilvl w:val="0"/>
          <w:numId w:val="2"/>
        </w:numPr>
        <w:spacing w:after="100"/>
      </w:pPr>
      <w:r>
        <w:rPr>
          <w:b/>
          <w:bCs/>
        </w:rPr>
        <w:t xml:space="preserve">Most cross-encoder agreement is composition.</w:t>
      </w:r>
      <w:r>
        <w:t xml:space="preserve"> The control cuts CKA by 52% to 90% for every pair with a DNA encoder; what survives is concentrated in the protein encoders, RNA-FM with RiNALMo, and CaLM with the protein encoders.</w:t>
      </w:r>
    </w:p>
    <w:p>
      <w:pPr>
        <w:pStyle w:val="ListParagraph"/>
        <w:numPr>
          <w:ilvl w:val="0"/>
          <w:numId w:val="2"/>
        </w:numPr>
        <w:spacing w:after="100"/>
      </w:pPr>
      <w:r>
        <w:rPr>
          <w:b/>
          <w:bCs/>
        </w:rPr>
        <w:t xml:space="preserve">Agreement follows tokenization and training more than modality.</w:t>
      </w:r>
      <w:r>
        <w:t xml:space="preserve"> RNA-FM and RiNALMo agree at 0.809, the two codon-level encoders at only 0.163.</w:t>
      </w:r>
    </w:p>
    <w:p>
      <w:pPr>
        <w:pStyle w:val="ListParagraph"/>
        <w:numPr>
          <w:ilvl w:val="0"/>
          <w:numId w:val="2"/>
        </w:numPr>
        <w:spacing w:after="100"/>
      </w:pPr>
      <w:r>
        <w:rPr>
          <w:b/>
          <w:bCs/>
        </w:rPr>
        <w:t xml:space="preserve">Per-sequence alignment does not track prediction error.</w:t>
      </w:r>
      <w:r>
        <w:t xml:space="preserve"> Spearman -0.125 to +0.122 on stability and -0.134 to +0.100 on GTEx, with no pair surviving correction on either dataset.</w:t>
      </w:r>
    </w:p>
    <w:p>
      <w:pPr>
        <w:pStyle w:val="ListParagraph"/>
        <w:numPr>
          <w:ilvl w:val="0"/>
          <w:numId w:val="2"/>
        </w:numPr>
        <w:spacing w:after="100"/>
      </w:pPr>
      <w:r>
        <w:rPr>
          <w:b/>
          <w:bCs/>
        </w:rPr>
        <w:t xml:space="preserve">Complementarity exists where alignment is low.</w:t>
      </w:r>
      <w:r>
        <w:t xml:space="preserve"> Every codon-level and protein pairing gains on stability, and on GTEx every DNA encoder gains with every protein and codon-level encoder although their correspondence is near chance.</w:t>
      </w:r>
    </w:p>
    <w:p>
      <w:pPr>
        <w:pStyle w:val="Heading2"/>
      </w:pPr>
      <w:r>
        <w:t xml:space="preserve">10.3 Placement in the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3600"/>
        <w:gridCol w:w="3200"/>
      </w:tblGrid>
      <w:tr>
        <w:trPr>
          <w:tblHeader/>
        </w:trPr>
        <w:tc>
          <w:tcPr>
            <w:tcW w:type="dxa" w:w="2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Pairs</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Stage 1 reading</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Branch (Section 3.2)</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Within ESM-2</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Strong agreement that survives the control</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High alignment, redundant: one ESM-2 model per experiment</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RNA-FM with RiNALMo</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CKA 0.809; Recall@1 0.70 after the control</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High alignment, redundant: one of the two per experiment</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ProtBERT with ESM-2</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Moderate agreement after the control; small, mostly consistent gains</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Moderate: ProtBERT kept as a separate candidate</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CaLM with protein</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Agreement survives the control; consistent gains; no alignment-error relationship</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Moderate alignment without a positive slope: no loss by default, alignment-loss ablation</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mRNA-FM with protein</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Low global agreement, correspondence in low-variance directions; largest consistent gains</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Low alignment, complementary: skip explicit alignment</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RNA-FM, or RiNALMo with protein (stability)</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Agreement mostly composition; inconsistent gains</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Low alignment beyond composition</w:t>
            </w:r>
          </w:p>
        </w:tc>
      </w:tr>
      <w:tr>
        <w:trPr>
          <w:tblHeader w:val="false"/>
        </w:trPr>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DNA with RNA or protein (GTEx)</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Near-chance correspondence; consistent gains except with RNA-FM and RiNALMo</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Low alignment, unique information: cross-attention or pooled fusion</w:t>
            </w:r>
          </w:p>
        </w:tc>
      </w:tr>
    </w:tbl>
    <w:p>
      <w:pPr>
        <w:spacing w:after="120"/>
      </w:pPr>
    </w:p>
    <w:p>
      <w:pPr>
        <w:spacing w:after="160"/>
      </w:pPr>
      <w:r>
        <w:t xml:space="preserve">Together the rows fall in the "mixed across pairs" branch, so each pairing is decided on its own terms.</w:t>
      </w:r>
    </w:p>
    <w:p>
      <w:pPr>
        <w:pStyle w:val="Heading2"/>
      </w:pPr>
      <w:r>
        <w:t xml:space="preserve">10.4 Decision</w:t>
      </w:r>
    </w:p>
    <w:p>
      <w:pPr>
        <w:pStyle w:val="ListParagraph"/>
        <w:numPr>
          <w:ilvl w:val="0"/>
          <w:numId w:val="2"/>
        </w:numPr>
        <w:spacing w:after="100"/>
      </w:pPr>
      <w:r>
        <w:rPr>
          <w:b/>
          <w:bCs/>
        </w:rPr>
        <w:t xml:space="preserve">No explicit alignment loss in the first fusion models.</w:t>
      </w:r>
      <w:r>
        <w:t xml:space="preserve"> Once composition is removed, every cross-modal pair except CaLM with a protein encoder sits in the low-alignment branch, and for no pair does per-sequence alignment track error, so a contrastive or CCA-style term would mainly pull the representations toward shared composition. The fusion architecture learns any useful interaction. An alignment-loss ablation on CaLM with a protein encoder, the one pair where the moderate-alignment branch could apply, stays a conditional Stage 3 experiment.</w:t>
      </w:r>
    </w:p>
    <w:p>
      <w:pPr>
        <w:pStyle w:val="ListParagraph"/>
        <w:numPr>
          <w:ilvl w:val="0"/>
          <w:numId w:val="2"/>
        </w:numPr>
        <w:spacing w:after="100"/>
      </w:pPr>
      <w:r>
        <w:rPr>
          <w:b/>
          <w:bCs/>
        </w:rPr>
        <w:t xml:space="preserve">Positional correspondence only where the biology supplies it.</w:t>
      </w:r>
      <w:r>
        <w:t xml:space="preserve"> On the stability data, every input derives from one coding sequence, so DNA, RNA, and protein token streams can share one codon grid, as in BioLangFusion, which is the step grid Coupled Mamba needs. On GTEx, the DNA window, transcript, and protein have no position-by-position correspondence, so fusion there uses cross-attention or pooled representations.</w:t>
      </w:r>
    </w:p>
    <w:p>
      <w:pPr>
        <w:pStyle w:val="ListParagraph"/>
        <w:numPr>
          <w:ilvl w:val="0"/>
          <w:numId w:val="2"/>
        </w:numPr>
        <w:spacing w:after="100"/>
      </w:pPr>
      <w:r>
        <w:rPr>
          <w:b/>
          <w:bCs/>
        </w:rPr>
        <w:t xml:space="preserve">One encoder per redundant family.</w:t>
      </w:r>
      <w:r>
        <w:t xml:space="preserve"> One ESM-2 model represents that family; ProtBERT, which agrees much less with it, is a separate candidate. RNA-FM and RiNALMo are likewise nearly redundant.</w:t>
      </w:r>
    </w:p>
    <w:p>
      <w:pPr>
        <w:pStyle w:val="ListParagraph"/>
        <w:numPr>
          <w:ilvl w:val="0"/>
          <w:numId w:val="2"/>
        </w:numPr>
        <w:spacing w:after="100"/>
      </w:pPr>
      <w:r>
        <w:rPr>
          <w:b/>
          <w:bCs/>
        </w:rPr>
        <w:t xml:space="preserve">First pairings to fuse.</w:t>
      </w:r>
      <w:r>
        <w:t xml:space="preserve"> A codon-level RNA encoder (mRNA-FM or CaLM) with a protein encoder (ESM-2 150M or ProtBERT) on the stability data, the pairing with the most consistent concatenation gains; and the transcript and protein with the DNA window on GTEx, compared against the length baseline as well as the best single encoder and concatenation.</w:t>
      </w:r>
    </w:p>
    <w:p>
      <w:pPr>
        <w:pStyle w:val="Heading2"/>
      </w:pPr>
      <w:r>
        <w:t xml:space="preserve">10.5 Open Items for the Review</w:t>
      </w:r>
    </w:p>
    <w:p>
      <w:pPr>
        <w:pStyle w:val="ListParagraph"/>
        <w:numPr>
          <w:ilvl w:val="0"/>
          <w:numId w:val="2"/>
        </w:numPr>
        <w:spacing w:after="100"/>
      </w:pPr>
      <w:r>
        <w:t xml:space="preserve">Whether the agreement that survives the linear composition control is shared information or nonlinear composition; a nonlinear composition model would test this.</w:t>
      </w:r>
    </w:p>
    <w:p>
      <w:pPr>
        <w:pStyle w:val="ListParagraph"/>
        <w:numPr>
          <w:ilvl w:val="0"/>
          <w:numId w:val="2"/>
        </w:numPr>
        <w:spacing w:after="100"/>
      </w:pPr>
      <w:r>
        <w:t xml:space="preserve">Whether to keep per-pair decisions, as the decision tree allows, or adopt one fusion design for all three modalities.</w:t>
      </w:r>
    </w:p>
    <w:p>
      <w:pPr>
        <w:pStyle w:val="ListParagraph"/>
        <w:numPr>
          <w:ilvl w:val="0"/>
          <w:numId w:val="2"/>
        </w:numPr>
        <w:spacing w:after="100"/>
      </w:pPr>
      <w:r>
        <w:t xml:space="preserve">Whether the GTEx length baseline, which matches every encoder combination, should become a required input or control in Stage 3 and Stage 4 comparisons on that task.</w:t>
      </w:r>
    </w:p>
    <w:p>
      <w:pPr>
        <w:pStyle w:val="Heading1"/>
      </w:pPr>
      <w:r>
        <w:t xml:space="preserve">11.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ListParagraph"/>
        <w:numPr>
          <w:ilvl w:val="0"/>
          <w:numId w:val="2"/>
        </w:numPr>
        <w:spacing w:after="100"/>
      </w:pPr>
      <w:r>
        <w:t xml:space="preserve">Confirm the mRNA_Stability.csv version against the CodonBERT repository and BioLangFusion's filtering (41,123 raw to 23,929 used), and build a deduplicated, sequence-disjoint split.</w:t>
      </w:r>
    </w:p>
    <w:p>
      <w:pPr>
        <w:pStyle w:val="Heading3"/>
      </w:pPr>
      <w:r>
        <w:t xml:space="preserve">Stage 3 (Fusion)</w:t>
      </w:r>
    </w:p>
    <w:p>
      <w:pPr>
        <w:pStyle w:val="ListParagraph"/>
        <w:numPr>
          <w:ilvl w:val="0"/>
          <w:numId w:val="2"/>
        </w:numPr>
        <w:spacing w:after="100"/>
      </w:pPr>
      <w:r>
        <w:t xml:space="preserve">Extract token-level embeddings for the selected encoders and, on the stability data, resample the DNA, RNA, and protein token streams to one codon grid.</w:t>
      </w:r>
    </w:p>
    <w:p>
      <w:pPr>
        <w:pStyle w:val="ListParagraph"/>
        <w:numPr>
          <w:ilvl w:val="0"/>
          <w:numId w:val="2"/>
        </w:numPr>
        <w:spacing w:after="100"/>
      </w:pPr>
      <w:r>
        <w:t xml:space="preserve">Run the baselines first for every pairing: the best single encoder, concatenation plus an MLP head, and the Stage 1 linear concatenation on the same folds; on GTEx, also the four length features.</w:t>
      </w:r>
    </w:p>
    <w:p>
      <w:pPr>
        <w:pStyle w:val="ListParagraph"/>
        <w:numPr>
          <w:ilvl w:val="0"/>
          <w:numId w:val="2"/>
        </w:numPr>
        <w:spacing w:after="100"/>
      </w:pPr>
      <w:r>
        <w:t xml:space="preserve">Build the Coupled Mamba fusion module first, then Isoformer-style cross-attention: frozen encoders feeding a trainable fusion layer plus a task head, training only the fusion module and head. Start with a codon-level RNA encoder and a protein encoder on stability, and the transcript and protein with the DNA window on GTEx.</w:t>
      </w:r>
    </w:p>
    <w:p>
      <w:pPr>
        <w:pStyle w:val="ListParagraph"/>
        <w:numPr>
          <w:ilvl w:val="0"/>
          <w:numId w:val="2"/>
        </w:numPr>
        <w:spacing w:after="100"/>
      </w:pPr>
      <w:r>
        <w:t xml:space="preserve">Run the conditional alignment-loss ablation on CaLM with a protein encoder: the same fusion model trained with and without a contrastive or CCA-style loss.</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ListParagraph"/>
        <w:numPr>
          <w:ilvl w:val="0"/>
          <w:numId w:val="2"/>
        </w:numPr>
        <w:spacing w:after="100"/>
      </w:pPr>
      <w:r>
        <w:t xml:space="preserve">Scale up from the pilots to full training sets, since a trained fusion module needs more data than the pilots to find the narrow shared subspace reliably.</w:t>
      </w:r>
    </w:p>
    <w:p>
      <w:pPr>
        <w:pStyle w:val="ListParagraph"/>
        <w:numPr>
          <w:ilvl w:val="0"/>
          <w:numId w:val="2"/>
        </w:numPr>
        <w:spacing w:after="100"/>
      </w:pPr>
      <w:r>
        <w:t xml:space="preserve">Read each fusion gain against the pair's Stage 1 alignment, before and after the composition control, and its linear concatenation gain, to test whether the Stage 1 measurements predict where fusion helps.</w:t>
      </w:r>
    </w:p>
    <w:p>
      <w:pPr>
        <w:pStyle w:val="Heading3"/>
      </w:pPr>
      <w:r>
        <w:t xml:space="preserve">Stage 4 (Benchmarking)</w:t>
      </w:r>
    </w:p>
    <w:p>
      <w:pPr>
        <w:pStyle w:val="ListParagraph"/>
        <w:numPr>
          <w:ilvl w:val="0"/>
          <w:numId w:val="2"/>
        </w:numPr>
        <w:spacing w:after="100"/>
      </w:pPr>
      <w:r>
        <w:t xml:space="preserve">Compare single-modality, pairwise, and three-modality (DNA, RNA, protein) fusion against BioLangFusion's and CodonBERT's published mRNA_Stability scores on the official split and against IsoFormer on GTEx, report leakage-free results on a deduplicated split, and run the mRFP_Expression control.</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12.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 xml:space="preserve">Probe means on the 981-sequence pilot move by up to about 0.02 between fold assignments, so each probe reports pinned folds and the mean over ten further assignments. Should package versions also be pinned, beyond the six pinned model revisions, before comparing encoders across machines?</w:t>
      </w:r>
    </w:p>
    <w:p>
      <w:pPr>
        <w:pStyle w:val="ListParagraph"/>
        <w:numPr>
          <w:ilvl w:val="0"/>
          <w:numId w:val="2"/>
        </w:numPr>
        <w:spacing w:after="100"/>
      </w:pPr>
      <w:r>
        <w:t xml:space="preserve">Stage 2 decides each pairing on its own terms. Should Stage 3 and Stage 4 report results per pair as well, or converge on one fusion design for all three modalities once the first pairings are tested?</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What do the codon-level encoders carry that the protein encoders lack, and why does CaLM's geometry resemble the protein encoders' while mRNA-FM's diverges in its last layers?</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gradient attribution, worth testing, and does CaLM's ARE-pentamer association hold on more coding sequences with enough permutations to pass a correction?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