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Code/Stage1_stability.ipynb and Code/Stage1_gtex.ipynb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20,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 xml:space="preserve">Concatenation + MLP is the floor; Coupled Mamba on the codon grid is priority 1 (interaction through the recurrence, nothing forces similarity); IsoFormer-style cross-attention is priority 2 (learns correspondence where there is no grid). The research plan adds the matched baselines: BioLangFusion reproduced exactly (its attention head is also the simple fusion baseline of Fusion or Confusion) and LucaOne (joint pretraining instead of fusion). Every design is scored against the reproduced heads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 xml:space="preserve">In order: baselines and controls (mRFP); the reproduction; Coupled Mamba against the reproduced heads; ablations (encoder swaps, alignment loss, grid); the task set, chosen so each dataset isolates one question;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 xml:space="preserve">Remaining: confirm the framing with Mina on October 20; the learned-retrieval measurement.</w:t>
      </w:r>
    </w:p>
    <w:p w14:paraId="631E3C9E" w14:textId="77777777" w:rsidR="006552C1" w:rsidRDefault="00000000">
      <w:pPr>
        <w:pStyle w:val="ListParagraph"/>
        <w:numPr>
          <w:ilvl w:val="0"/>
          <w:numId w:val="2"/>
        </w:numPr>
        <w:spacing w:after="100"/>
      </w:pPr>
      <w:r>
        <w:rPr>
          <w:b/>
        </w:rPr>
        <w:t xml:space="preserve">Stage 3 (Overleaf 11; notes 11): designed, not built. </w:t>
      </w:r>
      <w:r>
        <w:rPr/>
        <w:t xml:space="preserve">First actions: token-level embeddings for the twelve encoders; the BioLangFusion reproduction (Gantt 17); Coupled Mamba feasibility tests (20); cross-attention (25).</w:t>
      </w:r>
    </w:p>
    <w:p w14:paraId="631E3C9E" w14:textId="77777777" w:rsidR="006552C1" w:rsidRDefault="00000000">
      <w:pPr>
        <w:pStyle w:val="ListParagraph"/>
        <w:numPr>
          <w:ilvl w:val="0"/>
          <w:numId w:val="2"/>
        </w:numPr>
        <w:spacing w:after="100"/>
      </w:pPr>
      <w:r>
        <w:rPr>
          <w:b/>
        </w:rPr>
        <w:t xml:space="preserve">Stage 4 (Overleaf 12; notes 12): planned, not run. </w:t>
      </w:r>
      <w:r>
        <w:rPr/>
        <w:t xml:space="preserve">In order: baselines and controls (16, 18), the reproduction (17), Coupled Mamba against it (21), encoder swaps and the alignment-loss ablation (24, 23), LucaOne (41), synthesis (29), the full-transcript tasks (42); distillation to think about (43).</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Coupled Mamba stays the priority architecture (Gantt IDs 20 and 21), with IsoFormer-style cross-attention second (ID 25). The research plan adds seven items to that design without replacing any of it: a faithful reproduction of BioLangFusion with its own encoders, codon grid, three heads, TextCNN head, and published splits on its five benchmarks, which becomes the matched baseline Coupled Mamba is scored against; the same implementation with one encoder changed at a time; LucaOne, a single jointly pretrained nucleic-acid and protein model, as a baseline; full-transcript half-life and translation efficiency on the mRNABench splits after feasibility gates; the mRFP synonymous control early and in parallel; structure features where a task calls for them; and multi-teacher distillation as an exploratory idea to think through before the next meeting, not to implement. Section 12.8 gives each add-on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Added 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Added 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(priority 1):</w:t>
      </w:r>
      <w:r>
        <w:t xml:space="preserve"> linear cost,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 xml:space="preserve">Cross-attention, </w:t>
      </w:r>
      <w:proofErr w:type="spellStart"/>
      <w:r>
        <w:rPr>
          <w:b/>
          <w:bCs/>
        </w:rPr>
        <w:t>Isoformer</w:t>
      </w:r>
      <w:proofErr w:type="spellEnd"/>
      <w:r>
        <w:rPr>
          <w:b/>
          <w:bCs/>
        </w:rPr>
        <w:t>-style (priority 2):</w:t>
      </w:r>
      <w:r>
        <w:t xml:space="preserve"> the most validated option in the literature, with quadratic cost.</w:t>
      </w:r>
    </w:p>
    <w:p w14:paraId="715DD6C0" w14:textId="035D5D01" w:rsidR="009F57BC" w:rsidRDefault="00000000" w:rsidP="009F57BC">
      <w:pPr>
        <w:pStyle w:val="ListParagraph"/>
        <w:numPr>
          <w:ilvl w:val="0"/>
          <w:numId w:val="2"/>
        </w:numPr>
        <w:spacing w:after="100"/>
      </w:pPr>
      <w:r>
        <w:rPr/>
        <w:t xml:space="preserve">BioLangFusion's architecture reproduced exactly (add-on baseline):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 xml:space="preserve">LucaOne (add-on baseline):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Coupled Mamba and cross-attention are both built and benchmarked, with Coupled Mamba first. The reproduced BioLangFusion heads and LucaOne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 xml:space="preserve">ten mature-mRNA datasets, 59 subtasks, 45 nucleotide models placed; homology-aware splits, with evidence that random splits overestimate generalization. Enters as the half-life and translation-efficiency tasks with their splits (add-on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 xml:space="preserve">one encoder and one vocabulary for nucleic acid and protein. Enters as the jointly pretrained baseline (add-on 3).</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 xml:space="preserve">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add-on 6.</w:t>
      </w:r>
    </w:p>
    <w:p w14:paraId="631E3C9E" w14:textId="77777777" w:rsidR="006552C1" w:rsidRDefault="00000000">
      <w:pPr>
        <w:pStyle w:val="ListParagraph"/>
        <w:numPr>
          <w:ilvl w:val="0"/>
          <w:numId w:val="2"/>
        </w:numPr>
        <w:spacing w:after="100"/>
      </w:pPr>
      <w:r>
        <w:rPr>
          <w:b/>
        </w:rPr>
        <w:t xml:space="preserve">OmniGenome (Yang, Chen, Li; AAAI 2025): </w:t>
      </w:r>
      <w:r>
        <w:rPr/>
        <w:t xml:space="preserve">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add-on 6.</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Code/Stage1_stability.ipynb and Code/Stage1_gtex.ipynb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w:t>
      </w:r>
      <w:r>
        <w:t xml:space="preserve"> Code/build_gtex_pilot.py samples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 xml:space="preserve">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11.4):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 xml:space="preserve">For the exploratory distillation idea (Section 12.9): which encoders count as the DNA, RNA, and protein teachers, and whether the similarity structure a student is asked to reproduce should be the raw one or the one left after the composition control, since for the DNA encoders most of the raw structure is composition.</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 xml:space="preserve">The same codon grid, fusion heads, prediction head, and splits, with one encoder swapped at a time (Section 12.8, add-ons 1 and 2).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 xml:space="preserve">On mRFP every sequence encodes one protein, so the protein encoders are invariant by construction and only nucleotide-level information can predict expression (Section 12.8, add-on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 xml:space="preserve">A fifth test comes with the GTEx cross-attention model (Section 11.3).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Coupled Mamba first, IsoFormer-style cross-attention second, each against a mandatory reference baseline. The research plan adds two baselines to that design without changing it: a faithful reproduction of BioLangFusion's own architecture, which becomes the matched baseline the Stage 3 designs are scored against, and LucaOne, a jointly pretrained model (Section 11.4). The Overleaf figures "The three fusion designs of Stage 3" and "The add-on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 xml:space="preserve">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11.4).</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5DA73A01" w14:textId="77777777" w:rsidR="006552C1" w:rsidRDefault="00000000">
      <w:pPr>
        <w:pStyle w:val="Heading2"/>
        <w:spacing w:before="200" w:after="80"/>
      </w:pPr>
      <w:r>
        <w:t>11.2 Priority 1: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 xml:space="preserve">the reproduced BioLangFusion heads (Section 11.4) are its matched baseline. Coupled Mamba replaces the fusion head in the reproduced pipeline (same grid, head, splits, and evaluation), first with BioLangFusion's encoders and then with the best encoders from the swap add-on, so that its gain over the three reproduced heads is measured on identical samples and splits. The feasibility tests (Gantt 20) run in parallel with the reproduction (Gantt 17), so neither waits on the other.</w:t>
      </w:r>
    </w:p>
    <w:p w14:paraId="1120EECC" w14:textId="77777777" w:rsidR="006552C1" w:rsidRDefault="00000000">
      <w:pPr>
        <w:pStyle w:val="Heading2"/>
        <w:spacing w:before="200" w:after="80"/>
      </w:pPr>
      <w:r>
        <w:t xml:space="preserve">11.3 Priority 2: </w:t>
      </w:r>
      <w:proofErr w:type="spellStart"/>
      <w:r>
        <w:t>IsoFormer</w:t>
      </w:r>
      <w:proofErr w:type="spellEnd"/>
      <w:r>
        <w:t>-Style Cross-Attention</w:t>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 xml:space="preserve">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11.4 and the length baseline; on coding sequence it is compared with Coupled Mamba and the reproduced heads. Gantt ID 25, conditional on the Coupled Mamba result.</w:t>
      </w:r>
    </w:p>
    <w:p w14:paraId="20300ECB" w14:textId="77777777" w:rsidR="006552C1" w:rsidRDefault="00000000">
      <w:pPr>
        <w:pStyle w:val="Heading2"/>
      </w:pPr>
      <w:r>
        <w:rPr/>
        <w:lastRenderedPageBreak/>
        <w:t xml:space="preserve">11.4 Reference Baselines, and the Two the Research Plan Adds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(add-on baseline): </w:t>
      </w:r>
      <w:r>
        <w:rPr/>
        <w:t xml:space="preserve">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Details the paper does not report (TextCNN kernel sizes and filter counts, projection widths, attention heads, maximum epochs, seeds, number of runs) are recorded as explicit deviations with the values chosen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(add-on baseline):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Gated Attention (Interpretability Module): </w:t>
      </w:r>
      <w:r>
        <w:rPr/>
        <w:t xml:space="preserve">Multiple Instance Learning (MIL) with gated attention (tanh/sigmoid) to produce interpretable, per-sequence modality weights, trained with an entropy regularizer to monitor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what the research plan adds and where each add-on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 xml:space="preserve">Under a fixed architecture, encoder swaps that Stage 1 marks as complementary and non-compositional (a codon-level RNA encoder with a protein encoder) gain more than swaps it marks as redundant or compositional. This is the method test of Section 12.6, and add-on 2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 xml:space="preserve">Precompute token and pooled embeddings for core models; build deduplicated, sequence-disjoint splits and Ensembl genomic coordinate caches (Gantt 16). Add-on: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 xml:space="preserve">Fast combination screening across the 48 cross-modal pairs, 64 three-modality triples, and 18 same-modality pairs of the twelve Stage 1 encoders using pooled representations and lightweight fusion heads to test whether Stage 1 metrics predict gains across combinations. Add-on: the mRFP synonymous control (add-on 5), with the null and control comparisons of Gantt 18.</w:t>
      </w:r>
    </w:p>
    <w:p w14:paraId="07044569" w14:textId="77777777" w:rsidR="006552C1" w:rsidRDefault="00000000">
      <w:pPr>
        <w:pStyle w:val="ListParagraph"/>
        <w:spacing w:after="80"/>
      </w:pPr>
      <w:r>
        <w:rPr>
          <w:b/>
        </w:rPr>
        <w:t xml:space="preserve">• Tier 2: Deep Token-Level Fusion and Baselines: </w:t>
      </w:r>
      <w:r>
        <w:rPr/>
        <w:t xml:space="preserve">Reproduce BioLangFusion and IsoFormer (Section 12.7; Gantt 17), the reproduction now faithful on all five published benchmarks (add-on 1); train full token-level Coupled Mamba (Gantt 20 and 21) and IsoFormer cross-attention (Gantt 25) models on selected combinations (including both high-synergy and low-synergy controls) against the reproduced heads; LucaOne beside them (add-on 3).</w:t>
      </w:r>
    </w:p>
    <w:p w14:paraId="07044569" w14:textId="77777777" w:rsidR="006552C1" w:rsidRDefault="00000000">
      <w:pPr>
        <w:pStyle w:val="ListParagraph"/>
        <w:spacing w:after="80"/>
      </w:pPr>
      <w:r>
        <w:rPr>
          <w:b/>
        </w:rPr>
        <w:t xml:space="preserve">• Tier 3: Systematic Ablations: </w:t>
      </w:r>
      <w:r>
        <w:rPr/>
        <w:t xml:space="preserve">Run systematic ablations: alignment loss penalty weights (Gantt 23), modality dropping/reinitialization, codon grid necessity, LoRA adaptation, and the encoder swaps of add-on 2 (Gantt 24, now planned rather than conditional).</w:t>
      </w:r>
    </w:p>
    <w:p w14:paraId="07044569" w14:textId="77777777" w:rsidR="006552C1" w:rsidRDefault="00000000">
      <w:pPr>
        <w:pStyle w:val="ListParagraph"/>
        <w:spacing w:after="80"/>
      </w:pPr>
      <w:r>
        <w:rPr>
          <w:b/>
        </w:rPr>
        <w:t xml:space="preserve">• Tier 4: Generalization &amp; Published Benchmarking: </w:t>
      </w:r>
      <w:r>
        <w:rPr/>
        <w:t xml:space="preserve">Evaluate generalization on external benchmarks (mRNABench half-life and translation efficiency with the gates of add-on 4, protein-to-mRNA ratio, the CaLM suite, mRNABench) and compare against published BioLangFusion and IsoFormer numbers (Gantt 29 and 38).</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(add-ons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(add-ons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 xml:space="preserve">mRNA stability (CodonBERT; in hand), mRFP synonymous variants of one gene in E. coli (CodonBERT; in hand; protein identical, so only codon-level information can carry signal; the research plan's add-on 5 runs it early and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(add-on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 xml:space="preserve">GTEx isoform expression (IsoFormer; pilot in hand, full table about 160,000 training transcripts; whether a different molecule adds signal a shared input cannot, with the four length features matching all twelve encoders on the pilot; also the second LucaOne dataset of add-on 3,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(add-on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Encoder swaps under a fixed architecture (add-ons 1 and 2): the five BioLangFusion benchmarks;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9. One model against fusion (add-on 3):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10. Transcript context with labels kept apart (add-on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Order of work: the three sets in hand first (stability, mRFP, the GTEx pilot), then the fungal and E. coli files from the CodonBERT repository together with Ab1 and CoV-Vac, since all five are needed for the BioLangFusion reproduction (add-on 1); then the two large transcript-level sets with codon tracks, half-life and translation efficiency, on the mRNABench splits once they pass the gates (add-on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 xml:space="preserve">The reproduced BioLangFusion and IsoFormer systems (Section 12.7), LucaOne (Section 12.8, add-on 3),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 xml:space="preserve">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conditional items (IDs 22 to 24)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LucaOne, the research plan's add-on,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 xml:space="preserve">BioLangFusion in two settings: exactly as published, on its five benchmarks with the published splits, recipe, and metrics (add-on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(add-on 3).</w:t>
      </w:r>
    </w:p>
    <w:p w14:paraId="07044569" w14:textId="77777777" w:rsidR="006552C1" w:rsidRDefault="00000000">
      <w:pPr>
        <w:pStyle w:val="ListParagraph"/>
        <w:spacing w:after="80"/>
      </w:pPr>
      <w:r>
        <w:rPr>
          <w:b/>
        </w:rPr>
        <w:t xml:space="preserve">• Vary on BioLangFusion: </w:t>
      </w:r>
      <w:r>
        <w:rPr/>
        <w:t xml:space="preserve">swap encoders only, one at a time (add-on 2: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lastRenderedPageBreak/>
        <w:t xml:space="preserve">12.8 What the Research Plan Adds, and Where Each Add-On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research plan adds seven items to this design. None replaces a planned item: Coupled Mamba stays the priority architecture, the tiers and the ablations stand, and the task set keeps its order. Each add-on sharpens the design in one way: the reproduction gives Coupled Mamba a matched published baseline on identical splits; the encoder swaps are the cleanest test of H2; LucaOne tests whether joint pretraining already does what fusion does; the full-transcript tasks and their label gates make tests 3 and 4 precise; and the distillation idea is one Stage 1 already has something to say about. Gantt IDs are as of October 3 and subject to change.</w:t>
      </w:r>
    </w:p>
    <w:p w14:paraId="07044569" w14:textId="77777777" w:rsidR="006552C1" w:rsidRDefault="00000000">
      <w:pPr>
        <w:pStyle w:val="ListParagraph"/>
        <w:spacing w:after="80"/>
      </w:pPr>
      <w:r>
        <w:rPr>
          <w:b/>
        </w:rPr>
        <w:t xml:space="preserve">• Add-on 1, reproduce BioLangFusion exactly (Phase A): </w:t>
      </w:r>
      <w:r>
        <w:rPr/>
        <w:t xml:space="preserve">implement the input preparation and codon resampling, the three original encoders, all three fusion heads, and the TextCNN head (Section 11.4),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18)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Add-on 2, change the encoders only (Phase B): </w:t>
      </w:r>
      <w:r>
        <w:rPr/>
        <w:t xml:space="preserve">keep the splits, preprocessing, fusion heads, TextCNN, and evaluation fixed. Replace one encoder at a time, then test the promising DNA, RNA, and protein triples. Candidates from Stage 1: CaLM and mRNA-FM (codon-level RNA), ProtBERT and ESM-2 150M (protein), and the alternative DNA encoders (NT 500M human-ref, DNABERT-2, HyenaDNA);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(November 9 to 15) becomes planned rather than conditional, and can move earlier if Phase A finishes on time.</w:t>
      </w:r>
    </w:p>
    <w:p w14:paraId="07044569" w14:textId="77777777" w:rsidR="006552C1" w:rsidRDefault="00000000">
      <w:pPr>
        <w:pStyle w:val="ListParagraph"/>
        <w:spacing w:after="80"/>
      </w:pPr>
      <w:r>
        <w:rPr>
          <w:b/>
        </w:rPr>
        <w:t xml:space="preserve">• Add-on 3, LucaOne: </w:t>
      </w:r>
      <w:r>
        <w:rPr/>
        <w:t xml:space="preserve">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a new row beside Gantt 16 and 17.</w:t>
      </w:r>
    </w:p>
    <w:p w14:paraId="07044569" w14:textId="77777777" w:rsidR="006552C1" w:rsidRDefault="00000000">
      <w:pPr>
        <w:pStyle w:val="ListParagraph"/>
        <w:spacing w:after="80"/>
      </w:pPr>
      <w:r>
        <w:rPr>
          <w:b/>
        </w:rPr>
        <w:t xml:space="preserve">• Add-on 4, half-life and translation efficiency on the mRNABench splits: </w:t>
      </w:r>
      <w:r>
        <w:rPr/>
        <w:t xml:space="preserve">half-life (rnahl-saluki-human, rnahl-saluki-mouse; LBKWK half-life): the stability benchmark covers coding sequence only, omitting the regulatory regions that contribute to mRNA stability; after the gates,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Translation efficiency (translation-efficiency-human, -mouse; MRL Sugimoto; LBKWK MRL): initiation and elongation depend on different sequence features, so it tests whether RNA-, codon-, and protein-derived representations are complementary; compare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No claim of separate molecular measurements from sequence-derived inputs. Slots into Tier 4: Gantt 38 (January to February), or earlier if the gates pass and cluster time allows.</w:t>
      </w:r>
    </w:p>
    <w:p w14:paraId="07044569" w14:textId="77777777" w:rsidR="006552C1" w:rsidRDefault="00000000">
      <w:pPr>
        <w:pStyle w:val="ListParagraph"/>
        <w:spacing w:after="80"/>
      </w:pPr>
      <w:r>
        <w:rPr>
          <w:b/>
        </w:rPr>
        <w:t xml:space="preserve">• Add-on 5, the mRFP control in parallel: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lastRenderedPageBreak/>
        <w:t xml:space="preserve">12.9 Add-On 6, Optional: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Run after the core benchmarks (Gantt 38,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lastRenderedPageBreak/>
        <w:t xml:space="preserve">12.10 Add-On 7, Exploratory: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hypothesis to examine before the next review, not an experiment to run now, and it does not alter the faithful reproduction.</w:t>
      </w:r>
    </w:p>
    <w:p w14:paraId="07044569" w14:textId="77777777" w:rsidR="006552C1" w:rsidRDefault="00000000">
      <w:pPr>
        <w:pStyle w:val="ListParagraph"/>
        <w:spacing w:after="80"/>
      </w:pPr>
      <w:r>
        <w:rPr>
          <w:b/>
        </w:rPr>
        <w:t xml:space="preserve">• Idea: </w:t>
      </w:r>
      <w:r>
        <w:rPr/>
        <w:t xml:space="preserve">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w:t>
      </w:r>
    </w:p>
    <w:p w14:paraId="07044569" w14:textId="77777777" w:rsidR="006552C1" w:rsidRDefault="00000000">
      <w:pPr>
        <w:pStyle w:val="ListParagraph"/>
        <w:spacing w:after="80"/>
      </w:pPr>
      <w:r>
        <w:rPr>
          <w:b/>
        </w:rPr>
        <w:t xml:space="preserve">• The chosen objective, teacher-specific relational distillation: </w:t>
      </w:r>
      <w:r>
        <w:rPr/>
        <w:t xml:space="preserve">the teachers stay frozen and give sequence-level embeddings of possibly different widths. One trainable student per modality produces an embedding z (dimension d_s, say 256),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project's own design.</w:t>
      </w:r>
    </w:p>
    <w:p w14:paraId="07044569" w14:textId="77777777" w:rsidR="006552C1" w:rsidRDefault="00000000">
      <w:pPr>
        <w:pStyle w:val="ListParagraph"/>
        <w:spacing w:after="80"/>
      </w:pPr>
      <w:r>
        <w:rPr>
          <w:b/>
        </w:rPr>
        <w:t xml:space="preserve">• Fusion and evaluation: </w:t>
      </w:r>
      <w:r>
        <w:rPr/>
        <w:t xml:space="preserve">after distillation the three students are frozen, their embeddings concatenated, and only a supervised fusion head is trained with the task loss (MSE or cross-entropy); the projections are discarded for this first test only after checking that the unprojected student embeddings retain downstream utility.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w:t>
      </w:r>
    </w:p>
    <w:p w14:paraId="07044569" w14:textId="77777777" w:rsidR="006552C1" w:rsidRDefault="00000000">
      <w:pPr>
        <w:pStyle w:val="ListParagraph"/>
        <w:spacing w:after="80"/>
      </w:pPr>
      <w:r>
        <w:rPr>
          <w:b/>
        </w:rPr>
        <w:t xml:space="preserve">• Safeguards: </w:t>
      </w:r>
      <w:r>
        <w:rPr/>
        <w:t xml:space="preserve">matched teacher and student inputs per modality; no train-test or homolog leakage in the unlabeled distillation pool; identical splits and capacity controls; monitoring for collapse (student variance, per-teacher similarity, nontrivial downstream scores);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 xml:space="preserve">the relational loss asks a student to reproduce each teacher's sequence-to-sequence similarity structure, which is exactly what Track B measured between teachers (RSA, linear CKA). Three findings bear on it. First, for the DNA encoders most of that structure is composition (CKA falls 52% to 90% after the composition control for every pair with a DNA encoder), so a DNA student distilled from the raw similarities would largely learn to reproduce counts; the review should decide whether to distill the raw structure or the structure left after the control. Second, some teachers are near-redundant (RNA-FM with RiNALMo at CKA 0.809; the ESM-2 family), so five RNA teachers and four protein teachers carry fewer distinct similarity structures than that, and uniform teacher weights count redundant teachers twice. Third, the sequence-level loss does not preserve local codon, UTR, or residue detail, and Track A found that the codon-level encoders' contribution lives exactly there (GC3 at R² 0.896 to 0.986 for nucleotide encoders against 0.379 to 0.440 for protein encoders), so a region- or token-level term would be needed before the students could be expected to keep it. The natural evaluation is on the five BioLangFusion benchmarks with the reproduced heads, so that Δstudent and Δteacher are comparable with the Phase B results and with Coupled Mamba. Not scheduled; a candidate for Gantt 38 after the review.</w:t>
      </w:r>
    </w:p>
    <w:p w14:paraId="07044569" w14:textId="77777777" w:rsidR="006552C1" w:rsidRDefault="00000000">
      <w:pPr>
        <w:pStyle w:val="ListParagraph"/>
        <w:spacing w:after="80"/>
      </w:pPr>
      <w:r>
        <w:rPr>
          <w:b/>
        </w:rPr>
        <w:t xml:space="preserve">• To settle before the meeting: </w:t>
      </w:r>
      <w:r>
        <w:rPr/>
        <w:t xml:space="preserve">which encoders are the teachers (the plan counts six DNA, five RNA, and four protein; Stage 1 has four of each); raw or composition-controlled similarity as the target; sequence-level only, or a token-level term for the coding sequence; and whether the students should be evaluated on the five BioLangFusion benchmarks first.</w:t>
      </w:r>
    </w:p>
    <w:p w14:paraId="07044569" w14:textId="77777777" w:rsidR="006552C1" w:rsidRDefault="00000000">
      <w:pPr>
        <w:pStyle w:val="ListParagraph"/>
        <w:spacing w:after="80"/>
      </w:pPr>
      <w:r>
        <w:rPr>
          <w:b/>
        </w:rPr>
        <w:t xml:space="preserve">• Proposed answer to Mina's question (does it make sense, how to proceed): </w:t>
      </w:r>
      <w:r>
        <w:rPr/>
        <w:t xml:space="preserve">it makes sense as a Stage 4 follow-up rather than a core item: a compression and ensembling experiment that asks whether the diversity of the teachers survives in a small student, with the same held-out gains as everything else. How to proceed, following from Stage 1: (1) pilot one modality first, RNA, where there are four teachers in hand and one known redundant pair; (2) distill the composition-controlled similarity structure, or at least report both targets, since the raw structure of the DNA teachers is mostly counts; (3) keep the teacher-specific projections until the unprojected student has been shown to retain downstream utility; (4) evaluate on the five BioLangFusion benchmarks with the reproduced heads so that Δstudent sits beside the Phase B numbers; (5) decide on the three-student fusion only after the single-modality pilot shows that a student keeps what its teachers carry.</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next meeting with Mina Basirat is October 20, 2026. She is reviewing the Overleaf manuscript herself, so the meeting is for the important findings and the experimental design, with her research plan's items shown as add-ons to it (Sections 11 and 12). The deck is a Claude Slides deck with speaker notes on each slide; its .pptx export belongs at docs/notes/Mina_Meeting_Slides_2026-10-20.pptx.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Experimental design: the Stage 2 decision and the fusion gain Δfusion; the three Stage 3 designs, Coupled Mamba first; the research plan's add-ons and where each slots into the tiers and the Gantt chart: BioLangFusion reproduced exactly on its five benchmarks with the published values to match, then one encoder changed at a time; LucaOne; the mRNABench half-life and translation-efficiency tasks with their gates and label distinctions; the mRFP control; the baseline hierarchy; the task-coverage matrix; and what Stage 1 says about the distillation idea.</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2. Phase A without official code: no BioLangFusion repository was verified, so the reproduction follows the paper and supplement. Several details are unreported (TextCNN kernel sizes and filter counts, projection widths, attention heads, maximum epochs, seeds, number of runs). Is a reimplementation with those choices documented as deviations acceptable as the faithful baseline, and which deviations should be flagged before training?</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3. Where the add-ons sit in the Gantt chart: the proposal is to widen ID 17 (October 12 to 18) to the faithful reproduction on all five published datasets, make ID 24 (encoder swaps, November 9 to 15) planned rather than conditional, add a LucaOne row beside 16 and 17, and put the mRNABench tasks in ID 38 unless cluster time allows earlier. Does that order work, and should the swaps move ahead of the alignment-objective ablation (ID 23)?</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4. LucaOne truncation: its 1,280-token limit cuts most stability coding sequences and the whole GTEx window. Run on truncated inputs with the truncation reported, or restrict the comparison to sequences that fit?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5. mRNABench gates: if the half-life or translation-efficiency sets lack coding-sequence coordinates or UTR boundaries, drop the task as the plan says, or derive the coordinates from Ensembl and record it as a deviation?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Distillation: our proposed answer is that it makes sense as a Stage 4 follow-up, piloted on RNA with a composition-controlled similarity target and evaluated on the five BioLangFusion benchmarks with the reproduced heads (Section 12.10). Does that match what she has in mind, and which encoders count as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9. Encoder swaps and cluster: swap the RNA encoder first (CaLM, mRNA-FM), then protein, then DNA? Include DNABERT-2 with a token-to-codon adapter? And on the cluster: compiling Coupled Mamba's CUDA kernels (mamba-ssm, causal-conv1d), token-level embeddings for the five BioLangFusion benchmarks and GTEx on scratch, the training cost per BioLangFusion run across seeds, and where LucaOne's 1.8-billion-parameter inference fits.</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