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Code/Stage1_stability.ipynb and Code/Stage1_gtex.ipynb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r>
        <w:t xml:space="preserve">Stage 1 (Representation Analysis) is complete for twelve frozen encoders, four per modality, on two datasets: a 981-sequence pilot of </w:t>
      </w:r>
      <w:proofErr w:type="spellStart"/>
      <w:r>
        <w:t>mRNA_Stability</w:t>
      </w:r>
      <w:proofErr w:type="spellEnd"/>
      <w:r>
        <w:t xml:space="preserve">, where every input derives from one coding sequence, and a 2,000-transcript pilot of </w:t>
      </w:r>
      <w:proofErr w:type="spellStart"/>
      <w:r>
        <w:t>IsoFormer's</w:t>
      </w:r>
      <w:proofErr w:type="spellEnd"/>
      <w:r>
        <w:t xml:space="preserve"> </w:t>
      </w:r>
      <w:proofErr w:type="spellStart"/>
      <w:r>
        <w:t>GTEx</w:t>
      </w:r>
      <w:proofErr w:type="spellEnd"/>
      <w:r>
        <w:t xml:space="preserve"> data, where DNA, transcript, and protein are different molecules. Nucleotide Transformer 500M human-ref, Nucleotide Transformer v2 100M multi-species, DNABERT-2, and </w:t>
      </w:r>
      <w:proofErr w:type="spellStart"/>
      <w:r>
        <w:t>HyenaDNA</w:t>
      </w:r>
      <w:proofErr w:type="spellEnd"/>
      <w:r>
        <w:t xml:space="preserve"> are the DNA encoders; RNA-FM and </w:t>
      </w:r>
      <w:proofErr w:type="spellStart"/>
      <w:r>
        <w:t>RiNALMo</w:t>
      </w:r>
      <w:proofErr w:type="spellEnd"/>
      <w:r>
        <w:t xml:space="preserve"> (one token per nucleotide) and mRNA-FM and </w:t>
      </w:r>
      <w:proofErr w:type="spellStart"/>
      <w:r>
        <w:t>CaLM</w:t>
      </w:r>
      <w:proofErr w:type="spellEnd"/>
      <w:r>
        <w:t xml:space="preserve"> (one token per codon) the RNA encoders; and ESM-2 8M, 35M, and 150M and </w:t>
      </w:r>
      <w:proofErr w:type="spellStart"/>
      <w:r>
        <w:t>ProtBERT</w:t>
      </w:r>
      <w:proofErr w:type="spellEnd"/>
      <w:r>
        <w:t xml:space="preserve"> the protein encoders. Stage 2 (Define Alignment) is decided (Section 10), Stage 3 (Fusion Architecture Design) specifies candidate models (Section 11), and Stage 4 (Experimental Design &amp; Benchmarking) provides the testing campaign (Section 12).</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7025A5EE" w14:textId="77777777" w:rsidR="006552C1" w:rsidRDefault="00000000">
      <w:pPr>
        <w:spacing w:after="160"/>
      </w:pPr>
      <w:r>
        <w:t xml:space="preserve">Alignment has two meanings in this project. Positional alignment, where positions in one input correspond to positions in another, is fixed by the biology: it exists on the stability data, where each codon maps to one amino acid, and not on </w:t>
      </w:r>
      <w:proofErr w:type="spellStart"/>
      <w:r>
        <w:t>GTEx</w:t>
      </w:r>
      <w:proofErr w:type="spellEnd"/>
      <w:r>
        <w:t xml:space="preserve">. Representational alignment, where two encoders organize the same sequences in the same way, is measured: two encoders count as aligned to the extent that their representations agree on held-out examples after the composition control. Few pairs are aligned on that definition, and alignment never tracks prediction error, so the first fusion models impose only positional alignment (the shared codon grid on the stability data) and get no explicit alignment loss. Stage 2 runs no experiments; its decision sends the project straight into fusion, starting with a codon-level RNA encoder and a protein encoder on the stability data, and the transcript and protein with the DNA window on </w:t>
      </w:r>
      <w:proofErr w:type="spellStart"/>
      <w:r>
        <w:t>GTEx</w:t>
      </w:r>
      <w:proofErr w:type="spellEnd"/>
      <w:r>
        <w:t>. Section 10 gives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0351E6D4" w14:textId="77777777" w:rsidR="006552C1" w:rsidRDefault="00000000">
      <w:pPr>
        <w:spacing w:after="160"/>
      </w:pPr>
      <w:r>
        <w:t xml:space="preserve">Alignment is not treated as solved by resampling sequences to a shared resolution. The project defines what alignment should mean for biological foundation models by measuring it on frozen encoders before any fusion model is designed to impose it. It distinguishes two meanings: positional alignment, which the biology fixes (a codon corresponds to one amino acid), and representational alignment, which Stage 1 measures and Stage 2 defines (Section 10). </w:t>
      </w:r>
      <w:proofErr w:type="spellStart"/>
      <w:r>
        <w:t>BioLangFusion</w:t>
      </w:r>
      <w:proofErr w:type="spellEnd"/>
      <w:r>
        <w:t xml:space="preserve"> frames alignment as cross-modal representation alignment, and the lab is running its own study on this question.</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(priority 1):</w:t>
      </w:r>
      <w:r>
        <w:t xml:space="preserve"> linear cost,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 xml:space="preserve">Cross-attention, </w:t>
      </w:r>
      <w:proofErr w:type="spellStart"/>
      <w:r>
        <w:rPr>
          <w:b/>
          <w:bCs/>
        </w:rPr>
        <w:t>Isoformer</w:t>
      </w:r>
      <w:proofErr w:type="spellEnd"/>
      <w:r>
        <w:rPr>
          <w:b/>
          <w:bCs/>
        </w:rPr>
        <w:t>-style (priority 2):</w:t>
      </w:r>
      <w:r>
        <w:t xml:space="preserve"> the most validated option in the literature, with quadratic cost.</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6A1BA080" w14:textId="77777777" w:rsidR="006552C1" w:rsidRDefault="00000000">
      <w:pPr>
        <w:spacing w:after="160"/>
      </w:pPr>
      <w:r>
        <w:t xml:space="preserve">Coupled Mamba and cross-attention are both built and benchmarked, with Coupled Mamba first. The remaining options are fallbacks if </w:t>
      </w:r>
      <w:proofErr w:type="gramStart"/>
      <w:r>
        <w:t>either underperforms</w:t>
      </w:r>
      <w:proofErr w:type="gramEnd"/>
      <w:r>
        <w:t>,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53B479A6" w14:textId="77777777" w:rsidR="006552C1" w:rsidRDefault="00000000">
      <w:pPr>
        <w:pStyle w:val="ListParagraph"/>
        <w:numPr>
          <w:ilvl w:val="0"/>
          <w:numId w:val="2"/>
        </w:numPr>
        <w:spacing w:after="100"/>
      </w:pPr>
      <w:r>
        <w:rPr>
          <w:b/>
          <w:bCs/>
        </w:rPr>
        <w:t>Unsuitable for fusion (single-modality in practice):</w:t>
      </w:r>
      <w:r>
        <w:t xml:space="preserve"> </w:t>
      </w:r>
      <w:proofErr w:type="spellStart"/>
      <w:r>
        <w:t>mRFP_Expression</w:t>
      </w:r>
      <w:proofErr w:type="spellEnd"/>
      <w:r>
        <w:t xml:space="preserve"> (control only), Tc-Riboswitches, </w:t>
      </w:r>
      <w:proofErr w:type="spellStart"/>
      <w:r>
        <w:t>CoV_Vaccine_Degradation</w:t>
      </w:r>
      <w:proofErr w:type="spellEnd"/>
      <w:r>
        <w:t>, and MLOS.</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Code/Stage1_stability.ipynb and Code/Stage1_gtex.ipynb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w:t>
      </w:r>
      <w:r>
        <w:t xml:space="preserve"> Code/build_gtex_pilot.py samples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6EB43D50" w14:textId="77777777" w:rsidR="006552C1" w:rsidRDefault="00000000">
      <w:pPr>
        <w:spacing w:after="160"/>
      </w:pPr>
      <w:r>
        <w:t>In multimodal learning on video and audio, alignment usually means two things: the modalities share a time axis, so frame t of the video and window t of the audio describe the same moment, and representations of the same moment are trained to coincide, as in contrastive training. For DNA, RNA, and protein it was not obvious that either applies, so Stage 1 measured alignment between frozen encoders before any fusion model was designed to impose it.</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4BD2559D" w14:textId="77777777" w:rsidR="006552C1" w:rsidRDefault="00000000">
      <w:pPr>
        <w:spacing w:after="160"/>
      </w:pPr>
      <w:r>
        <w:t>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r>
        <w:rPr>
          <w:b/>
          <w:bCs/>
        </w:rPr>
        <w:t>Impose positional alignment only where the biology supplies it.</w:t>
      </w:r>
      <w:r>
        <w:t xml:space="preserve"> On the stability data, DNA, RNA, and protein token streams are resampled to one codon grid, as in </w:t>
      </w:r>
      <w:proofErr w:type="spellStart"/>
      <w:r>
        <w:t>BioLangFusion</w:t>
      </w:r>
      <w:proofErr w:type="spellEnd"/>
      <w:r>
        <w:t xml:space="preserve">, which is the step grid Coupled Mamba needs. On </w:t>
      </w:r>
      <w:proofErr w:type="spellStart"/>
      <w:r>
        <w:t>GTEx</w:t>
      </w:r>
      <w:proofErr w:type="spellEnd"/>
      <w:r>
        <w:t xml:space="preserve"> no such grid exists, so fusion there uses cross-attention or pooled representations.</w:t>
      </w:r>
    </w:p>
    <w:p w14:paraId="7277893B" w14:textId="77777777" w:rsidR="006552C1" w:rsidRDefault="00000000">
      <w:pPr>
        <w:pStyle w:val="ListParagraph"/>
        <w:numPr>
          <w:ilvl w:val="0"/>
          <w:numId w:val="2"/>
        </w:numPr>
        <w:spacing w:after="100"/>
      </w:pPr>
      <w:r>
        <w:rPr>
          <w:b/>
          <w:bCs/>
        </w:rPr>
        <w:t>No explicit alignment loss in the first fusion models.</w:t>
      </w:r>
      <w:r>
        <w:t xml:space="preserve"> They train on the prediction loss alone. A contrastive or CCA-style term would mainly pull the representations toward shared composition, and it could suppress information only one modality carries, such as synonymous codon choice. An alignment-loss ablation on </w:t>
      </w:r>
      <w:proofErr w:type="spellStart"/>
      <w:r>
        <w:t>CaLM</w:t>
      </w:r>
      <w:proofErr w:type="spellEnd"/>
      <w:r>
        <w:t xml:space="preserve"> with a protein encoder, the one cross-modal pair aligned after the control, is run in Stage 4 (Section 12.5, ablation B).</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068AF023" w14:textId="77777777" w:rsidR="006552C1" w:rsidRDefault="00000000">
      <w:pPr>
        <w:pStyle w:val="ListParagraph"/>
        <w:numPr>
          <w:ilvl w:val="0"/>
          <w:numId w:val="2"/>
        </w:numPr>
        <w:spacing w:after="100"/>
      </w:pPr>
      <w:r>
        <w:rPr>
          <w:b/>
          <w:bCs/>
        </w:rPr>
        <w:t>First pairings to fuse.</w:t>
      </w:r>
      <w:r>
        <w:t xml:space="preserve"> A codon-level RNA encoder (mRNA-FM or </w:t>
      </w:r>
      <w:proofErr w:type="spellStart"/>
      <w:r>
        <w:t>CaLM</w:t>
      </w:r>
      <w:proofErr w:type="spellEnd"/>
      <w:r>
        <w:t xml:space="preserve">) with a protein encoder (ESM-2 150M or </w:t>
      </w:r>
      <w:proofErr w:type="spellStart"/>
      <w:r>
        <w:t>ProtBERT</w:t>
      </w:r>
      <w:proofErr w:type="spellEnd"/>
      <w:r>
        <w:t xml:space="preserve">) on the stability data, the pairing with the most consistent concatenation gains; and the transcript and protein with the DNA window on </w:t>
      </w:r>
      <w:proofErr w:type="spellStart"/>
      <w:r>
        <w:t>GTEx</w:t>
      </w:r>
      <w:proofErr w:type="spellEnd"/>
      <w:r>
        <w:t>, compared against the length baseline as well as the best single encoder and concatenation.</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343937F9" w14:textId="77777777" w:rsidR="006552C1" w:rsidRDefault="00000000">
      <w:pPr>
        <w:pStyle w:val="Heading1"/>
        <w:spacing w:before="280" w:after="120"/>
      </w:pPr>
      <w:r>
        <w:t>11. Stage 3: Fusion Architecture Design</w:t>
      </w:r>
    </w:p>
    <w:p w14:paraId="12250CB9" w14:textId="77777777" w:rsidR="006552C1" w:rsidRDefault="00000000">
      <w:pPr>
        <w:spacing w:after="80"/>
      </w:pPr>
      <w:r>
        <w:t>Stage 3 designs the neural architectures that combine pretrained biological foundation models. Stage 1 established that simple linear concatenation of frozen pooled vectors captures early synergy (e.g., codon-level RNA plus protein</w:t>
      </w:r>
      <w:proofErr w:type="gramStart"/>
      <w:r>
        <w:t>), but</w:t>
      </w:r>
      <w:proofErr w:type="gramEnd"/>
      <w:r>
        <w:t xml:space="preserve"> falls short of trained multi-modal models like </w:t>
      </w:r>
      <w:proofErr w:type="spellStart"/>
      <w:r>
        <w:t>BioLangFusion</w:t>
      </w:r>
      <w:proofErr w:type="spellEnd"/>
      <w:r>
        <w:t xml:space="preserve"> and </w:t>
      </w:r>
      <w:proofErr w:type="spellStart"/>
      <w:r>
        <w:t>IsoFormer</w:t>
      </w:r>
      <w:proofErr w:type="spellEnd"/>
      <w:r>
        <w:t>.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49E79394" w14:textId="77777777" w:rsidR="006552C1" w:rsidRDefault="00000000">
      <w:pPr>
        <w:pStyle w:val="ListParagraph"/>
        <w:spacing w:after="80"/>
      </w:pPr>
      <w:r>
        <w:rPr>
          <w:b/>
        </w:rPr>
        <w:t xml:space="preserve">• Positional Alignment on Coding Sequences: </w:t>
      </w:r>
      <w:r>
        <w:t xml:space="preserve">On coding sequences (the mRNA stability benchmark), input streams are resampled to a shared codon grid (T = L/3). DNA 6-mer tokens (covering 2 codons) are </w:t>
      </w:r>
      <w:proofErr w:type="spellStart"/>
      <w:r>
        <w:t>upsampled</w:t>
      </w:r>
      <w:proofErr w:type="spellEnd"/>
      <w:r>
        <w:t xml:space="preserve"> via transposed convolution (</w:t>
      </w:r>
      <w:proofErr w:type="spellStart"/>
      <w:r>
        <w:t>TConv</w:t>
      </w:r>
      <w:proofErr w:type="spellEnd"/>
      <w:r>
        <w:t>_{k=</w:t>
      </w:r>
      <w:proofErr w:type="gramStart"/>
      <w:r>
        <w:t>2,s</w:t>
      </w:r>
      <w:proofErr w:type="gramEnd"/>
      <w:r>
        <w:t>=2}); single-nucleotide RNA tokens (3 per codon) are average-pooled (</w:t>
      </w:r>
      <w:proofErr w:type="spellStart"/>
      <w:r>
        <w:t>AvgPool</w:t>
      </w:r>
      <w:proofErr w:type="spellEnd"/>
      <w:r>
        <w:t>_{k=</w:t>
      </w:r>
      <w:proofErr w:type="gramStart"/>
      <w:r>
        <w:t>3,s</w:t>
      </w:r>
      <w:proofErr w:type="gramEnd"/>
      <w:r>
        <w:t>=3}); and codon-level RNA (</w:t>
      </w:r>
      <w:proofErr w:type="spellStart"/>
      <w:r>
        <w:t>CaLM</w:t>
      </w:r>
      <w:proofErr w:type="spellEnd"/>
      <w:r>
        <w:t xml:space="preserve">, mRNA-FM) and protein encoders (ESM-2, </w:t>
      </w:r>
      <w:proofErr w:type="spellStart"/>
      <w:r>
        <w:t>ProtBERT</w:t>
      </w:r>
      <w:proofErr w:type="spellEnd"/>
      <w:r>
        <w:t>) naturally arrive at 1 token per codon/residue. This establishes a common step index t for all streams.</w:t>
      </w:r>
    </w:p>
    <w:p w14:paraId="541564B7" w14:textId="77777777" w:rsidR="006552C1" w:rsidRDefault="00000000">
      <w:pPr>
        <w:pStyle w:val="ListParagraph"/>
        <w:spacing w:after="80"/>
      </w:pPr>
      <w:r>
        <w:rPr>
          <w:b/>
        </w:rPr>
        <w:lastRenderedPageBreak/>
        <w:t xml:space="preserve">• Unaligned Inputs on </w:t>
      </w:r>
      <w:proofErr w:type="spellStart"/>
      <w:r>
        <w:rPr>
          <w:b/>
        </w:rPr>
        <w:t>GTEx</w:t>
      </w:r>
      <w:proofErr w:type="spellEnd"/>
      <w:r>
        <w:rPr>
          <w:b/>
        </w:rPr>
        <w:t xml:space="preserve">: </w:t>
      </w:r>
      <w:r>
        <w:t xml:space="preserve">On </w:t>
      </w:r>
      <w:proofErr w:type="spellStart"/>
      <w:r>
        <w:t>GTEx</w:t>
      </w:r>
      <w:proofErr w:type="spellEnd"/>
      <w:r>
        <w:t xml:space="preserve"> transcript expression, the 6,000 bp genomic promoter window, the full transcript (with 5' and 3' UTRs), and the translated protein have no 1:1 token correspondence. Token streams must be preserved at their native lengths and fused via unaligned mechanisms (cross-attention or pooled summaries).</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5DA73A01" w14:textId="77777777" w:rsidR="006552C1" w:rsidRDefault="00000000">
      <w:pPr>
        <w:pStyle w:val="Heading2"/>
        <w:spacing w:before="200" w:after="80"/>
      </w:pPr>
      <w:r>
        <w:t>11.2 Priority 1: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1120EECC" w14:textId="77777777" w:rsidR="006552C1" w:rsidRDefault="00000000">
      <w:pPr>
        <w:pStyle w:val="Heading2"/>
        <w:spacing w:before="200" w:after="80"/>
      </w:pPr>
      <w:r>
        <w:t xml:space="preserve">11.3 Priority 2: </w:t>
      </w:r>
      <w:proofErr w:type="spellStart"/>
      <w:r>
        <w:t>IsoFormer</w:t>
      </w:r>
      <w:proofErr w:type="spellEnd"/>
      <w:r>
        <w:t>-Style Cross-Attention</w:t>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7FF8B459" w14:textId="77777777" w:rsidR="006552C1" w:rsidRDefault="00000000">
      <w:pPr>
        <w:pStyle w:val="Heading2"/>
        <w:spacing w:before="200" w:after="80"/>
      </w:pPr>
      <w:r>
        <w:t>11.4 Reference Baseline &amp; Alternative Interaction Mechanisms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3DC880BA" w14:textId="77777777" w:rsidR="006552C1" w:rsidRDefault="00000000">
      <w:pPr>
        <w:pStyle w:val="ListParagraph"/>
        <w:spacing w:after="80"/>
      </w:pPr>
      <w:r>
        <w:rPr>
          <w:b/>
        </w:rPr>
        <w:lastRenderedPageBreak/>
        <w:t xml:space="preserve">• Fallback Architectures: </w:t>
      </w:r>
      <w:r>
        <w:t xml:space="preserve">Cross-Mamba / </w:t>
      </w:r>
      <w:proofErr w:type="spellStart"/>
      <w:r>
        <w:t>BiMamba</w:t>
      </w:r>
      <w:proofErr w:type="spellEnd"/>
      <w:r>
        <w:t xml:space="preserve"> bidirectional state-space interaction modules, purpose-built for biological sequence interactions; and Perceiver-style asymmetric cross-attention, which compresses long promoter DNA onto a small set of latent bottleneck tokens.</w:t>
      </w:r>
    </w:p>
    <w:p w14:paraId="4FFF313E" w14:textId="77777777" w:rsidR="006552C1" w:rsidRDefault="00000000">
      <w:pPr>
        <w:pStyle w:val="ListParagraph"/>
        <w:spacing w:after="80"/>
      </w:pPr>
      <w:r>
        <w:rPr>
          <w:b/>
        </w:rPr>
        <w:t xml:space="preserve">• Gated Attention (Interpretability Module): </w:t>
      </w:r>
      <w:r>
        <w:t xml:space="preserve">Multiple Instance Learning (MIL) with gated attention (tanh/sigmoid) to produce interpretable, per-sequence modality weights, trained with an entropy </w:t>
      </w:r>
      <w:proofErr w:type="spellStart"/>
      <w:r>
        <w:t>regularizer</w:t>
      </w:r>
      <w:proofErr w:type="spellEnd"/>
      <w:r>
        <w:t xml:space="preserve"> to monitor whether the model relies predominantly on one modality.</w:t>
      </w:r>
    </w:p>
    <w:p w14:paraId="0C1107EB" w14:textId="77777777" w:rsidR="006552C1" w:rsidRDefault="00000000">
      <w:pPr>
        <w:pStyle w:val="Heading2"/>
        <w:spacing w:before="200" w:after="80"/>
      </w:pPr>
      <w:r>
        <w:t>11.5 Training Regimes &amp; Task Prediction Heads</w:t>
      </w:r>
    </w:p>
    <w:p w14:paraId="04698789" w14:textId="77777777" w:rsidR="006552C1" w:rsidRDefault="00000000">
      <w:pPr>
        <w:pStyle w:val="ListParagraph"/>
        <w:spacing w:after="80"/>
      </w:pPr>
      <w:r>
        <w:rPr>
          <w:b/>
        </w:rPr>
        <w:t xml:space="preserve">• Frozen Encoders (Default): </w:t>
      </w:r>
      <w:r>
        <w:t>Base encoders remain completely frozen; only the fusion layers and prediction heads are trained. This isolates whether combining frozen representations produces cross-modal synergy without confounding from base model fine-tuning.</w:t>
      </w:r>
    </w:p>
    <w:p w14:paraId="5F8138FB" w14:textId="77777777" w:rsidR="006552C1" w:rsidRDefault="00000000">
      <w:pPr>
        <w:pStyle w:val="ListParagraph"/>
        <w:spacing w:after="80"/>
      </w:pPr>
      <w:r>
        <w:rPr>
          <w:b/>
        </w:rPr>
        <w:t xml:space="preserve">• </w:t>
      </w:r>
      <w:proofErr w:type="spellStart"/>
      <w:r>
        <w:rPr>
          <w:b/>
        </w:rPr>
        <w:t>LoRA</w:t>
      </w:r>
      <w:proofErr w:type="spellEnd"/>
      <w:r>
        <w:rPr>
          <w:b/>
        </w:rPr>
        <w:t xml:space="preserve"> Fine-Tuning (Tier 3 Extension): </w:t>
      </w:r>
      <w:r>
        <w:t>For the top 2-3 performing fusion configurations, evaluate parameter-efficient fine-tuning (</w:t>
      </w:r>
      <w:proofErr w:type="spellStart"/>
      <w:r>
        <w:t>LoRA</w:t>
      </w:r>
      <w:proofErr w:type="spellEnd"/>
      <w:r>
        <w:t>, rank 4 to 16) on the upper layers of the base encoders to assess whether joint adaptation unlocks deeper synergy.</w:t>
      </w:r>
    </w:p>
    <w:p w14:paraId="7B73E772" w14:textId="77777777" w:rsidR="006552C1" w:rsidRDefault="00000000">
      <w:pPr>
        <w:pStyle w:val="ListParagraph"/>
        <w:spacing w:after="80"/>
      </w:pPr>
      <w:r>
        <w:rPr>
          <w:b/>
        </w:rPr>
        <w:t xml:space="preserve">• Prediction Heads: </w:t>
      </w:r>
      <w:r>
        <w:t xml:space="preserve">For scalar targets (stability, half-life), use a 2-layer MLP head. For multi-tissue </w:t>
      </w:r>
      <w:proofErr w:type="spellStart"/>
      <w:r>
        <w:t>GTEx</w:t>
      </w:r>
      <w:proofErr w:type="spellEnd"/>
      <w:r>
        <w:t xml:space="preserve"> transcript expression, use a multi-output linear/MLP projection predicting all 30 tissue targets simultaneously.</w:t>
      </w:r>
    </w:p>
    <w:p w14:paraId="288300B1" w14:textId="77777777" w:rsidR="006552C1" w:rsidRDefault="00000000">
      <w:pPr>
        <w:pStyle w:val="Heading1"/>
        <w:spacing w:before="280" w:after="120"/>
      </w:pPr>
      <w:r>
        <w:t>12. Stage 4: Experimental Design &amp; Benchmarking</w:t>
      </w:r>
    </w:p>
    <w:p w14:paraId="44BE5EF1" w14:textId="77777777" w:rsidR="006552C1" w:rsidRDefault="00000000">
      <w:pPr>
        <w:spacing w:after="80"/>
      </w:pPr>
      <w: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w:t>
      </w:r>
    </w:p>
    <w:p w14:paraId="564D18D1" w14:textId="77777777" w:rsidR="006552C1" w:rsidRDefault="00000000">
      <w:pPr>
        <w:pStyle w:val="Heading2"/>
        <w:spacing w:before="200" w:after="80"/>
      </w:pPr>
      <w:r>
        <w:t>12.1 Pre-Registered Hypotheses</w:t>
      </w:r>
    </w:p>
    <w:p w14:paraId="66BDFEE3" w14:textId="77777777" w:rsidR="006552C1" w:rsidRDefault="00000000">
      <w:pPr>
        <w:pStyle w:val="ListParagraph"/>
        <w:spacing w:after="80"/>
      </w:pPr>
      <w:r>
        <w:rPr>
          <w:b/>
        </w:rPr>
        <w:t xml:space="preserve">• H1 (True Cross-Modal Synergy): </w:t>
      </w:r>
      <w:r>
        <w:t xml:space="preserve">Multi-modal fusion outperforms: (1) the best single frozen encoder, (2) an intra-modality matched-capacity ensemble (e.g., ESM-2 + </w:t>
      </w:r>
      <w:proofErr w:type="spellStart"/>
      <w:r>
        <w:t>ProtBERT</w:t>
      </w:r>
      <w:proofErr w:type="spellEnd"/>
      <w:r>
        <w:t>), and (3) length and composition baselines.</w:t>
      </w:r>
    </w:p>
    <w:p w14:paraId="21E83910" w14:textId="77777777" w:rsidR="006552C1" w:rsidRDefault="00000000">
      <w:pPr>
        <w:pStyle w:val="ListParagraph"/>
        <w:spacing w:after="80"/>
      </w:pPr>
      <w:r>
        <w:rPr>
          <w:b/>
        </w:rPr>
        <w:t xml:space="preserve">• H2 (Predictive Power of Stage 1 Diagnostics): </w:t>
      </w:r>
      <w:r>
        <w:t>Pairs exhibiting high Stage 1 linear concatenation synergy and non-compositional geometric complementarity (e.g., mRNA-FM + ESM-2) achieve systematically larger fusion gains than pairs with redundant or purely compositional alignment.</w:t>
      </w:r>
    </w:p>
    <w:p w14:paraId="64E1D22F" w14:textId="77777777" w:rsidR="006552C1" w:rsidRDefault="00000000">
      <w:pPr>
        <w:pStyle w:val="ListParagraph"/>
        <w:spacing w:after="80"/>
      </w:pPr>
      <w:r>
        <w:rPr>
          <w:b/>
        </w:rPr>
        <w:t xml:space="preserve">• H3 (Token-Level Value): </w:t>
      </w:r>
      <w:r>
        <w:t>Token-level deep fusion (Coupled Mamba / Cross-Attention) outperforms pooled-vector concatenation only on tasks governed by position-resolved molecular interactions (stability, translation efficiency), but not on tasks dominated by global sequence counts.</w:t>
      </w:r>
    </w:p>
    <w:p w14:paraId="464937D4" w14:textId="77777777" w:rsidR="006552C1" w:rsidRDefault="00000000">
      <w:pPr>
        <w:pStyle w:val="ListParagraph"/>
        <w:spacing w:after="80"/>
      </w:pPr>
      <w:r>
        <w:rPr>
          <w:b/>
        </w:rPr>
        <w:t xml:space="preserve">• H4 (Alignment Loss Penalty Null): </w:t>
      </w:r>
      <w:r>
        <w:t>Adding an explicit contrastive or cosine alignment loss penalty (</w:t>
      </w:r>
      <w:proofErr w:type="spellStart"/>
      <w:r>
        <w:t>L_align</w:t>
      </w:r>
      <w:proofErr w:type="spellEnd"/>
      <w:r>
        <w:t xml:space="preserve">) to </w:t>
      </w:r>
      <w:proofErr w:type="spellStart"/>
      <w:r>
        <w:t>CaLM</w:t>
      </w:r>
      <w:proofErr w:type="spellEnd"/>
      <w:r>
        <w:t xml:space="preserve"> + ESM-2 does not improve, and may degrade, downstream task performance compared to task loss alone, validating the Stage 2 decision.</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623E5D96" w14:textId="77777777" w:rsidR="006552C1" w:rsidRDefault="00000000">
      <w:pPr>
        <w:pStyle w:val="Heading2"/>
        <w:spacing w:before="200" w:after="80"/>
      </w:pPr>
      <w:r>
        <w:t>12.2 Tiered Execution Strategy</w:t>
      </w:r>
    </w:p>
    <w:p w14:paraId="0D993E4E" w14:textId="77777777" w:rsidR="006552C1" w:rsidRDefault="00000000">
      <w:pPr>
        <w:pStyle w:val="ListParagraph"/>
        <w:spacing w:after="80"/>
      </w:pPr>
      <w:r>
        <w:rPr>
          <w:b/>
        </w:rPr>
        <w:t xml:space="preserve">• Tier 0: Data &amp; Embedding Infrastructure: </w:t>
      </w:r>
      <w:r>
        <w:t xml:space="preserve">Precompute token and pooled embeddings for core models; build deduplicated, sequence-disjoint splits and </w:t>
      </w:r>
      <w:proofErr w:type="spellStart"/>
      <w:r>
        <w:t>Ensembl</w:t>
      </w:r>
      <w:proofErr w:type="spellEnd"/>
      <w:r>
        <w:t xml:space="preserve"> genomic coordinate caches.</w:t>
      </w:r>
    </w:p>
    <w:p w14:paraId="4AF7F5A6" w14:textId="77777777" w:rsidR="006552C1" w:rsidRDefault="00000000">
      <w:pPr>
        <w:pStyle w:val="ListParagraph"/>
        <w:spacing w:after="80"/>
      </w:pPr>
      <w:r>
        <w:rPr>
          <w:b/>
        </w:rPr>
        <w:t xml:space="preserve">• Tier 1: Screening Matrix (Fast / Pooled): </w:t>
      </w:r>
      <w:r>
        <w:t>Fast combination screening across the 48 cross-modal pairs, 64 three-modality triples, and 18 same-modality pairs of the twelve Stage 1 encoders using pooled representations and lightweight fusion heads to test whether Stage 1 metrics predict gains across combinations.</w:t>
      </w:r>
    </w:p>
    <w:p w14:paraId="2597CDCE" w14:textId="77777777" w:rsidR="006552C1" w:rsidRDefault="00000000">
      <w:pPr>
        <w:pStyle w:val="ListParagraph"/>
        <w:spacing w:after="80"/>
      </w:pPr>
      <w:r>
        <w:rPr>
          <w:b/>
        </w:rPr>
        <w:t xml:space="preserve">• Tier 2: Deep Token-Level Fusion: </w:t>
      </w:r>
      <w:r>
        <w:t xml:space="preserve">Train full token-level Coupled Mamba and </w:t>
      </w:r>
      <w:proofErr w:type="spellStart"/>
      <w:r>
        <w:t>IsoFormer</w:t>
      </w:r>
      <w:proofErr w:type="spellEnd"/>
      <w:r>
        <w:t xml:space="preserve"> Cross-Attention models on selected combinations (including both high-synergy and low-synergy controls).</w:t>
      </w:r>
    </w:p>
    <w:p w14:paraId="4BBF0BE9" w14:textId="77777777" w:rsidR="006552C1" w:rsidRDefault="00000000">
      <w:pPr>
        <w:pStyle w:val="ListParagraph"/>
        <w:spacing w:after="80"/>
      </w:pPr>
      <w:r>
        <w:rPr>
          <w:b/>
        </w:rPr>
        <w:t xml:space="preserve">• Tier 3: Systematic Ablations: </w:t>
      </w:r>
      <w:r>
        <w:t xml:space="preserve">Run systematic ablations: alignment loss penalty weights, modality dropping/reinitialization, codon grid necessity, and </w:t>
      </w:r>
      <w:proofErr w:type="spellStart"/>
      <w:r>
        <w:t>LoRA</w:t>
      </w:r>
      <w:proofErr w:type="spellEnd"/>
      <w:r>
        <w:t xml:space="preserve"> adaptation.</w:t>
      </w:r>
    </w:p>
    <w:p w14:paraId="7B38CCB2" w14:textId="77777777" w:rsidR="006552C1" w:rsidRDefault="00000000">
      <w:pPr>
        <w:pStyle w:val="ListParagraph"/>
        <w:spacing w:after="80"/>
      </w:pPr>
      <w:r>
        <w:rPr>
          <w:b/>
        </w:rPr>
        <w:t xml:space="preserve">• Tier 4: Generalization &amp; Published Benchmarking: </w:t>
      </w:r>
      <w:r>
        <w:t>Evaluate generalization on external benchmarks (</w:t>
      </w:r>
      <w:proofErr w:type="spellStart"/>
      <w:r>
        <w:t>mRNABench</w:t>
      </w:r>
      <w:proofErr w:type="spellEnd"/>
      <w:r>
        <w:t xml:space="preserve">, Saluki half-life, </w:t>
      </w:r>
      <w:proofErr w:type="spellStart"/>
      <w:r>
        <w:t>RiboNN</w:t>
      </w:r>
      <w:proofErr w:type="spellEnd"/>
      <w:r>
        <w:t xml:space="preserve"> translation efficiency) and compare against published </w:t>
      </w:r>
      <w:proofErr w:type="spellStart"/>
      <w:r>
        <w:t>BioLangFusion</w:t>
      </w:r>
      <w:proofErr w:type="spellEnd"/>
      <w:r>
        <w:t xml:space="preserve"> and </w:t>
      </w:r>
      <w:proofErr w:type="spellStart"/>
      <w:r>
        <w:t>IsoFormer</w:t>
      </w:r>
      <w:proofErr w:type="spellEnd"/>
      <w:r>
        <w:t xml:space="preserve"> numbers.</w:t>
      </w:r>
    </w:p>
    <w:p w14:paraId="4D11CDD0" w14:textId="77777777" w:rsidR="006552C1" w:rsidRDefault="00000000">
      <w:pPr>
        <w:pStyle w:val="Heading2"/>
        <w:spacing w:before="200" w:after="80"/>
      </w:pPr>
      <w:r>
        <w:t>12.3 Benchmark Tasks &amp; Biological Roles</w:t>
      </w:r>
    </w:p>
    <w:p w14:paraId="3F1175DC" w14:textId="77777777" w:rsidR="006552C1" w:rsidRDefault="00000000">
      <w:pPr>
        <w:pStyle w:val="ListParagraph"/>
        <w:spacing w:after="80"/>
      </w:pPr>
      <w:r>
        <w:rPr>
          <w:b/>
        </w:rPr>
        <w:t>• 1. mRNA Stability (</w:t>
      </w:r>
      <w:proofErr w:type="spellStart"/>
      <w:r>
        <w:rPr>
          <w:b/>
        </w:rPr>
        <w:t>CodonBERT</w:t>
      </w:r>
      <w:proofErr w:type="spellEnd"/>
      <w:r>
        <w:rPr>
          <w:b/>
        </w:rPr>
        <w:t xml:space="preserve"> / </w:t>
      </w:r>
      <w:proofErr w:type="spellStart"/>
      <w:r>
        <w:rPr>
          <w:b/>
        </w:rPr>
        <w:t>BioLangFusion</w:t>
      </w:r>
      <w:proofErr w:type="spellEnd"/>
      <w:r>
        <w:rPr>
          <w:b/>
        </w:rPr>
        <w:t xml:space="preserve">): </w:t>
      </w:r>
      <w:r>
        <w:t xml:space="preserve">65,356 rows from the </w:t>
      </w:r>
      <w:proofErr w:type="spellStart"/>
      <w:r>
        <w:t>CodonBERT</w:t>
      </w:r>
      <w:proofErr w:type="spellEnd"/>
      <w:r>
        <w:t xml:space="preserve"> benchmark. Provides continuity with Stage 1 and direct comparability with </w:t>
      </w:r>
      <w:proofErr w:type="spellStart"/>
      <w:r>
        <w:t>BioLangFusion</w:t>
      </w:r>
      <w:proofErr w:type="spellEnd"/>
      <w:r>
        <w:t>. Evaluated using deduplicated, sequence-disjoint grouped splits.</w:t>
      </w:r>
    </w:p>
    <w:p w14:paraId="1BE355D6" w14:textId="77777777" w:rsidR="006552C1" w:rsidRDefault="00000000">
      <w:pPr>
        <w:pStyle w:val="ListParagraph"/>
        <w:spacing w:after="80"/>
      </w:pPr>
      <w:r>
        <w:rPr>
          <w:b/>
        </w:rPr>
        <w:t xml:space="preserve">• 2. </w:t>
      </w:r>
      <w:proofErr w:type="spellStart"/>
      <w:r>
        <w:rPr>
          <w:b/>
        </w:rPr>
        <w:t>GTEx</w:t>
      </w:r>
      <w:proofErr w:type="spellEnd"/>
      <w:r>
        <w:rPr>
          <w:b/>
        </w:rPr>
        <w:t xml:space="preserve"> Transcript Expression: </w:t>
      </w:r>
      <w:r>
        <w:t>The 2,000-transcript pilot and IsoFormer's full GTEx table, with 30 tissue expression targets.</w:t>
      </w:r>
      <w:proofErr w:type="spellStart"/>
      <w:r/>
      <w:proofErr w:type="spellEnd"/>
      <w:r>
        <w:t xml:space="preserve"> Tests cross-attention on physically distinct molecules (promoter DNA, transcript UTRs, protein) against the 0.242 length baseline.</w:t>
      </w:r>
    </w:p>
    <w:p w14:paraId="7B60AF35" w14:textId="77777777" w:rsidR="006552C1" w:rsidRDefault="00000000">
      <w:pPr>
        <w:pStyle w:val="ListParagraph"/>
        <w:spacing w:after="80"/>
      </w:pPr>
      <w:r>
        <w:rPr>
          <w:b/>
        </w:rPr>
        <w:t xml:space="preserve">• 3. mRNA Half-Life (Saluki): </w:t>
      </w:r>
      <w:r>
        <w:t>Full transcripts with 5' and 3' UTRs. Directly tests whether combining 3' UTR regulatory signals with coding sequence representations improves decay prediction.</w:t>
      </w:r>
    </w:p>
    <w:p w14:paraId="472E747F" w14:textId="77777777" w:rsidR="006552C1" w:rsidRDefault="00000000">
      <w:pPr>
        <w:pStyle w:val="ListParagraph"/>
        <w:spacing w:after="80"/>
      </w:pPr>
      <w:r>
        <w:rPr>
          <w:b/>
        </w:rPr>
        <w:t>• 4. Translation Efficiency (</w:t>
      </w:r>
      <w:proofErr w:type="spellStart"/>
      <w:r>
        <w:rPr>
          <w:b/>
        </w:rPr>
        <w:t>RiboNN</w:t>
      </w:r>
      <w:proofErr w:type="spellEnd"/>
      <w:r>
        <w:rPr>
          <w:b/>
        </w:rPr>
        <w:t xml:space="preserve">): </w:t>
      </w:r>
      <w:r>
        <w:t>5' UTR plus coding sequences. Probes translation initiation and elongation kinetics.</w:t>
      </w:r>
    </w:p>
    <w:p w14:paraId="5C3809B9" w14:textId="77777777" w:rsidR="006552C1" w:rsidRDefault="00000000">
      <w:pPr>
        <w:pStyle w:val="ListParagraph"/>
        <w:spacing w:after="80"/>
      </w:pPr>
      <w:r>
        <w:rPr>
          <w:b/>
        </w:rPr>
        <w:t xml:space="preserve">• 5. Protein-to-mRNA Ratio (Eraslan et al.): </w:t>
      </w:r>
      <w:r>
        <w:t>Tests the task most dependent on protein-level abundance and turnover relative to transcript copy numbers.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7DCB7088" w14:textId="77777777" w:rsidR="006552C1" w:rsidRDefault="00000000">
      <w:pPr>
        <w:pStyle w:val="ListParagraph"/>
        <w:spacing w:after="80"/>
      </w:pPr>
      <w:r>
        <w:rPr>
          <w:b/>
        </w:rPr>
        <w:lastRenderedPageBreak/>
        <w:t xml:space="preserve">• B2 (Best Single Encoder): </w:t>
      </w:r>
      <w:r>
        <w:t xml:space="preserve">The strongest single frozen encoder (e.g., ESM-2 150M or </w:t>
      </w:r>
      <w:proofErr w:type="spellStart"/>
      <w:r>
        <w:t>CaLM</w:t>
      </w:r>
      <w:proofErr w:type="spellEnd"/>
      <w:r>
        <w:t>) trained with the exact same prediction head and compute budget.</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1D6A52B1" w14:textId="77777777" w:rsidR="006552C1" w:rsidRDefault="00000000">
      <w:pPr>
        <w:pStyle w:val="ListParagraph"/>
        <w:spacing w:after="80"/>
      </w:pPr>
      <w:r>
        <w:rPr>
          <w:b/>
        </w:rPr>
        <w:t xml:space="preserve">• B5 (Published External Models): </w:t>
      </w:r>
      <w:r>
        <w:t xml:space="preserve">Published test-split scores from </w:t>
      </w:r>
      <w:proofErr w:type="spellStart"/>
      <w:r>
        <w:t>BioLangFusion</w:t>
      </w:r>
      <w:proofErr w:type="spellEnd"/>
      <w:r>
        <w:t xml:space="preserve"> (Spearman 0.563) and </w:t>
      </w:r>
      <w:proofErr w:type="spellStart"/>
      <w:r>
        <w:t>IsoFormer</w:t>
      </w:r>
      <w:proofErr w:type="spellEnd"/>
      <w:r>
        <w:t xml:space="preserve"> (R² 0.43).</w:t>
      </w:r>
    </w:p>
    <w:p w14:paraId="12F31803" w14:textId="77777777" w:rsidR="006552C1" w:rsidRDefault="00000000">
      <w:pPr>
        <w:pStyle w:val="Heading2"/>
        <w:spacing w:before="200" w:after="80"/>
      </w:pPr>
      <w:r>
        <w:t>12.5 Systematic Ablation Suite</w:t>
      </w:r>
    </w:p>
    <w:p w14:paraId="12ECD80D" w14:textId="77777777" w:rsidR="006552C1" w:rsidRDefault="00000000">
      <w:pPr>
        <w:pStyle w:val="ListParagraph"/>
        <w:spacing w:after="80"/>
      </w:pPr>
      <w:r>
        <w:rPr>
          <w:b/>
        </w:rPr>
        <w:t>• A. Modality Contribution (</w:t>
      </w:r>
      <w:proofErr w:type="spellStart"/>
      <w:r>
        <w:rPr>
          <w:b/>
        </w:rPr>
        <w:t>IsoFormer</w:t>
      </w:r>
      <w:proofErr w:type="spellEnd"/>
      <w:r>
        <w:rPr>
          <w:b/>
        </w:rPr>
        <w:t xml:space="preserve">-Style): </w:t>
      </w:r>
      <w:r>
        <w:t>Train all 7 non-empty subsets of DNA, RNA, and protein; calculate Shapley values per modality; and test zero-out modality dropping at inference time to confirm the model does not collapse onto a single dominant encoder.</w:t>
      </w:r>
    </w:p>
    <w:p w14:paraId="23291D9A" w14:textId="77777777" w:rsidR="006552C1" w:rsidRDefault="00000000">
      <w:pPr>
        <w:pStyle w:val="ListParagraph"/>
        <w:spacing w:after="80"/>
      </w:pPr>
      <w:r>
        <w:rPr>
          <w:b/>
        </w:rPr>
        <w:t xml:space="preserve">• B. Alignment Loss Penalty Ablation: </w:t>
      </w:r>
      <w:r>
        <w:t xml:space="preserve">Train Coupled Mamba on </w:t>
      </w:r>
      <w:proofErr w:type="spellStart"/>
      <w:r>
        <w:t>CaLM</w:t>
      </w:r>
      <w:proofErr w:type="spellEnd"/>
      <w:r>
        <w:t xml:space="preserve"> + ESM-2 150M under </w:t>
      </w:r>
      <w:proofErr w:type="spellStart"/>
      <w:r>
        <w:t>L_task</w:t>
      </w:r>
      <w:proofErr w:type="spellEnd"/>
      <w:r>
        <w:t xml:space="preserve"> vs. </w:t>
      </w:r>
      <w:proofErr w:type="spellStart"/>
      <w:r>
        <w:t>L_task</w:t>
      </w:r>
      <w:proofErr w:type="spellEnd"/>
      <w:r>
        <w:t xml:space="preserve"> + lambda * </w:t>
      </w:r>
      <w:proofErr w:type="spellStart"/>
      <w:r>
        <w:t>L_contrastive</w:t>
      </w:r>
      <w:proofErr w:type="spellEnd"/>
      <w:r>
        <w:t xml:space="preserve"> (with lambda in {0.01, 0.1, 1.0}). Directly tests the Stage 2 hypothesis that representational alignment constraints do not improve task accuracy.</w:t>
      </w:r>
    </w:p>
    <w:p w14:paraId="7B615D3B" w14:textId="77777777" w:rsidR="006552C1" w:rsidRDefault="00000000">
      <w:pPr>
        <w:pStyle w:val="ListParagraph"/>
        <w:spacing w:after="80"/>
      </w:pPr>
      <w:r>
        <w:rPr>
          <w:b/>
        </w:rPr>
        <w:t xml:space="preserve">• C. Positional Codon Grid Necessity: </w:t>
      </w:r>
      <w:r>
        <w:t>Train Coupled Mamba on the exact codon grid vs. unaligned tokens with linear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0285BA32" w14:textId="77777777" w:rsidR="006552C1" w:rsidRDefault="00000000">
      <w:pPr>
        <w:spacing w:after="80"/>
      </w:pPr>
      <w:r>
        <w:t xml:space="preserve">For every encoder combination across all benchmark tasks: (1) measure downstream empirical fusion gain Delta = R^2_fusion - max(R^2_single); (2) collect Stage 1 diagnostic metrics (linear CKA before and after composition control, CCA Recall@1, mutual k-NN, and linear concatenation gain); (3) fit predictive models Delta ~ </w:t>
      </w:r>
      <w:proofErr w:type="gramStart"/>
      <w:r>
        <w:t>f(</w:t>
      </w:r>
      <w:proofErr w:type="gramEnd"/>
      <w:r>
        <w:t>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6E9BDF06" w14:textId="77777777" w:rsidR="006552C1" w:rsidRDefault="00000000">
      <w:pPr>
        <w:pStyle w:val="Heading1"/>
        <w:spacing w:before="280" w:after="120"/>
      </w:pPr>
      <w:r>
        <w:lastRenderedPageBreak/>
        <w:t>13. Decisions &amp; Open Questions for Advisor Review (Mina Meeting)</w:t>
      </w:r>
    </w:p>
    <w:p w14:paraId="6CC7CEEE" w14:textId="77777777" w:rsidR="006552C1" w:rsidRDefault="00000000">
      <w:pPr>
        <w:spacing w:after="80"/>
      </w:pPr>
      <w:r>
        <w:t>The following key decisions and open questions are scheduled for review with Mina Basirat on October 7, 2026:</w:t>
      </w:r>
    </w:p>
    <w:p w14:paraId="485A73ED" w14:textId="77777777" w:rsidR="006552C1" w:rsidRDefault="00000000">
      <w:pPr>
        <w:pStyle w:val="ListParagraph"/>
        <w:spacing w:after="80"/>
      </w:pPr>
      <w:r>
        <w:rPr>
          <w:b/>
        </w:rPr>
        <w:t xml:space="preserve">• 1. Alignment Definition Endorsement: </w:t>
      </w:r>
      <w:r>
        <w:t>Endorse the two-part alignment framework: positional alignment (codon grid) fixed by biology, and representational alignment treated as an observational diagnostic rather than a training loss.</w:t>
      </w:r>
    </w:p>
    <w:p w14:paraId="511E217D" w14:textId="77777777" w:rsidR="006552C1" w:rsidRDefault="00000000">
      <w:pPr>
        <w:pStyle w:val="ListParagraph"/>
        <w:spacing w:after="80"/>
      </w:pPr>
      <w:r>
        <w:rPr>
          <w:b/>
        </w:rPr>
        <w:t xml:space="preserve">• 2. Alignment Loss Ablation Scope: </w:t>
      </w:r>
      <w:r>
        <w:t xml:space="preserve">Confirm testing the alignment-loss penalty ablation specifically on </w:t>
      </w:r>
      <w:proofErr w:type="spellStart"/>
      <w:r>
        <w:t>CaLM</w:t>
      </w:r>
      <w:proofErr w:type="spellEnd"/>
      <w:r>
        <w:t xml:space="preserve"> + ESM-2 150M (the sole cross-modal pair maintaining strong post-composition alignment).</w:t>
      </w:r>
    </w:p>
    <w:p w14:paraId="0BF7A2D0" w14:textId="77777777" w:rsidR="006552C1" w:rsidRDefault="00000000">
      <w:pPr>
        <w:pStyle w:val="ListParagraph"/>
        <w:spacing w:after="80"/>
      </w:pPr>
      <w:r>
        <w:rPr>
          <w:b/>
        </w:rPr>
        <w:t xml:space="preserve">• 3. Architecture Prioritization: </w:t>
      </w:r>
      <w:r>
        <w:t xml:space="preserve">Confirm Coupled Mamba as Priority 1 (for codon-grid coding sequences) and </w:t>
      </w:r>
      <w:proofErr w:type="spellStart"/>
      <w:r>
        <w:t>IsoFormer</w:t>
      </w:r>
      <w:proofErr w:type="spellEnd"/>
      <w:r>
        <w:t xml:space="preserve"> Cross-Attention as Priority 2 (for unaligned multi-omics </w:t>
      </w:r>
      <w:proofErr w:type="spellStart"/>
      <w:r>
        <w:t>GTEx</w:t>
      </w:r>
      <w:proofErr w:type="spellEnd"/>
      <w:r>
        <w:t>).</w:t>
      </w:r>
    </w:p>
    <w:p w14:paraId="362DB657" w14:textId="77777777" w:rsidR="006552C1" w:rsidRDefault="00000000">
      <w:pPr>
        <w:pStyle w:val="ListParagraph"/>
        <w:spacing w:after="80"/>
      </w:pPr>
      <w:r>
        <w:rPr>
          <w:b/>
        </w:rPr>
        <w:t xml:space="preserve">• 4. </w:t>
      </w:r>
      <w:proofErr w:type="spellStart"/>
      <w:r>
        <w:rPr>
          <w:b/>
        </w:rPr>
        <w:t>GTEx</w:t>
      </w:r>
      <w:proofErr w:type="spellEnd"/>
      <w:r>
        <w:rPr>
          <w:b/>
        </w:rPr>
        <w:t xml:space="preserve"> Length Baseline Policy: </w:t>
      </w:r>
      <w:r>
        <w:t xml:space="preserve">Confirm requiring the 4-feature transcript length baseline (R² = 0.242) as a mandatory control in all </w:t>
      </w:r>
      <w:proofErr w:type="spellStart"/>
      <w:r>
        <w:t>GTEx</w:t>
      </w:r>
      <w:proofErr w:type="spellEnd"/>
      <w:r>
        <w:t xml:space="preserve"> transcript expression evaluations.</w:t>
      </w:r>
    </w:p>
    <w:p w14:paraId="12B90AF7" w14:textId="77777777" w:rsidR="006552C1" w:rsidRDefault="00000000">
      <w:pPr>
        <w:pStyle w:val="ListParagraph"/>
        <w:spacing w:after="80"/>
      </w:pPr>
      <w:r>
        <w:rPr>
          <w:b/>
        </w:rPr>
        <w:t xml:space="preserve">• 5. Multi-Task Benchmark Selection: </w:t>
      </w:r>
      <w:r>
        <w:t>Finalize the core task selection: mRNA stability (</w:t>
      </w:r>
      <w:proofErr w:type="spellStart"/>
      <w:r>
        <w:t>CodonBERT</w:t>
      </w:r>
      <w:proofErr w:type="spellEnd"/>
      <w:r>
        <w:t>) and transcript expression (</w:t>
      </w:r>
      <w:proofErr w:type="spellStart"/>
      <w:r>
        <w:t>GTEx</w:t>
      </w:r>
      <w:proofErr w:type="spellEnd"/>
      <w:r>
        <w:t xml:space="preserve">) as mandatory cores, with Saluki half-life and </w:t>
      </w:r>
      <w:proofErr w:type="spellStart"/>
      <w:r>
        <w:t>RiboNN</w:t>
      </w:r>
      <w:proofErr w:type="spellEnd"/>
      <w:r>
        <w:t xml:space="preserve"> translation efficiency as secondary generalization targets.</w:t>
      </w:r>
    </w:p>
    <w:p w14:paraId="5FE653A9" w14:textId="77777777" w:rsidR="006552C1" w:rsidRDefault="00000000">
      <w:pPr>
        <w:pStyle w:val="ListParagraph"/>
        <w:spacing w:after="80"/>
      </w:pPr>
      <w:r>
        <w:rPr>
          <w:b/>
        </w:rPr>
        <w:t xml:space="preserve">• 6. University GPU Deployment &amp; Environment Setup: </w:t>
      </w:r>
      <w:r>
        <w:t>University GPU cluster access is in place, so Stage 3 and Stage 4 can run on the full datasets rather than the pilots. Discuss cluster environment setup for compiling Coupled Mamba's specialized CUDA kernels (mamba-</w:t>
      </w:r>
      <w:proofErr w:type="spellStart"/>
      <w:r>
        <w:t>ssm</w:t>
      </w:r>
      <w:proofErr w:type="spellEnd"/>
      <w:r>
        <w:t xml:space="preserve"> and causal-conv1d) and optimizing multi-GPU batching across the Tier 1 screening and Tier 2 deep fusion runs.</w:t>
      </w:r>
    </w:p>
    <w:p w14:paraId="5FE653A9" w14:textId="77777777" w:rsidR="006552C1" w:rsidRDefault="00000000">
      <w:pPr>
        <w:pStyle w:val="ListParagraph"/>
        <w:spacing w:after="80"/>
      </w:pPr>
      <w:r>
        <w:rPr>
          <w:b/>
        </w:rPr>
        <w:t xml:space="preserve">• 7. Fusion Layer for mRNA-FM: </w:t>
      </w:r>
      <w:r>
        <w:t>mRNA-FM's final layer agrees with every other encoder at CKA 0.24 or less (0.36 with ProtBERT), while its states 2 to 5 reach 0.65 to 0.78. Should fusion read an intermediate mRNA-FM layer rather than the final one?</w:t>
      </w:r>
      <w:proofErr w:type="spellStart"/>
      <w:proofErr w:type="spellEnd"/>
    </w:p>
    <w:p w14:paraId="5FE653A9" w14:textId="77777777" w:rsidR="006552C1" w:rsidRDefault="00000000">
      <w:pPr>
        <w:pStyle w:val="ListParagraph"/>
        <w:spacing w:after="80"/>
      </w:pPr>
      <w:r>
        <w:rPr>
          <w:b/>
        </w:rPr>
        <w:t xml:space="preserve">• 8. Interpretability vs. Performance: </w:t>
      </w:r>
      <w:r>
        <w:t>How much weight should interpretability carry relative to predictive gains when choosing between fusion designs?</w:t>
      </w:r>
      <w:proofErr w:type="spellStart"/>
      <w:proofErr w:type="spellEnd"/>
    </w:p>
    <w:p w14:paraId="5FE653A9" w14:textId="77777777" w:rsidR="006552C1" w:rsidRDefault="00000000">
      <w:pPr>
        <w:pStyle w:val="ListParagraph"/>
        <w:spacing w:after="80"/>
      </w:pPr>
      <w:r>
        <w:rPr>
          <w:b/>
        </w:rPr>
        <w:t xml:space="preserve">• 9. Track C Follow-up: </w:t>
      </w:r>
      <w:r>
        <w:t>Is CaLM's ARE-pentamer attention lead (41 sequences, cannot pass a correction for 36 tests) worth testing on more coding sequences with enough permutations to pass a correction?</w:t>
      </w:r>
      <w:proofErr w:type="spellStart"/>
      <w:proofErr w:type="spellEnd"/>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