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20,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 xml:space="preserve">Remaining: confirm the framing with Mina on October 20; the learned-retrieval measurement.</w:t>
      </w:r>
    </w:p>
    <w:p w14:paraId="631E3C9E" w14:textId="77777777" w:rsidR="006552C1" w:rsidRDefault="00000000">
      <w:pPr>
        <w:pStyle w:val="ListParagraph"/>
        <w:numPr>
          <w:ilvl w:val="0"/>
          <w:numId w:val="2"/>
        </w:numPr>
        <w:spacing w:after="100"/>
      </w:pPr>
      <w:r>
        <w:rPr>
          <w:b/>
        </w:rPr>
        <w:t xml:space="preserve">Stage 3 (Overleaf 11; notes 11): designed, not built. </w:t>
      </w:r>
      <w:r>
        <w:rPr/>
        <w:t>The research plan first: the BioLangFusion reproduction with token-level embeddings (Gantt 17), the encoder swaps (24), LucaOne (41), and IsoFormer on GTEx (44); Coupled Mamba (20, 21) and cross-attention (25) follow, from January.</w:t>
      </w:r>
    </w:p>
    <w:p w14:paraId="631E3C9E" w14:textId="77777777" w:rsidR="006552C1" w:rsidRDefault="00000000">
      <w:pPr>
        <w:pStyle w:val="ListParagraph"/>
        <w:numPr>
          <w:ilvl w:val="0"/>
          <w:numId w:val="2"/>
        </w:numPr>
        <w:spacing w:after="100"/>
      </w:pPr>
      <w:r>
        <w:rPr>
          <w:b/>
        </w:rPr>
        <w:t xml:space="preserve">Stage 4 (Overleaf 12; notes 12): planned, not run. </w:t>
      </w:r>
      <w:r>
        <w:rPr/>
        <w:t>The research plan first, in its order: baselines with the mRFP control in parallel (16, 18), the BioLangFusion reproduction (17), the encoder swaps (24), LucaOne (41) and IsoFormer (44), half-life and translation efficiency (42, November 23 to December 20); synthesis for the course (29); then the project's designs, Coupled Mamba (20, 21) and cross-attention (25), with the alignment-loss ablation (23), January and February; structure (38) and distillation (43) in March, conditional.</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 xml:space="preserve">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Details the paper does not report (TextCNN kernel sizes and filter counts, projection widths, attention heads, maximum epochs, seeds, number of runs) are recorded as explicit deviations with the values chosen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 xml:space="preserve">Multiple Instance Learning (MIL) with gated attention (tanh/sigmoid) to produce interpretable, per-sequence modality weights, trained with an entropy regularizer to monitor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20,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docs/notes/Slides/Mina_Meeting_Slides_2026-10-20.pptx.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research plan first, then the Stage 3 designs (Coupled Mamba, then cross-attention, from January);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2. Phase A without official code: no BioLangFusion repository was verified, so the reproduction follows the paper and supplement. Several details are unreported (TextCNN kernel sizes and filter counts, projection widths, attention heads, maximum epochs, seeds, number of runs). Is a reimplementation with those choices documented as deviations acceptable as the faithful baseline, and which deviations should be flagged before training?</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IsoFormer on GTEx beside it, ID 44; the half-life and translation-efficiency tasks in ID 42 (November 23 to December 20); then Coupled Mamba (20, 21) and cross-attention (25) from January; structure (38) and distillation (43) in March, conditional.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4. LucaOne truncation: its 1,280-token limit cuts most stability coding sequences and the whole GTEx window. Run on truncated inputs with the truncation reported, or restrict the comparison to sequences that fit?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5. mRNABench gates: if the half-life or translation-efficiency sets lack coding-sequence coordinates or UTR boundaries, drop the task as the plan says, or derive the coordinates from Ensembl and record it as a deviation?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9. Encoder swaps and cluster: swap the RNA encoder first (CaLM, mRNA-FM), then protein, then DNA? Include DNABERT-2 with a token-to-codon adapter? And on the cluster: compiling Coupled Mamba's CUDA kernels (mamba-ssm, causal-conv1d), token-level embeddings for the five BioLangFusion benchmarks and GTEx on scratch, the training cost per BioLangFusion run across seeds, and where LucaOne's 1.8-billion-parameter inference fits.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