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一、项目概述</w:t>
      </w:r>
    </w:p>
    <w:p>
      <w:pPr>
        <w:pStyle w:val="Heading3"/>
      </w:pPr>
      <w:r>
        <w:t>1.1 项目简介</w:t>
      </w:r>
    </w:p>
    <w:p>
      <w:r>
        <w:t>1+1咖啡（餐饮零售）。本报告基于用户填写的假设参数，由财务引擎完成测算、AI 辅助撰写叙述章节。</w:t>
      </w:r>
    </w:p>
    <w:p>
      <w:pPr>
        <w:pStyle w:val="Heading3"/>
      </w:pPr>
      <w:r>
        <w:t>1.2 投资规模</w:t>
      </w:r>
    </w:p>
    <w:p>
      <w:r>
        <w:t>建设投资 26,000 元+ 流动资金 45,000 元，计算期 10 年，基准折现率 10%。</w:t>
      </w:r>
    </w:p>
    <w:p>
      <w:pPr>
        <w:pStyle w:val="Heading2"/>
      </w:pPr>
      <w:r>
        <w:t>二、市场分析</w:t>
      </w:r>
    </w:p>
    <w:p>
      <w:r>
        <w:t>本项目（1+1咖啡）所处的餐饮零售行业，特别是咖啡细分市场，近年来呈现持续增长态势。随着国内消费升级与年轻消费群体对咖啡文化接受度的提升，现磨咖啡、精品咖啡及便捷式咖啡消费场景不断扩展，市场渗透率仍有上升空间（需进一步调研验证）。行业整体呈现‘头部连锁品牌与中小独立品牌并存’的竞争格局，一线及新一线城市竞争较为激烈，而二三线城市及新兴商圈仍存在差异化切入机会。</w:t>
      </w:r>
    </w:p>
    <w:p>
      <w:r>
        <w:t>从需求端看，咖啡消费已从‘社交性、仪式性’需求逐步延伸至‘日常功能性’需求，消费者对性价比、出杯效率、门店可达性及产品创新（如低因、植物基、特调风味）的关注度提高。本项目定位为‘1+1咖啡’，其命名暗示‘咖啡+轻食/社交/便利’等复合业态的可能性，符合当前‘咖啡+’的融合趋势，有助于提升客单价与复购率（需进一步调研验证）。</w:t>
      </w:r>
    </w:p>
    <w:p>
      <w:r>
        <w:t>从供给端看，行业原材料（咖啡豆、乳制品、包装）成本受国际大宗商品价格波动影响，但长期供应链趋于稳定；人工与门店租金是主要固定成本构成。本项目首年收入假设为292,000元，年固定经营成本为200,000元，据此推算首年毛利空间约为92,000元（未扣除变动成本），表明项目需通过控制变动成本（如原料损耗、包装、水电等）及提升日均销量来实现盈利。收入增速假设为5%，低于行业平均增速（通常为10%-20%），可能反映保守预期或新品牌爬坡期特征，需结合具体商圈客流与营销投入进行复核。</w:t>
      </w:r>
    </w:p>
    <w:p>
      <w:r>
        <w:t>竞争方面，直接竞争对手包括连锁品牌（如瑞幸、库迪、星巴克等）及本地独立咖啡馆。连锁品牌在价格与品牌认知上具有优势，但独立品牌可在产品特色、社区服务、空间体验上形成差异化。本项目应重点评估选址周边的竞争密度、目标客群消费习惯及租金占比合理性（需进一步调研验证）。</w:t>
      </w:r>
    </w:p>
    <w:p>
      <w:r>
        <w:t>综上，市场环境总体有利于咖啡业态发展，但本项目财务基础较为薄弱（首年收入规模较小），需通过精准定位、成本控制及有效的获客策略来提升抗风险能力。建议进一步开展商圈客流调研、竞品价格与产品结构分析、消费者偏好问卷，以验证市场容量与增长假设。</w:t>
      </w:r>
    </w:p>
    <w:p>
      <w:r>
        <w:t>（注：以上分析基于通用行业认知，具体市场规模、增长率、竞争数据等均需通过实地调研与权威行业报告进一步验证。）</w:t>
      </w:r>
    </w:p>
    <w:p>
      <w:pPr>
        <w:pStyle w:val="Heading2"/>
      </w:pPr>
      <w:r>
        <w:t>三、财务测算</w:t>
      </w:r>
    </w:p>
    <w:p>
      <w:pPr>
        <w:ind w:left="283"/>
      </w:pPr>
      <w:r>
        <w:rPr>
          <w:i/>
        </w:rPr>
        <w:t>本节全部数字由财务测算引擎计算（非 AI 生成）。</w:t>
      </w:r>
    </w:p>
    <w:p>
      <w:pPr>
        <w:pStyle w:val="ListBullet"/>
      </w:pPr>
      <w:r>
        <w:t>基准折现率：10.0%；计算期：10 年</w:t>
      </w:r>
    </w:p>
    <w:p>
      <w:pPr>
        <w:pStyle w:val="ListBullet"/>
      </w:pPr>
      <w:r>
        <w:rPr>
          <w:b/>
        </w:rPr>
        <w:t>NPV（净现值）≈ 17 万元</w:t>
      </w:r>
      <w:r>
        <w:t>（≥0，基准假设下可行）</w:t>
      </w:r>
    </w:p>
    <w:p>
      <w:pPr>
        <w:pStyle w:val="ListBullet"/>
      </w:pPr>
      <w:r>
        <w:rPr>
          <w:b/>
        </w:rPr>
        <w:t>IRR（内部收益率）≈ 33.5%</w:t>
      </w:r>
    </w:p>
    <w:p>
      <w:pPr>
        <w:pStyle w:val="ListBullet"/>
      </w:pPr>
      <w:r>
        <w:t>静态投资回收期 ≈ 4.20 年；动态投资回收期 ≈ 5.02 年</w:t>
      </w:r>
    </w:p>
    <w:p>
      <w:pPr>
        <w:pStyle w:val="ListBullet"/>
      </w:pPr>
      <w:r>
        <w:t>盈亏平衡销量 ≈ 36,242 杯/年（约 99% 设计产能；折合约 99 杯/天）</w:t>
      </w:r>
    </w:p>
    <w:p>
      <w:pPr>
        <w:pStyle w:val="Heading3"/>
      </w:pPr>
      <w:r>
        <w:t>敏感性（参数 ±20% 对 NPV 的影响，从大到小）</w:t>
      </w:r>
    </w:p>
    <w:p>
      <w:pPr>
        <w:pStyle w:val="ListBullet"/>
      </w:pPr>
      <w:r>
        <w:t>首年收入：NPV 变动范围 [-25 ~ +23] 万元</w:t>
      </w:r>
    </w:p>
    <w:p>
      <w:pPr>
        <w:pStyle w:val="ListBullet"/>
      </w:pPr>
      <w:r>
        <w:t>固定经营成本：NPV 变动范围 [+18 ~ -20] 万元</w:t>
      </w:r>
    </w:p>
    <w:p>
      <w:pPr>
        <w:pStyle w:val="ListBullet"/>
      </w:pPr>
      <w:r>
        <w:t>变动成本率：NPV 变动范围 [+10 ~ -10] 万元</w:t>
      </w:r>
    </w:p>
    <w:p>
      <w:pPr>
        <w:pStyle w:val="ListBullet"/>
      </w:pPr>
      <w:r>
        <w:t>基准折现率：NPV 变动范围 [+3 ~ -3] 万元</w:t>
      </w:r>
    </w:p>
    <w:p>
      <w:pPr>
        <w:pStyle w:val="ListBullet"/>
      </w:pPr>
      <w:r>
        <w:t>建设投资：NPV 变动范围 [+0 ~ -0] 万元</w:t>
      </w:r>
    </w:p>
    <w:p>
      <w:pPr>
        <w:pStyle w:val="Heading3"/>
      </w:pPr>
      <w:r>
        <w:t>三情景对比</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情景</w:t>
            </w:r>
          </w:p>
        </w:tc>
        <w:tc>
          <w:tcPr>
            <w:tcW w:type="dxa" w:w="2160"/>
          </w:tcPr>
          <w:p>
            <w:r>
              <w:t>NPV(万元)</w:t>
            </w:r>
          </w:p>
        </w:tc>
        <w:tc>
          <w:tcPr>
            <w:tcW w:type="dxa" w:w="2160"/>
          </w:tcPr>
          <w:p>
            <w:r>
              <w:t>IRR</w:t>
            </w:r>
          </w:p>
        </w:tc>
        <w:tc>
          <w:tcPr>
            <w:tcW w:type="dxa" w:w="2160"/>
          </w:tcPr>
          <w:p>
            <w:r>
              <w:t>动态回收期</w:t>
            </w:r>
          </w:p>
        </w:tc>
      </w:tr>
      <w:tr>
        <w:tc>
          <w:tcPr>
            <w:tcW w:type="dxa" w:w="2160"/>
          </w:tcPr>
          <w:p>
            <w:r>
              <w:t>悲观</w:t>
            </w:r>
          </w:p>
        </w:tc>
        <w:tc>
          <w:tcPr>
            <w:tcW w:type="dxa" w:w="2160"/>
          </w:tcPr>
          <w:p>
            <w:r>
              <w:t>-21</w:t>
            </w:r>
          </w:p>
        </w:tc>
        <w:tc>
          <w:tcPr>
            <w:tcW w:type="dxa" w:w="2160"/>
          </w:tcPr>
          <w:p>
            <w:r>
              <w:t>-15.2%</w:t>
            </w:r>
          </w:p>
        </w:tc>
        <w:tc>
          <w:tcPr>
            <w:tcW w:type="dxa" w:w="2160"/>
          </w:tcPr>
          <w:p>
            <w:r>
              <w:t>超期</w:t>
            </w:r>
          </w:p>
        </w:tc>
      </w:tr>
      <w:tr>
        <w:tc>
          <w:tcPr>
            <w:tcW w:type="dxa" w:w="2160"/>
          </w:tcPr>
          <w:p>
            <w:r>
              <w:t>基准</w:t>
            </w:r>
          </w:p>
        </w:tc>
        <w:tc>
          <w:tcPr>
            <w:tcW w:type="dxa" w:w="2160"/>
          </w:tcPr>
          <w:p>
            <w:r>
              <w:t>17</w:t>
            </w:r>
          </w:p>
        </w:tc>
        <w:tc>
          <w:tcPr>
            <w:tcW w:type="dxa" w:w="2160"/>
          </w:tcPr>
          <w:p>
            <w:r>
              <w:t>33.5%</w:t>
            </w:r>
          </w:p>
        </w:tc>
        <w:tc>
          <w:tcPr>
            <w:tcW w:type="dxa" w:w="2160"/>
          </w:tcPr>
          <w:p>
            <w:r>
              <w:t>5.02 年</w:t>
            </w:r>
          </w:p>
        </w:tc>
      </w:tr>
      <w:tr>
        <w:tc>
          <w:tcPr>
            <w:tcW w:type="dxa" w:w="2160"/>
          </w:tcPr>
          <w:p>
            <w:r>
              <w:t>乐观</w:t>
            </w:r>
          </w:p>
        </w:tc>
        <w:tc>
          <w:tcPr>
            <w:tcW w:type="dxa" w:w="2160"/>
          </w:tcPr>
          <w:p>
            <w:r>
              <w:t>53</w:t>
            </w:r>
          </w:p>
        </w:tc>
        <w:tc>
          <w:tcPr>
            <w:tcW w:type="dxa" w:w="2160"/>
          </w:tcPr>
          <w:p>
            <w:r>
              <w:t>91.9%</w:t>
            </w:r>
          </w:p>
        </w:tc>
        <w:tc>
          <w:tcPr>
            <w:tcW w:type="dxa" w:w="2160"/>
          </w:tcPr>
          <w:p>
            <w:r>
              <w:t>1.40 年</w:t>
            </w:r>
          </w:p>
        </w:tc>
      </w:tr>
    </w:tbl>
    <w:p/>
    <w:p>
      <w:pPr>
        <w:pStyle w:val="Heading2"/>
      </w:pPr>
      <w:r>
        <w:t>四、风险分析与对策</w:t>
      </w:r>
    </w:p>
    <w:p>
      <w:r>
        <w:t>本项目风险分析基于财务测算模型结果展开。测算显示，在悲观情景下，项目净现值约为-21万元，表明若关键不利因素同时出现，项目将面临亏损风险。敏感性分析进一步揭示，首年收入与固定经营成本是影响项目财务表现的最核心变量：首年收入每波动±20%，将导致净现值在-25万元至+23万元区间内变化；固定经营成本每波动±20%，净现值相应变化约+18万元至-20万元。此外，项目盈亏平衡所需的产能利用率高达约99%，这意味着项目对产能释放的依赖程度极高，任何产能爬坡不及预期或市场销售受阻都可能使项目迅速滑入亏损区间。</w:t>
      </w:r>
    </w:p>
    <w:p>
      <w:r>
        <w:t>针对上述风险，提出以下对策建议：</w:t>
      </w:r>
    </w:p>
    <w:p>
      <w:r>
        <w:rPr>
          <w:b/>
        </w:rPr>
        <w:t>一、市场与收入风险</w:t>
      </w:r>
    </w:p>
    <w:p>
      <w:r>
        <w:t>首年收入是净现值最敏感的驱动因素。为降低收入不及预期的风险，建议：</w:t>
      </w:r>
    </w:p>
    <w:p>
      <w:r>
        <w:t>1. 在项目启动前完成深度市场调研，与不少于5家潜在核心客户签订意向订单或框架协议，锁定首年基础销量。</w:t>
      </w:r>
    </w:p>
    <w:p>
      <w:r>
        <w:t>2. 制定分梯度的市场推广计划，将首年营销预算的30%作为弹性储备金，根据季度销售达成率动态追加或削减投入。</w:t>
      </w:r>
    </w:p>
    <w:p>
      <w:r>
        <w:t>3. 设立收入预警机制：若季度实际收入低于预算的80%，立即启动产品组合调整或价格促销策略，避免全年收入缺口扩大。</w:t>
      </w:r>
    </w:p>
    <w:p>
      <w:r>
        <w:rPr>
          <w:b/>
        </w:rPr>
        <w:t>二、成本控制风险</w:t>
      </w:r>
    </w:p>
    <w:p>
      <w:r>
        <w:t>固定经营成本波动对净现值的影响同样显著。建议：</w:t>
      </w:r>
    </w:p>
    <w:p>
      <w:r>
        <w:t>1. 对固定成本中的租金、人工、设备维护等大项，签订长期合同或采用固定+浮动计价模式，将年度涨幅控制在3%以内。</w:t>
      </w:r>
    </w:p>
    <w:p>
      <w:r>
        <w:t>2. 建立月度成本监控报表，将固定成本实际值与预算值对比，偏差超过5%时需提交专项分析报告并采取纠偏措施。</w:t>
      </w:r>
    </w:p>
    <w:p>
      <w:r>
        <w:t>3. 推行精益管理，在项目运营初期采用外包或共享服务模式，降低初始固定投入，待收入稳定后再逐步内化。</w:t>
      </w:r>
    </w:p>
    <w:p>
      <w:r>
        <w:rPr>
          <w:b/>
        </w:rPr>
        <w:t>三、产能利用率风险</w:t>
      </w:r>
    </w:p>
    <w:p>
      <w:r>
        <w:t>盈亏平衡产能占比约99%，意味着项目几乎没有容错空间。建议：</w:t>
      </w:r>
    </w:p>
    <w:p>
      <w:r>
        <w:t>1. 将产能建设分两期实施：一期按盈亏平衡点的80%配置产能，预留20%的快速扩产能力（如可租赁设备或外包工序），避免前期产能闲置。</w:t>
      </w:r>
    </w:p>
    <w:p>
      <w:r>
        <w:t>2. 与主要供应商和物流方签订弹性产能协议，确保在需求超预期时能快速增加供给。</w:t>
      </w:r>
    </w:p>
    <w:p>
      <w:r>
        <w:t>3. 制定产能爬坡计划，设定前6个月每月产能利用率提升目标，若连续两个月未达标，则调整销售策略或产品组合。</w:t>
      </w:r>
    </w:p>
    <w:p>
      <w:r>
        <w:rPr>
          <w:b/>
        </w:rPr>
        <w:t>四、综合风险应对</w:t>
      </w:r>
    </w:p>
    <w:p>
      <w:r>
        <w:t>1. 建立风险储备金制度，按项目总投资的5%计提风险准备金，用于应对悲观情景下的现金流缺口。</w:t>
      </w:r>
    </w:p>
    <w:p>
      <w:r>
        <w:t>2. 每季度进行风险再评估，更新敏感性分析，当关键变量偏离基准值超过10%时，重新论证项目可行性并调整经营计划。</w:t>
      </w:r>
    </w:p>
    <w:p>
      <w:r>
        <w:t>3. 在项目合同中设置价格调整条款或最低采购量承诺，与上下游共担风险。</w:t>
      </w:r>
    </w:p>
    <w:p>
      <w:r>
        <w:t>通过上述措施，可将项目净现值低于零的概率控制在较低水平，并确保在风险发生时具备及时应对和调整的能力。</w:t>
      </w:r>
    </w:p>
    <w:p>
      <w:pPr>
        <w:pStyle w:val="Heading2"/>
      </w:pPr>
      <w:r>
        <w:t>五、结论与建议</w:t>
      </w:r>
    </w:p>
    <w:p>
      <w:r>
        <w:rPr>
          <w:b/>
        </w:rPr>
        <w:t>建议实施</w:t>
      </w:r>
      <w:r>
        <w:t>：基准假设下 NPV ≈ 17 万元（≥0），IRR ≈ 33.5%（≥ 基准折现率 10%），项目在经济上可行。 但可行不等于无风险，请结合第四章风险与敏感性结论制定控制措施，并关注盈亏平衡产能占比（约 99%）。</w:t>
      </w:r>
    </w:p>
    <w:p>
      <w:pPr>
        <w:pStyle w:val="Heading2"/>
      </w:pPr>
      <w:r>
        <w:t>附录 A：假设清单</w:t>
      </w:r>
    </w:p>
    <w:tbl>
      <w:tblPr>
        <w:tblStyle w:val="LightGrid-Accent1"/>
        <w:tblW w:type="auto" w:w="0"/>
        <w:tblLook w:firstColumn="1" w:firstRow="1" w:lastColumn="0" w:lastRow="0" w:noHBand="0" w:noVBand="1" w:val="04A0"/>
      </w:tblPr>
      <w:tblGrid>
        <w:gridCol w:w="4320"/>
        <w:gridCol w:w="4320"/>
      </w:tblGrid>
      <w:tr>
        <w:tc>
          <w:tcPr>
            <w:tcW w:type="dxa" w:w="4320"/>
          </w:tcPr>
          <w:p>
            <w:r>
              <w:t>假设项</w:t>
            </w:r>
          </w:p>
        </w:tc>
        <w:tc>
          <w:tcPr>
            <w:tcW w:type="dxa" w:w="4320"/>
          </w:tcPr>
          <w:p>
            <w:r>
              <w:t>取值</w:t>
            </w:r>
          </w:p>
        </w:tc>
      </w:tr>
      <w:tr>
        <w:tc>
          <w:tcPr>
            <w:tcW w:type="dxa" w:w="4320"/>
          </w:tcPr>
          <w:p>
            <w:r>
              <w:t>项目名称</w:t>
            </w:r>
          </w:p>
        </w:tc>
        <w:tc>
          <w:tcPr>
            <w:tcW w:type="dxa" w:w="4320"/>
          </w:tcPr>
          <w:p>
            <w:r>
              <w:t>1+1咖啡</w:t>
            </w:r>
          </w:p>
        </w:tc>
      </w:tr>
      <w:tr>
        <w:tc>
          <w:tcPr>
            <w:tcW w:type="dxa" w:w="4320"/>
          </w:tcPr>
          <w:p>
            <w:r>
              <w:t>所属行业</w:t>
            </w:r>
          </w:p>
        </w:tc>
        <w:tc>
          <w:tcPr>
            <w:tcW w:type="dxa" w:w="4320"/>
          </w:tcPr>
          <w:p>
            <w:r>
              <w:t>餐饮零售</w:t>
            </w:r>
          </w:p>
        </w:tc>
      </w:tr>
      <w:tr>
        <w:tc>
          <w:tcPr>
            <w:tcW w:type="dxa" w:w="4320"/>
          </w:tcPr>
          <w:p>
            <w:r>
              <w:t>计算期（年）</w:t>
            </w:r>
          </w:p>
        </w:tc>
        <w:tc>
          <w:tcPr>
            <w:tcW w:type="dxa" w:w="4320"/>
          </w:tcPr>
          <w:p>
            <w:r>
              <w:t>10</w:t>
            </w:r>
          </w:p>
        </w:tc>
      </w:tr>
      <w:tr>
        <w:tc>
          <w:tcPr>
            <w:tcW w:type="dxa" w:w="4320"/>
          </w:tcPr>
          <w:p>
            <w:r>
              <w:t>基准折现率</w:t>
            </w:r>
          </w:p>
        </w:tc>
        <w:tc>
          <w:tcPr>
            <w:tcW w:type="dxa" w:w="4320"/>
          </w:tcPr>
          <w:p>
            <w:r>
              <w:t>10.0%</w:t>
            </w:r>
          </w:p>
        </w:tc>
      </w:tr>
      <w:tr>
        <w:tc>
          <w:tcPr>
            <w:tcW w:type="dxa" w:w="4320"/>
          </w:tcPr>
          <w:p>
            <w:r>
              <w:t>建设投资（元）</w:t>
            </w:r>
          </w:p>
        </w:tc>
        <w:tc>
          <w:tcPr>
            <w:tcW w:type="dxa" w:w="4320"/>
          </w:tcPr>
          <w:p>
            <w:r>
              <w:t>26,000</w:t>
            </w:r>
          </w:p>
        </w:tc>
      </w:tr>
      <w:tr>
        <w:tc>
          <w:tcPr>
            <w:tcW w:type="dxa" w:w="4320"/>
          </w:tcPr>
          <w:p>
            <w:r>
              <w:t>流动资金（元）</w:t>
            </w:r>
          </w:p>
        </w:tc>
        <w:tc>
          <w:tcPr>
            <w:tcW w:type="dxa" w:w="4320"/>
          </w:tcPr>
          <w:p>
            <w:r>
              <w:t>45,000</w:t>
            </w:r>
          </w:p>
        </w:tc>
      </w:tr>
      <w:tr>
        <w:tc>
          <w:tcPr>
            <w:tcW w:type="dxa" w:w="4320"/>
          </w:tcPr>
          <w:p>
            <w:r>
              <w:t>首年营业收入（元）</w:t>
            </w:r>
          </w:p>
        </w:tc>
        <w:tc>
          <w:tcPr>
            <w:tcW w:type="dxa" w:w="4320"/>
          </w:tcPr>
          <w:p>
            <w:r>
              <w:t>292,000</w:t>
            </w:r>
          </w:p>
        </w:tc>
      </w:tr>
      <w:tr>
        <w:tc>
          <w:tcPr>
            <w:tcW w:type="dxa" w:w="4320"/>
          </w:tcPr>
          <w:p>
            <w:r>
              <w:t>收入年增速</w:t>
            </w:r>
          </w:p>
        </w:tc>
        <w:tc>
          <w:tcPr>
            <w:tcW w:type="dxa" w:w="4320"/>
          </w:tcPr>
          <w:p>
            <w:r>
              <w:t>5.0%</w:t>
            </w:r>
          </w:p>
        </w:tc>
      </w:tr>
      <w:tr>
        <w:tc>
          <w:tcPr>
            <w:tcW w:type="dxa" w:w="4320"/>
          </w:tcPr>
          <w:p>
            <w:r>
              <w:t>变动成本占收入比</w:t>
            </w:r>
          </w:p>
        </w:tc>
        <w:tc>
          <w:tcPr>
            <w:tcW w:type="dxa" w:w="4320"/>
          </w:tcPr>
          <w:p>
            <w:r>
              <w:t>30.0%</w:t>
            </w:r>
          </w:p>
        </w:tc>
      </w:tr>
      <w:tr>
        <w:tc>
          <w:tcPr>
            <w:tcW w:type="dxa" w:w="4320"/>
          </w:tcPr>
          <w:p>
            <w:r>
              <w:t>年固定经营成本（元）</w:t>
            </w:r>
          </w:p>
        </w:tc>
        <w:tc>
          <w:tcPr>
            <w:tcW w:type="dxa" w:w="4320"/>
          </w:tcPr>
          <w:p>
            <w:r>
              <w:t>200,000</w:t>
            </w:r>
          </w:p>
        </w:tc>
      </w:tr>
      <w:tr>
        <w:tc>
          <w:tcPr>
            <w:tcW w:type="dxa" w:w="4320"/>
          </w:tcPr>
          <w:p>
            <w:r>
              <w:t>折旧年限（年）</w:t>
            </w:r>
          </w:p>
        </w:tc>
        <w:tc>
          <w:tcPr>
            <w:tcW w:type="dxa" w:w="4320"/>
          </w:tcPr>
          <w:p>
            <w:r>
              <w:t>8</w:t>
            </w:r>
          </w:p>
        </w:tc>
      </w:tr>
      <w:tr>
        <w:tc>
          <w:tcPr>
            <w:tcW w:type="dxa" w:w="4320"/>
          </w:tcPr>
          <w:p>
            <w:r>
              <w:t>残值率</w:t>
            </w:r>
          </w:p>
        </w:tc>
        <w:tc>
          <w:tcPr>
            <w:tcW w:type="dxa" w:w="4320"/>
          </w:tcPr>
          <w:p>
            <w:r>
              <w:t>9.0%</w:t>
            </w:r>
          </w:p>
        </w:tc>
      </w:tr>
      <w:tr>
        <w:tc>
          <w:tcPr>
            <w:tcW w:type="dxa" w:w="4320"/>
          </w:tcPr>
          <w:p>
            <w:r>
              <w:t>所得税率</w:t>
            </w:r>
          </w:p>
        </w:tc>
        <w:tc>
          <w:tcPr>
            <w:tcW w:type="dxa" w:w="4320"/>
          </w:tcPr>
          <w:p>
            <w:r>
              <w:t>25.0%</w:t>
            </w:r>
          </w:p>
        </w:tc>
      </w:tr>
      <w:tr>
        <w:tc>
          <w:tcPr>
            <w:tcW w:type="dxa" w:w="4320"/>
          </w:tcPr>
          <w:p>
            <w:r>
              <w:t>设计年销量（杯）</w:t>
            </w:r>
          </w:p>
        </w:tc>
        <w:tc>
          <w:tcPr>
            <w:tcW w:type="dxa" w:w="4320"/>
          </w:tcPr>
          <w:p>
            <w:r>
              <w:t>36,500</w:t>
            </w:r>
          </w:p>
        </w:tc>
      </w:tr>
      <w:tr>
        <w:tc>
          <w:tcPr>
            <w:tcW w:type="dxa" w:w="4320"/>
          </w:tcPr>
          <w:p>
            <w:r>
              <w:t>平均单价（元/杯）</w:t>
            </w:r>
          </w:p>
        </w:tc>
        <w:tc>
          <w:tcPr>
            <w:tcW w:type="dxa" w:w="4320"/>
          </w:tcPr>
          <w:p>
            <w:r>
              <w:t>8</w:t>
            </w:r>
          </w:p>
        </w:tc>
      </w:tr>
    </w:tbl>
    <w:p/>
    <w:p>
      <w:pPr>
        <w:pStyle w:val="Heading2"/>
      </w:pPr>
      <w:r>
        <w:t>附录 B：假设审核意见</w:t>
      </w:r>
    </w:p>
    <w:p>
      <w:r>
        <w:t xml:space="preserve">1. </w:t>
      </w:r>
      <w:r>
        <w:rPr>
          <w:b/>
        </w:rPr>
        <w:t>首年营业收入</w:t>
      </w:r>
      <w:r>
        <w:t>：首年营业收入292,000元是否基于实际市场调研或历史数据？是否考虑了淡旺季、开业爬坡期等因素？（建议：建议提供收入预测依据，并考虑首年运营不满12个月或市场导入期收入较低的情况，可设置分阶段收入预测。）</w:t>
      </w:r>
    </w:p>
    <w:p>
      <w:r>
        <w:t xml:space="preserve">2. </w:t>
      </w:r>
      <w:r>
        <w:rPr>
          <w:b/>
        </w:rPr>
        <w:t>收入年增速</w:t>
      </w:r>
      <w:r>
        <w:t>：5%的恒定年增速是否过于乐观？餐饮行业竞争激烈，且10年期内可能面临市场饱和、替代品冲击等风险。（建议：建议采用分段增速，如前3年较高（如8%），之后逐年递减至2%-3%，并考虑负增长情景。）</w:t>
      </w:r>
    </w:p>
    <w:p>
      <w:r>
        <w:t xml:space="preserve">3. </w:t>
      </w:r>
      <w:r>
        <w:rPr>
          <w:b/>
        </w:rPr>
        <w:t>变动成本占收入比</w:t>
      </w:r>
      <w:r>
        <w:t>：30%的变动成本占比是否合理？咖啡行业原材料、包装等成本通常占收入30%-40%，且可能随通胀上升。（建议：建议参考同行业数据，将变动成本占比设为35%-40%，并考虑每年小幅上升（如0.5个百分点）以反映成本通胀。）</w:t>
      </w:r>
    </w:p>
    <w:p>
      <w:r>
        <w:t xml:space="preserve">4. </w:t>
      </w:r>
      <w:r>
        <w:rPr>
          <w:b/>
        </w:rPr>
        <w:t>年固定经营成本</w:t>
      </w:r>
      <w:r>
        <w:t>：年固定经营成本200,000元是否包含租金、人工、水电等所有固定支出？是否考虑了未来租金上涨和人工成本增加？（建议：建议明确固定成本构成，并假设年固定成本每年增长3%-5%，以反映通胀和经营规模扩大。）</w:t>
      </w:r>
    </w:p>
    <w:p>
      <w:r>
        <w:t xml:space="preserve">5. </w:t>
      </w:r>
      <w:r>
        <w:rPr>
          <w:b/>
        </w:rPr>
        <w:t>设计年销量</w:t>
      </w:r>
      <w:r>
        <w:t>：设计年销量36,500杯（即日均100杯）是否基于客流量、营业时间、出品效率等实际测算？是否考虑了节假日和天气影响？（建议：建议提供销量测算依据，并设置保守、基准、乐观三档销量情景，以评估项目抗风险能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微软雅黑" w:hAnsi="微软雅黑"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微软雅黑" w:hAnsi="微软雅黑" w:eastAsia="微软雅黑"/>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