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81B" w:rsidRPr="001F381B" w:rsidRDefault="00671595" w:rsidP="001F381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TP3 Big data and Machine </w:t>
      </w:r>
      <w:proofErr w:type="spellStart"/>
      <w:r>
        <w:rPr>
          <w:rFonts w:asciiTheme="minorHAnsi" w:hAnsiTheme="minorHAnsi" w:cstheme="minorHAnsi"/>
          <w:sz w:val="22"/>
          <w:szCs w:val="22"/>
        </w:rPr>
        <w:t>Learning</w:t>
      </w:r>
      <w:proofErr w:type="spellEnd"/>
      <w:r>
        <w:rPr>
          <w:rFonts w:asciiTheme="minorHAnsi" w:hAnsiTheme="minorHAnsi" w:cstheme="minorHAnsi"/>
          <w:sz w:val="22"/>
          <w:szCs w:val="22"/>
        </w:rPr>
        <w:br/>
        <w:t>Franco Bustelo</w:t>
      </w:r>
      <w:r>
        <w:rPr>
          <w:rFonts w:asciiTheme="minorHAnsi" w:hAnsiTheme="minorHAnsi" w:cstheme="minorHAnsi"/>
          <w:sz w:val="22"/>
          <w:szCs w:val="22"/>
        </w:rPr>
        <w:br/>
        <w:t>Juan Pablo Tomasello</w:t>
      </w:r>
      <w:r>
        <w:rPr>
          <w:rFonts w:asciiTheme="minorHAnsi" w:hAnsiTheme="minorHAnsi" w:cstheme="minorHAnsi"/>
          <w:sz w:val="22"/>
          <w:szCs w:val="22"/>
        </w:rPr>
        <w:br/>
        <w:t>David Agudelo</w:t>
      </w:r>
      <w:r>
        <w:rPr>
          <w:rFonts w:asciiTheme="minorHAnsi" w:hAnsiTheme="minorHAnsi" w:cstheme="minorHAnsi"/>
          <w:sz w:val="22"/>
          <w:szCs w:val="22"/>
        </w:rPr>
        <w:br/>
      </w:r>
      <w:r w:rsidR="001F381B" w:rsidRPr="001F381B">
        <w:drawing>
          <wp:inline distT="0" distB="0" distL="0" distR="0" wp14:anchorId="79D0F912" wp14:editId="60F02950">
            <wp:extent cx="4116744" cy="2409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5353" cy="242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81B">
        <w:br/>
      </w:r>
      <w:r w:rsidR="001F381B" w:rsidRPr="001F381B">
        <w:rPr>
          <w:rFonts w:asciiTheme="minorHAnsi" w:hAnsiTheme="minorHAnsi" w:cstheme="minorHAnsi"/>
          <w:sz w:val="22"/>
          <w:szCs w:val="22"/>
        </w:rPr>
        <w:t xml:space="preserve">El gráfico muestra un </w:t>
      </w:r>
      <w:r w:rsidR="001F381B" w:rsidRPr="001F381B">
        <w:rPr>
          <w:rFonts w:asciiTheme="minorHAnsi" w:hAnsiTheme="minorHAnsi" w:cstheme="minorHAnsi"/>
          <w:bCs/>
          <w:sz w:val="22"/>
          <w:szCs w:val="22"/>
        </w:rPr>
        <w:t>histograma comparativo de la variable Edad2</w:t>
      </w:r>
      <w:r w:rsidR="001F381B" w:rsidRPr="001F381B">
        <w:rPr>
          <w:rFonts w:asciiTheme="minorHAnsi" w:hAnsiTheme="minorHAnsi" w:cstheme="minorHAnsi"/>
          <w:sz w:val="22"/>
          <w:szCs w:val="22"/>
        </w:rPr>
        <w:t xml:space="preserve"> (elevada al cuadrado y luego con raíz cuadrada, por lo que es equivalente a Edad2) para los años </w:t>
      </w:r>
      <w:r w:rsidR="001F381B" w:rsidRPr="001F381B">
        <w:rPr>
          <w:rFonts w:asciiTheme="minorHAnsi" w:hAnsiTheme="minorHAnsi" w:cstheme="minorHAnsi"/>
          <w:bCs/>
          <w:sz w:val="22"/>
          <w:szCs w:val="22"/>
        </w:rPr>
        <w:t>2004</w:t>
      </w:r>
      <w:r w:rsidR="001F381B" w:rsidRPr="001F381B">
        <w:rPr>
          <w:rFonts w:asciiTheme="minorHAnsi" w:hAnsiTheme="minorHAnsi" w:cstheme="minorHAnsi"/>
          <w:sz w:val="22"/>
          <w:szCs w:val="22"/>
        </w:rPr>
        <w:t xml:space="preserve"> (en azul) y </w:t>
      </w:r>
      <w:r w:rsidR="001F381B" w:rsidRPr="001F381B">
        <w:rPr>
          <w:rFonts w:asciiTheme="minorHAnsi" w:hAnsiTheme="minorHAnsi" w:cstheme="minorHAnsi"/>
          <w:bCs/>
          <w:sz w:val="22"/>
          <w:szCs w:val="22"/>
        </w:rPr>
        <w:t>2024</w:t>
      </w:r>
      <w:r w:rsidR="001F381B" w:rsidRPr="001F381B">
        <w:rPr>
          <w:rFonts w:asciiTheme="minorHAnsi" w:hAnsiTheme="minorHAnsi" w:cstheme="minorHAnsi"/>
          <w:sz w:val="22"/>
          <w:szCs w:val="22"/>
        </w:rPr>
        <w:t xml:space="preserve"> (en verde).</w:t>
      </w:r>
    </w:p>
    <w:p w:rsidR="001F381B" w:rsidRDefault="001F381B" w:rsidP="001F381B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bCs/>
          <w:lang w:eastAsia="es-AR"/>
        </w:rPr>
        <w:t>Se puede ver que tiene una d</w:t>
      </w:r>
      <w:r w:rsidRPr="001F381B">
        <w:rPr>
          <w:rFonts w:eastAsia="Times New Roman" w:cstheme="minorHAnsi"/>
          <w:bCs/>
          <w:lang w:eastAsia="es-AR"/>
        </w:rPr>
        <w:t>istribución decreciente en ambos años</w:t>
      </w:r>
      <w:r>
        <w:rPr>
          <w:rFonts w:eastAsia="Times New Roman" w:cstheme="minorHAnsi"/>
          <w:lang w:eastAsia="es-AR"/>
        </w:rPr>
        <w:t>.</w:t>
      </w:r>
      <w:r w:rsidRPr="001F381B">
        <w:rPr>
          <w:rFonts w:eastAsia="Times New Roman" w:cstheme="minorHAnsi"/>
          <w:lang w:eastAsia="es-AR"/>
        </w:rPr>
        <w:t xml:space="preserve"> En ambos años, la mayor parte de los datos está concentrada en los valores bajos de </w:t>
      </w:r>
      <w:r w:rsidR="00584D22">
        <w:rPr>
          <w:rFonts w:eastAsia="Times New Roman" w:cstheme="minorHAnsi"/>
          <w:lang w:eastAsia="es-AR"/>
        </w:rPr>
        <w:t>e</w:t>
      </w:r>
      <w:r w:rsidRPr="001F381B">
        <w:rPr>
          <w:rFonts w:eastAsia="Times New Roman" w:cstheme="minorHAnsi"/>
          <w:lang w:eastAsia="es-AR"/>
        </w:rPr>
        <w:t>dad2, lo que sugiere que la mayoría de las personas tienen valores pequeños de esta variable</w:t>
      </w:r>
      <w:r>
        <w:rPr>
          <w:rFonts w:eastAsia="Times New Roman" w:cstheme="minorHAnsi"/>
          <w:lang w:eastAsia="es-AR"/>
        </w:rPr>
        <w:t>.</w:t>
      </w:r>
      <w:r>
        <w:rPr>
          <w:rFonts w:eastAsia="Times New Roman" w:cstheme="minorHAnsi"/>
          <w:lang w:eastAsia="es-AR"/>
        </w:rPr>
        <w:br/>
      </w:r>
      <w:r>
        <w:rPr>
          <w:rFonts w:eastAsia="Times New Roman" w:cstheme="minorHAnsi"/>
          <w:bCs/>
          <w:lang w:eastAsia="es-AR"/>
        </w:rPr>
        <w:t>Hay d</w:t>
      </w:r>
      <w:r w:rsidRPr="001F381B">
        <w:rPr>
          <w:rFonts w:eastAsia="Times New Roman" w:cstheme="minorHAnsi"/>
          <w:bCs/>
          <w:lang w:eastAsia="es-AR"/>
        </w:rPr>
        <w:t>iferencias leves entre 2004 y 2024</w:t>
      </w:r>
      <w:r>
        <w:rPr>
          <w:rFonts w:eastAsia="Times New Roman" w:cstheme="minorHAnsi"/>
          <w:lang w:eastAsia="es-AR"/>
        </w:rPr>
        <w:t>.</w:t>
      </w:r>
      <w:r w:rsidRPr="001F381B">
        <w:rPr>
          <w:rFonts w:eastAsia="Times New Roman" w:cstheme="minorHAnsi"/>
          <w:lang w:eastAsia="es-AR"/>
        </w:rPr>
        <w:t xml:space="preserve"> </w:t>
      </w:r>
      <w:r>
        <w:rPr>
          <w:rFonts w:eastAsia="Times New Roman" w:cstheme="minorHAnsi"/>
          <w:lang w:eastAsia="es-AR"/>
        </w:rPr>
        <w:t xml:space="preserve">En varios rangos medios de 1000 a 4000 </w:t>
      </w:r>
      <w:r w:rsidRPr="001F381B">
        <w:rPr>
          <w:rFonts w:eastAsia="Times New Roman" w:cstheme="minorHAnsi"/>
          <w:lang w:eastAsia="es-AR"/>
        </w:rPr>
        <w:t xml:space="preserve">se observa que hay </w:t>
      </w:r>
      <w:r w:rsidRPr="001F381B">
        <w:rPr>
          <w:rFonts w:eastAsia="Times New Roman" w:cstheme="minorHAnsi"/>
          <w:bCs/>
          <w:lang w:eastAsia="es-AR"/>
        </w:rPr>
        <w:t>ligeramente más casos en 2024 que en 2004</w:t>
      </w:r>
      <w:r w:rsidRPr="001F381B">
        <w:rPr>
          <w:rFonts w:eastAsia="Times New Roman" w:cstheme="minorHAnsi"/>
          <w:lang w:eastAsia="es-AR"/>
        </w:rPr>
        <w:t>, lo que podría indicar un pequeño envejecimiento de la población o cambios en la estructura etaria.</w:t>
      </w:r>
      <w:r>
        <w:rPr>
          <w:rFonts w:eastAsia="Times New Roman" w:cstheme="minorHAnsi"/>
          <w:lang w:eastAsia="es-AR"/>
        </w:rPr>
        <w:t xml:space="preserve"> Y por otro lado se puede ver también que </w:t>
      </w:r>
      <w:r w:rsidRPr="001F381B">
        <w:rPr>
          <w:rFonts w:eastAsia="Times New Roman" w:cstheme="minorHAnsi"/>
          <w:lang w:eastAsia="es-AR"/>
        </w:rPr>
        <w:t xml:space="preserve">la estructura poblacional no cambió drásticamente, aunque sí se aprecian </w:t>
      </w:r>
      <w:r w:rsidRPr="001F381B">
        <w:rPr>
          <w:rFonts w:eastAsia="Times New Roman" w:cstheme="minorHAnsi"/>
          <w:bCs/>
          <w:lang w:eastAsia="es-AR"/>
        </w:rPr>
        <w:t>algunos desplazamientos</w:t>
      </w:r>
      <w:r w:rsidRPr="001F381B">
        <w:rPr>
          <w:rFonts w:eastAsia="Times New Roman" w:cstheme="minorHAnsi"/>
          <w:lang w:eastAsia="es-AR"/>
        </w:rPr>
        <w:t xml:space="preserve"> en ciertas edades.</w:t>
      </w:r>
    </w:p>
    <w:p w:rsidR="00A13313" w:rsidRDefault="00584D22" w:rsidP="001F381B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 w:rsidRPr="00584D22">
        <w:rPr>
          <w:rFonts w:eastAsia="Times New Roman" w:cstheme="minorHAnsi"/>
          <w:lang w:eastAsia="es-AR"/>
        </w:rPr>
        <w:drawing>
          <wp:inline distT="0" distB="0" distL="0" distR="0" wp14:anchorId="1964DC10" wp14:editId="53994E90">
            <wp:extent cx="5400040" cy="30219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13" w:rsidRPr="001F381B" w:rsidRDefault="00A13313" w:rsidP="001F381B">
      <w:pPr>
        <w:spacing w:before="100" w:beforeAutospacing="1" w:after="100" w:afterAutospacing="1" w:line="240" w:lineRule="auto"/>
        <w:rPr>
          <w:rFonts w:eastAsia="Times New Roman" w:cstheme="minorHAnsi"/>
          <w:lang w:eastAsia="es-AR"/>
        </w:rPr>
      </w:pPr>
      <w:r>
        <w:t xml:space="preserve">El gráfico muestra que en ambos años la mayoría de la población se concentra en edades jóvenes. En 2024 hay una mayor proporción de personas en edades medias y mayores </w:t>
      </w:r>
      <w:r>
        <w:lastRenderedPageBreak/>
        <w:t>respecto a 2004, lo que sugiere un leve envejecimiento poblacional.</w:t>
      </w:r>
      <w:r w:rsidR="00584D22">
        <w:t xml:space="preserve"> Estas edades son más claras ya que se están usando las reales y no las que fueron elevadas al cuadrado</w:t>
      </w:r>
    </w:p>
    <w:p w:rsidR="001F381B" w:rsidRPr="001F381B" w:rsidRDefault="001F381B">
      <w:r>
        <w:br w:type="page"/>
      </w:r>
    </w:p>
    <w:p w:rsidR="00A13313" w:rsidRPr="00A13313" w:rsidRDefault="00A13313" w:rsidP="00A1331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71595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lastRenderedPageBreak/>
        <w:drawing>
          <wp:inline distT="0" distB="0" distL="0" distR="0" wp14:anchorId="3828C54B" wp14:editId="6249A151">
            <wp:extent cx="4192445" cy="2495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5169" cy="250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595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A13313">
        <w:rPr>
          <w:rFonts w:eastAsia="Times New Roman" w:cstheme="minorHAnsi"/>
          <w:szCs w:val="24"/>
          <w:lang w:eastAsia="es-AR"/>
        </w:rPr>
        <w:t>La distribución muestra que los desocupados (línea roja) se concentran principalmente entre los 20 y 25 años, mientras que los ocupados (línea azul) están más distribuidos en edades mayores.</w:t>
      </w:r>
    </w:p>
    <w:p w:rsidR="001F381B" w:rsidRPr="001F381B" w:rsidRDefault="001F381B"/>
    <w:p w:rsidR="00A13313" w:rsidRDefault="00584D22">
      <w:r w:rsidRPr="00584D22">
        <w:drawing>
          <wp:inline distT="0" distB="0" distL="0" distR="0" wp14:anchorId="18574571" wp14:editId="62C8784C">
            <wp:extent cx="3943900" cy="32961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313">
        <w:br/>
      </w:r>
      <w:r w:rsidR="00A13313">
        <w:br/>
      </w:r>
      <w:r w:rsidR="00A13313" w:rsidRPr="00A13313">
        <w:rPr>
          <w:b/>
        </w:rPr>
        <w:t>Panel A</w:t>
      </w:r>
      <w:r w:rsidR="00A13313">
        <w:t xml:space="preserve">: Histograma del salario semanal </w:t>
      </w:r>
      <w:r w:rsidR="00A13313">
        <w:br/>
      </w:r>
      <w:r w:rsidR="00A13313">
        <w:t>Muestra que la mayoría de los ocupados gana entre 100 y 400 pesos semanales (ajustados a</w:t>
      </w:r>
      <w:r w:rsidR="00A13313">
        <w:t xml:space="preserve"> pesos de</w:t>
      </w:r>
      <w:r w:rsidR="00A13313">
        <w:t xml:space="preserve"> 2024), con una alta frecuencia en los tramos</w:t>
      </w:r>
      <w:r w:rsidR="00A13313">
        <w:t xml:space="preserve"> más</w:t>
      </w:r>
      <w:r w:rsidR="00A13313">
        <w:t xml:space="preserve"> bajos.</w:t>
      </w:r>
      <w:r w:rsidR="00A13313">
        <w:br/>
      </w:r>
      <w:r w:rsidR="00A13313">
        <w:br/>
      </w:r>
      <w:bookmarkStart w:id="0" w:name="_GoBack"/>
      <w:r w:rsidRPr="00584D22">
        <w:lastRenderedPageBreak/>
        <w:drawing>
          <wp:inline distT="0" distB="0" distL="0" distR="0" wp14:anchorId="102DB527" wp14:editId="4ACEB53F">
            <wp:extent cx="3972479" cy="329611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13313">
        <w:br/>
      </w:r>
      <w:r w:rsidR="00A13313" w:rsidRPr="00A13313">
        <w:rPr>
          <w:b/>
        </w:rPr>
        <w:t>Panel B</w:t>
      </w:r>
      <w:r w:rsidR="00A13313">
        <w:t xml:space="preserve">: Densidad de salario semanal </w:t>
      </w:r>
      <w:r w:rsidR="00A13313">
        <w:br/>
      </w:r>
      <w:r w:rsidR="00A13313">
        <w:t>Refuerza la concentración en salarios bajos y revela una distribución as</w:t>
      </w:r>
      <w:r>
        <w:t>imétrica con larga cola derecha. Este histograma nos está</w:t>
      </w:r>
      <w:r w:rsidR="00A13313">
        <w:t xml:space="preserve"> indicando</w:t>
      </w:r>
      <w:r>
        <w:t xml:space="preserve"> que hay</w:t>
      </w:r>
      <w:r w:rsidR="00A13313">
        <w:t xml:space="preserve"> pocos casos con ingresos altos.</w:t>
      </w:r>
      <w:r w:rsidR="00103123">
        <w:br/>
      </w:r>
      <w:r w:rsidR="00103123">
        <w:br/>
      </w:r>
      <w:r w:rsidR="00103123">
        <w:br/>
      </w:r>
    </w:p>
    <w:tbl>
      <w:tblPr>
        <w:tblStyle w:val="Tablaconcuadrcula"/>
        <w:tblpPr w:leftFromText="141" w:rightFromText="141" w:vertAnchor="page" w:horzAnchor="margin" w:tblpY="8521"/>
        <w:tblW w:w="0" w:type="auto"/>
        <w:tblLook w:val="04A0" w:firstRow="1" w:lastRow="0" w:firstColumn="1" w:lastColumn="0" w:noHBand="0" w:noVBand="1"/>
      </w:tblPr>
      <w:tblGrid>
        <w:gridCol w:w="2108"/>
        <w:gridCol w:w="1613"/>
        <w:gridCol w:w="1861"/>
        <w:gridCol w:w="1861"/>
      </w:tblGrid>
      <w:tr w:rsidR="00584D22" w:rsidTr="00584D22">
        <w:trPr>
          <w:trHeight w:val="259"/>
        </w:trPr>
        <w:tc>
          <w:tcPr>
            <w:tcW w:w="2108" w:type="dxa"/>
          </w:tcPr>
          <w:p w:rsidR="00584D22" w:rsidRDefault="00584D22" w:rsidP="00584D22"/>
        </w:tc>
        <w:tc>
          <w:tcPr>
            <w:tcW w:w="1613" w:type="dxa"/>
          </w:tcPr>
          <w:p w:rsidR="00584D22" w:rsidRDefault="00584D22" w:rsidP="00584D22">
            <w:r>
              <w:t>2004</w:t>
            </w:r>
          </w:p>
        </w:tc>
        <w:tc>
          <w:tcPr>
            <w:tcW w:w="1861" w:type="dxa"/>
          </w:tcPr>
          <w:p w:rsidR="00584D22" w:rsidRDefault="00584D22" w:rsidP="00584D22">
            <w:r>
              <w:t>2024</w:t>
            </w:r>
          </w:p>
        </w:tc>
        <w:tc>
          <w:tcPr>
            <w:tcW w:w="1861" w:type="dxa"/>
          </w:tcPr>
          <w:p w:rsidR="00584D22" w:rsidRDefault="00584D22" w:rsidP="00584D22">
            <w:r>
              <w:t>Total</w:t>
            </w:r>
          </w:p>
        </w:tc>
      </w:tr>
      <w:tr w:rsidR="00584D22" w:rsidTr="00584D22">
        <w:trPr>
          <w:trHeight w:val="475"/>
        </w:trPr>
        <w:tc>
          <w:tcPr>
            <w:tcW w:w="2108" w:type="dxa"/>
          </w:tcPr>
          <w:p w:rsidR="00584D22" w:rsidRDefault="00584D22" w:rsidP="00584D22">
            <w:proofErr w:type="spellStart"/>
            <w:r>
              <w:t>Cant</w:t>
            </w:r>
            <w:proofErr w:type="spellEnd"/>
            <w:r>
              <w:t>. de observaciones</w:t>
            </w:r>
          </w:p>
        </w:tc>
        <w:tc>
          <w:tcPr>
            <w:tcW w:w="1613" w:type="dxa"/>
          </w:tcPr>
          <w:p w:rsidR="00584D22" w:rsidRPr="007D7F37" w:rsidRDefault="00584D22" w:rsidP="00584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lang w:eastAsia="es-AR"/>
              </w:rPr>
            </w:pPr>
            <w:r w:rsidRPr="007D7F37">
              <w:rPr>
                <w:rFonts w:ascii="Consolas" w:eastAsia="Times New Roman" w:hAnsi="Consolas" w:cs="Courier New"/>
                <w:sz w:val="20"/>
                <w:szCs w:val="20"/>
                <w:lang w:eastAsia="es-AR"/>
              </w:rPr>
              <w:t>45289</w:t>
            </w:r>
          </w:p>
          <w:p w:rsidR="00584D22" w:rsidRDefault="00584D22" w:rsidP="00584D22"/>
        </w:tc>
        <w:tc>
          <w:tcPr>
            <w:tcW w:w="1861" w:type="dxa"/>
          </w:tcPr>
          <w:p w:rsidR="00584D22" w:rsidRDefault="00584D22" w:rsidP="00584D22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46050</w:t>
            </w:r>
          </w:p>
          <w:p w:rsidR="00584D22" w:rsidRDefault="00584D22" w:rsidP="00584D22"/>
        </w:tc>
        <w:tc>
          <w:tcPr>
            <w:tcW w:w="1861" w:type="dxa"/>
          </w:tcPr>
          <w:p w:rsidR="00584D22" w:rsidRDefault="00584D22" w:rsidP="00584D22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91339</w:t>
            </w:r>
          </w:p>
          <w:p w:rsidR="00584D22" w:rsidRDefault="00584D22" w:rsidP="00584D22"/>
        </w:tc>
      </w:tr>
      <w:tr w:rsidR="00584D22" w:rsidTr="00584D22">
        <w:trPr>
          <w:trHeight w:val="764"/>
        </w:trPr>
        <w:tc>
          <w:tcPr>
            <w:tcW w:w="2108" w:type="dxa"/>
          </w:tcPr>
          <w:p w:rsidR="00584D22" w:rsidRDefault="00584D22" w:rsidP="00584D22">
            <w:r>
              <w:t xml:space="preserve">Can. De observaciones con </w:t>
            </w:r>
            <w:proofErr w:type="spellStart"/>
            <w:r>
              <w:t>nas</w:t>
            </w:r>
            <w:proofErr w:type="spellEnd"/>
            <w:r>
              <w:t xml:space="preserve"> en la variable “Estado”</w:t>
            </w:r>
          </w:p>
        </w:tc>
        <w:tc>
          <w:tcPr>
            <w:tcW w:w="1613" w:type="dxa"/>
          </w:tcPr>
          <w:p w:rsidR="00584D22" w:rsidRDefault="00584D22" w:rsidP="00584D22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</w:t>
            </w:r>
          </w:p>
          <w:p w:rsidR="00584D22" w:rsidRDefault="00584D22" w:rsidP="00584D22"/>
        </w:tc>
        <w:tc>
          <w:tcPr>
            <w:tcW w:w="1861" w:type="dxa"/>
          </w:tcPr>
          <w:p w:rsidR="00584D22" w:rsidRDefault="00584D22" w:rsidP="00584D22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81</w:t>
            </w:r>
          </w:p>
          <w:p w:rsidR="00584D22" w:rsidRDefault="00584D22" w:rsidP="00584D22"/>
        </w:tc>
        <w:tc>
          <w:tcPr>
            <w:tcW w:w="1861" w:type="dxa"/>
          </w:tcPr>
          <w:p w:rsidR="00584D22" w:rsidRDefault="00584D22" w:rsidP="00584D22">
            <w:r>
              <w:t>116</w:t>
            </w:r>
          </w:p>
        </w:tc>
      </w:tr>
      <w:tr w:rsidR="00584D22" w:rsidTr="00584D22">
        <w:trPr>
          <w:trHeight w:val="475"/>
        </w:trPr>
        <w:tc>
          <w:tcPr>
            <w:tcW w:w="2108" w:type="dxa"/>
          </w:tcPr>
          <w:p w:rsidR="00584D22" w:rsidRDefault="00584D22" w:rsidP="00584D22">
            <w:r>
              <w:t>Cantidad de ocupados</w:t>
            </w:r>
          </w:p>
        </w:tc>
        <w:tc>
          <w:tcPr>
            <w:tcW w:w="1613" w:type="dxa"/>
          </w:tcPr>
          <w:p w:rsidR="00584D22" w:rsidRDefault="00584D22" w:rsidP="00584D22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17022</w:t>
            </w:r>
          </w:p>
          <w:p w:rsidR="00584D22" w:rsidRDefault="00584D22" w:rsidP="00584D22"/>
        </w:tc>
        <w:tc>
          <w:tcPr>
            <w:tcW w:w="1861" w:type="dxa"/>
          </w:tcPr>
          <w:p w:rsidR="00584D22" w:rsidRDefault="00584D22" w:rsidP="00584D22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20325</w:t>
            </w:r>
          </w:p>
          <w:p w:rsidR="00584D22" w:rsidRDefault="00584D22" w:rsidP="00584D22"/>
        </w:tc>
        <w:tc>
          <w:tcPr>
            <w:tcW w:w="1861" w:type="dxa"/>
          </w:tcPr>
          <w:p w:rsidR="00584D22" w:rsidRDefault="00584D22" w:rsidP="00584D22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37347</w:t>
            </w:r>
          </w:p>
          <w:p w:rsidR="00584D22" w:rsidRDefault="00584D22" w:rsidP="00584D22"/>
        </w:tc>
      </w:tr>
      <w:tr w:rsidR="00584D22" w:rsidTr="00584D22">
        <w:trPr>
          <w:trHeight w:val="519"/>
        </w:trPr>
        <w:tc>
          <w:tcPr>
            <w:tcW w:w="2108" w:type="dxa"/>
          </w:tcPr>
          <w:p w:rsidR="00584D22" w:rsidRDefault="00584D22" w:rsidP="00584D22">
            <w:r>
              <w:t>Cantidad de desocupados</w:t>
            </w:r>
          </w:p>
        </w:tc>
        <w:tc>
          <w:tcPr>
            <w:tcW w:w="1613" w:type="dxa"/>
          </w:tcPr>
          <w:p w:rsidR="00584D22" w:rsidRDefault="00584D22" w:rsidP="00584D22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2717</w:t>
            </w:r>
          </w:p>
          <w:p w:rsidR="00584D22" w:rsidRDefault="00584D22" w:rsidP="00584D22"/>
        </w:tc>
        <w:tc>
          <w:tcPr>
            <w:tcW w:w="1861" w:type="dxa"/>
          </w:tcPr>
          <w:p w:rsidR="00584D22" w:rsidRDefault="00584D22" w:rsidP="00584D22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1362</w:t>
            </w:r>
          </w:p>
          <w:p w:rsidR="00584D22" w:rsidRDefault="00584D22" w:rsidP="00584D22"/>
        </w:tc>
        <w:tc>
          <w:tcPr>
            <w:tcW w:w="1861" w:type="dxa"/>
          </w:tcPr>
          <w:p w:rsidR="00584D22" w:rsidRDefault="00584D22" w:rsidP="00584D22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4079</w:t>
            </w:r>
          </w:p>
          <w:p w:rsidR="00584D22" w:rsidRDefault="00584D22" w:rsidP="00584D22"/>
        </w:tc>
      </w:tr>
      <w:tr w:rsidR="00584D22" w:rsidTr="00584D22">
        <w:trPr>
          <w:trHeight w:val="764"/>
        </w:trPr>
        <w:tc>
          <w:tcPr>
            <w:tcW w:w="2108" w:type="dxa"/>
          </w:tcPr>
          <w:p w:rsidR="00584D22" w:rsidRDefault="00584D22" w:rsidP="00584D22">
            <w:r>
              <w:t>Cantidad de variables limpias y homogeneizadas</w:t>
            </w:r>
          </w:p>
        </w:tc>
        <w:tc>
          <w:tcPr>
            <w:tcW w:w="1613" w:type="dxa"/>
          </w:tcPr>
          <w:p w:rsidR="00584D22" w:rsidRDefault="00584D22" w:rsidP="00584D22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1362</w:t>
            </w:r>
          </w:p>
          <w:p w:rsidR="00584D22" w:rsidRDefault="00584D22" w:rsidP="00584D22"/>
        </w:tc>
        <w:tc>
          <w:tcPr>
            <w:tcW w:w="1861" w:type="dxa"/>
          </w:tcPr>
          <w:p w:rsidR="00584D22" w:rsidRDefault="00584D22" w:rsidP="00584D22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1176</w:t>
            </w:r>
          </w:p>
          <w:p w:rsidR="00584D22" w:rsidRDefault="00584D22" w:rsidP="00584D22"/>
        </w:tc>
        <w:tc>
          <w:tcPr>
            <w:tcW w:w="1861" w:type="dxa"/>
          </w:tcPr>
          <w:p w:rsidR="00584D22" w:rsidRDefault="00584D22" w:rsidP="00584D22">
            <w:pPr>
              <w:pStyle w:val="HTMLconformatoprevio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2538</w:t>
            </w:r>
          </w:p>
          <w:p w:rsidR="00584D22" w:rsidRDefault="00584D22" w:rsidP="00584D22"/>
        </w:tc>
      </w:tr>
    </w:tbl>
    <w:p w:rsidR="00A13313" w:rsidRDefault="00A13313">
      <w:r>
        <w:br w:type="page"/>
      </w:r>
    </w:p>
    <w:p w:rsidR="00C61C01" w:rsidRDefault="00103123">
      <w:r>
        <w:lastRenderedPageBreak/>
        <w:br/>
      </w:r>
      <w:r>
        <w:br/>
      </w:r>
      <w:r>
        <w:br/>
      </w:r>
    </w:p>
    <w:sectPr w:rsidR="00C61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B693C"/>
    <w:multiLevelType w:val="multilevel"/>
    <w:tmpl w:val="DABE4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C5D"/>
    <w:rsid w:val="00103123"/>
    <w:rsid w:val="001F381B"/>
    <w:rsid w:val="00584D22"/>
    <w:rsid w:val="00671595"/>
    <w:rsid w:val="007D7F37"/>
    <w:rsid w:val="008C5C5D"/>
    <w:rsid w:val="00A13313"/>
    <w:rsid w:val="00C6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6C0FC-6AE1-410F-9CAF-523694C2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F38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03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7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7F37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1F381B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unhideWhenUsed/>
    <w:rsid w:val="001F3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F381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F381B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Fuentedeprrafopredeter"/>
    <w:rsid w:val="00A13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6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691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7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615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09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04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62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2025-05-13T05:53:00Z</dcterms:created>
  <dcterms:modified xsi:type="dcterms:W3CDTF">2025-05-13T06:50:00Z</dcterms:modified>
</cp:coreProperties>
</file>