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Ao longo da história,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Entre os fatores que influenciam o mercado bancário está o estado regulatório, criando barreira para entrada o que vem impactar no grau de concentração bancária que por ora tem efeito sobre a oferta de crédito e poder de determinação de preços das instituições.</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 solidez do sistema financeiro. O nível deste indicador deve ser suficiente para garantir lucros atrativos, fazendo com que as instituições mantenham suas atividades e que novas tenham interesse em entrar no mercado, resultando em um 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 econômica. Segundo estudos recentes, um elevado nível de</w:t>
      </w:r>
      <w:r>
        <w:t xml:space="preserve"> </w:t>
      </w:r>
      <w:r>
        <w:rPr>
          <w:iCs/>
          <w:i/>
        </w:rPr>
        <w:t xml:space="preserve">spread</w:t>
      </w:r>
      <w:r>
        <w:t xml:space="preserve"> </w:t>
      </w:r>
      <w:r>
        <w:t xml:space="preserve">bancário desfavoreceria o crédito produtivo e consequentemente o nível de atividade 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da importância deste indicador na solidez do setor financeiro e seu papel no desenvolvimento econômico, e principalmente por ainda existirem incongruências, divergências entre resultados e lacunas sobre seus determinantes a serem explanadas.</w:t>
      </w:r>
    </w:p>
    <w:p>
      <w:pPr>
        <w:pStyle w:val="BodyText"/>
      </w:pPr>
      <w:r>
        <w:t xml:space="preserve">A presente dissertação está estruturada em três capítulos. Este primeiro apresenta a introdução do trabalho: contextualização, objetivos e a justificativa e a presente estrutura, que visa sintetizar as principais questões sobre o tema proposto, com ótica direcionada para a proposição e objetivos, bem como nortear o andamento da pesquisa.</w:t>
      </w:r>
    </w:p>
    <w:p>
      <w:pPr>
        <w:pStyle w:val="BodyText"/>
      </w:pPr>
      <w:r>
        <w:t xml:space="preserve">No segundo capítulo está apresentado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traz os procedimentos metodológicos para seleção e execução do modelo econométrico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das premissas empregadas, os resultados obtidos no modelo, conforme planejado no capítulo terceiro, visando descrever e embasar as relações entre as variáveis, confrontando com as pesquisas identificadas.</w:t>
      </w:r>
    </w:p>
    <w:p>
      <w:pPr>
        <w:pStyle w:val="BodyText"/>
      </w:pPr>
      <w:r>
        <w:t xml:space="preserve">Por fim, são apresentadas as considerações finais, buscando contextualizar os resultados obtidos com o cenário e os estudos identificados e sugerindo estudos complementares.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aborda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O sistema financeiro exerce papel socioeconômico fundamental, atuando na intermediação, promoção da circulação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atenção, girando em torno dos riscos que envolvem descontinuidade e insolvência</w:t>
      </w:r>
      <w:r>
        <w:t xml:space="preserve"> </w:t>
      </w:r>
      <w:r>
        <w:t xml:space="preserve">.</w:t>
      </w:r>
    </w:p>
    <w:p>
      <w:pPr>
        <w:pStyle w:val="BodyText"/>
      </w:pPr>
      <w:r>
        <w:t xml:space="preserve">De acordo com Freitas e Khöler (2009)</w:t>
      </w:r>
      <w:r>
        <w:t xml:space="preserve"> </w:t>
      </w:r>
      <w:r>
        <w:rPr>
          <w:iCs/>
          <w:i/>
        </w:rPr>
        <w:t xml:space="preserve">apud</w:t>
      </w:r>
      <w:r>
        <w:t xml:space="preserve"> </w:t>
      </w:r>
      <w:r>
        <w:t xml:space="preserve">, no Brasil, dentro do sistema financeiro, o sistema bancário apresenta uma conjuntura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de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Os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criadosmecanismos,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das mudanças internacionais, do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BancosComerciais, Bancos de Investimentos, Bancos de Desenvolvimento, Bancos de 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de bancos múltiplos, com 76,3% de participação, onde apenas 11,5% das instituições bancárias operavam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Os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centralizada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do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O gráfico mostra que, a partir da segunda metade da década de 1980 e até a primeira metade da década de 1990, a concentração bancária no Brasil reduziu.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busca por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w:t>
      </w:r>
      <w:r>
        <w:t xml:space="preserve"> </w:t>
      </w:r>
      <w:r>
        <w:t xml:space="preserve">.</w:t>
      </w:r>
    </w:p>
    <w:p>
      <w:pPr>
        <w:pStyle w:val="BodyText"/>
      </w:pPr>
      <w:r>
        <w:t xml:space="preserve">Entre os principais indicadores para medir a concentração de mercado está o índice Herfindahl–Hirschman(HHI), desenvolvido pelos economistas Orris C. Herfindahl e Albert O. Hirschman. É utilizado amplamente para medidas de regulação da concorrência e leis antitrust.</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A participação de capital estrangeiras no setor bancário brasileiro, que teve sua trajetória bem controversa em termos de legalização, vem se tornando, enquanto variável qualitativa, um fator capaz de explicar o nível de eficência e consequentemente de</w:t>
      </w:r>
      <w:r>
        <w:t xml:space="preserve"> </w:t>
      </w:r>
      <w:r>
        <w:rPr>
          <w:iCs/>
          <w:i/>
        </w:rPr>
        <w:t xml:space="preserve">spread</w:t>
      </w:r>
      <w:r>
        <w:t xml:space="preserve"> </w:t>
      </w:r>
      <w:r>
        <w:t xml:space="preserve">do setor bancário.</w:t>
      </w:r>
    </w:p>
    <w:p>
      <w:pPr>
        <w:pStyle w:val="BodyText"/>
      </w:pPr>
      <w:r>
        <w:t xml:space="preserve">A expectativa com o aumento de instituições nacionais com controle estrangeiro era que, houvesse elevação da eficiência operacional e concorrência e, consequentemente ocorresse uma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nacionais com problemas operacionais.</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da econômia é a relação crédito/PIB, que demonstra 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ocorreu uma expansão exponencial da oferta de crédito,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de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Nesse sentido, espera-se que quanto maior a relação crédito/PIB, maior será o saldo da carteira de crédito, com menor custo de crédito e consequentemente um menor nível de spread bancário.</w:t>
      </w:r>
    </w:p>
    <w:p>
      <w:pPr>
        <w:pStyle w:val="BodyText"/>
      </w:pPr>
      <w:r>
        <w:t xml:space="preserve">É o Sistema Financeiro</w:t>
      </w:r>
      <w:r>
        <w:t xml:space="preserve"> </w:t>
      </w:r>
      <w:r>
        <w:t xml:space="preserve">em sua organização entre agentes normatizadores, supervisores, operadores e tomadores, além de suas instâncias, que tem o papel fundamental na determinação de políticas para definição dos níveis adequados de base monetária e meios de pagamentos capazes de atender a atividade econômica, oferecendo liquidez e estabilidade .</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relação entre base monetária e spread bancário se encontra na lógica que, uma vez que ocorre uma aumento da base monetária e meios de pagamentos, ocorrerá um aumento da oferta de crédito e consequentemente uma redução do custo de crédito e consequentemente do</w:t>
      </w:r>
      <w:r>
        <w:t xml:space="preserve"> </w:t>
      </w:r>
      <w:r>
        <w:rPr>
          <w:iCs/>
          <w:i/>
        </w:rPr>
        <w:t xml:space="preserve">spread</w:t>
      </w:r>
      <w:r>
        <w:t xml:space="preserve"> </w:t>
      </w:r>
      <w:r>
        <w:t xml:space="preserve">bancário.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Percebe-se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A relação entre velocidade da moeda e</w:t>
      </w:r>
      <w:r>
        <w:t xml:space="preserve"> </w:t>
      </w:r>
      <w:r>
        <w:rPr>
          <w:iCs/>
          <w:i/>
        </w:rPr>
        <w:t xml:space="preserve">spread</w:t>
      </w:r>
      <w:r>
        <w:t xml:space="preserve"> </w:t>
      </w:r>
      <w:r>
        <w:t xml:space="preserve">bancário ocorre no mecanismo de oferta e demanda por crédito via base monetária. Elevações da base monetária maiores que elevações do PIB reduziriam a velocidade que a moeda circula na oconomia, com uma maior oferta e menor demanda esperasse que ocorre redução no custo de crédito e consequentemente do</w:t>
      </w:r>
      <w:r>
        <w:t xml:space="preserve"> </w:t>
      </w:r>
      <w:r>
        <w:rPr>
          <w:iCs/>
          <w:i/>
        </w:rPr>
        <w:t xml:space="preserve">spread</w:t>
      </w:r>
      <w:r>
        <w:t xml:space="preserve"> </w:t>
      </w:r>
      <w:r>
        <w:t xml:space="preserve">bancário.</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da totalidade dos seus ativos. Mostra para cada unidade monetária investida na instituição, quanto é convertido em lucro liquido,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acionistas,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É importante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do</w:t>
      </w:r>
      <w:r>
        <w:t xml:space="preserve"> </w:t>
      </w:r>
      <w:r>
        <w:rPr>
          <w:iCs/>
          <w:i/>
        </w:rPr>
        <w:t xml:space="preserve">spread</w:t>
      </w:r>
      <w:r>
        <w:t xml:space="preserve"> </w:t>
      </w:r>
      <w:r>
        <w:t xml:space="preserve">ao longo do tempo, através de análises quantitativas e qualitativas. No estudo sob a ótica dos determinantes, busca-se identificar as variáveis que explicam as variações do spread ao longo dos períodos</w:t>
      </w:r>
      <w:r>
        <w:t xml:space="preserve"> </w:t>
      </w:r>
      <w:r>
        <w:t xml:space="preserve">.</w:t>
      </w:r>
    </w:p>
    <w:p>
      <w:pPr>
        <w:pStyle w:val="BodyText"/>
      </w:pPr>
      <w:r>
        <w:t xml:space="preserve">Nas últimas décadas vem se tornando relevantes os estudos de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 conjuntamente por três características: enquanto a abrangência da amostra, 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tem uma maior qualidade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 adoção de política cambial de flutuação reduziu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 resultado, o estudo concluiu que a taxa básica de juros explicam somente uma parte dos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w:t>
      </w:r>
      <w:r>
        <w:t xml:space="preserve"> </w:t>
      </w:r>
      <w:r>
        <w:rPr>
          <w:iCs/>
          <w:i/>
        </w:rPr>
        <w:t xml:space="preserve">spread</w:t>
      </w:r>
      <w:r>
        <w:t xml:space="preserve"> </w:t>
      </w:r>
      <w:r>
        <w:t xml:space="preserve">com a demanda interna, atuando via a elevação da oferta de crédito, combinados com redução da taxa de compulsório e políticas de concessão de crédito. E que alterações na taxa básica de juros afetam toda a cadeira de taxas até o consumidor final, em uma estrutura de custos das operações em degraus</w:t>
      </w:r>
      <w:r>
        <w:t xml:space="preserve">.</w:t>
      </w:r>
    </w:p>
    <w:p>
      <w:pPr>
        <w:pStyle w:val="BodyText"/>
      </w:pPr>
      <w:r>
        <w:t xml:space="preserve">Outro aspecto levantado por</w:t>
      </w:r>
      <w:r>
        <w:t xml:space="preserve"> </w:t>
      </w:r>
      <w:r>
        <w:t xml:space="preserve">, é que no período analisado, o</w:t>
      </w:r>
      <w:r>
        <w:t xml:space="preserve"> </w:t>
      </w:r>
      <w:r>
        <w:rPr>
          <w:iCs/>
          <w:i/>
        </w:rPr>
        <w:t xml:space="preserve">spread</w:t>
      </w:r>
      <w:r>
        <w:t xml:space="preserve"> </w:t>
      </w:r>
      <w:r>
        <w:t xml:space="preserve">não demonstrou instabilidade diante da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apresentados como relevantes e determinantes na explicação do</w:t>
      </w:r>
      <w:r>
        <w:t xml:space="preserve"> </w:t>
      </w:r>
      <w:r>
        <w:rPr>
          <w:iCs/>
          <w:i/>
        </w:rPr>
        <w:t xml:space="preserve">spread</w:t>
      </w:r>
      <w:r>
        <w:t xml:space="preserve">.</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cultural também são apontados como fatores determinantes, em</w:t>
      </w:r>
      <w:r>
        <w:t xml:space="preserve"> </w:t>
      </w:r>
      <w:r>
        <w:t xml:space="preserve">, afetando a inadimplência na perspectiva de risco moral. E os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utilizaram modelo de regressão</w:t>
      </w:r>
      <w:r>
        <w:t xml:space="preserve"> </w:t>
      </w:r>
      <w:r>
        <w:t xml:space="preserve"> </w:t>
      </w:r>
      <w:r>
        <w:t xml:space="preserve">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quanto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no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t xml:space="preserve"> </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w:t>
      </w:r>
      <w:r>
        <w:t xml:space="preserve"> </w:t>
      </w:r>
      <w:r>
        <w:rPr>
          <w:iCs/>
          <w:i/>
        </w:rPr>
        <w:t xml:space="preserve">market share</w:t>
      </w:r>
      <w:r>
        <w:t xml:space="preserve"> </w:t>
      </w:r>
      <w:r>
        <w:t xml:space="preserve">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Este capítulo descreve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foi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são apresentados concepções, pressupostos e critérios teóricos e técnicos diante do conjunto de informações e dados levantados, que serviram como pilar para a construção da modelagem econométrica. Na segunda parte foram trazidas as características teóricas da modelagem selecionada. E na última parte foram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Diante das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representadas por</w:t>
      </w:r>
      <w:r>
        <w:t xml:space="preserve"> </w:t>
      </w:r>
      <m:oMath>
        <m:r>
          <m:t>β</m:t>
        </m:r>
      </m:oMath>
      <w:r>
        <w:t xml:space="preserve">, representando suas cateterísticas operacionais e um conjunto de variáveis exógenas (</w:t>
      </w:r>
      <m:oMath>
        <m:r>
          <m:t>n</m:t>
        </m:r>
      </m:oMath>
      <w:r>
        <w:t xml:space="preserve">), representadas por</w:t>
      </w:r>
      <w:r>
        <w:t xml:space="preserve"> </w:t>
      </w:r>
      <m:oMath>
        <m:r>
          <m:t>γ</m:t>
        </m:r>
      </m:oMath>
      <w:r>
        <w:t xml:space="preserve">, diante do tempo (</w:t>
      </w:r>
      <m:oMath>
        <m:r>
          <m:t>η</m:t>
        </m:r>
      </m:oMath>
      <w:r>
        <w:t xml:space="preserve">), conforme representado na</w:t>
      </w:r>
      <w:r>
        <w:t xml:space="preserve"> </w:t>
      </w:r>
      <w:r>
        <w:t xml:space="preserve"> </w:t>
      </w:r>
      <w:r>
        <w:t xml:space="preserve">e</w:t>
      </w:r>
      <w:r>
        <w:t xml:space="preserve"> </w:t>
      </w:r>
    </w:p>
    <w:p>
      <w:pPr>
        <w:pStyle w:val="BodyText"/>
      </w:pPr>
      <w:r>
        <w:t xml:space="preserve">$$</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foi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foi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é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é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D</m:t>
        </m:r>
        <m:r>
          <m:t>e</m:t>
        </m:r>
        <m:r>
          <m:t>p</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é utilizado o total dos depósitos a vista (</w:t>
      </w:r>
      <m:oMath>
        <m:r>
          <m:t>D</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D</m:t>
        </m:r>
        <m:r>
          <m:t>e</m:t>
        </m:r>
        <m:r>
          <m:t>p</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é utilizado o total dos depósitos a prazos (</w:t>
      </w:r>
      <m:oMath>
        <m:r>
          <m:t>D</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D</m:t>
        </m:r>
        <m:r>
          <m:t>e</m:t>
        </m:r>
        <m:r>
          <m:t>p</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é utilizado o total dos depósitos poupança (</w:t>
      </w:r>
      <m:oMath>
        <m:r>
          <m:t>D</m:t>
        </m:r>
        <m:r>
          <m:t>P</m:t>
        </m:r>
        <m:r>
          <m:t>o</m:t>
        </m:r>
        <m:r>
          <m:t>p</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é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é considerada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é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é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é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dos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de outras receitas operacionais (</w:t>
      </w:r>
      <m:oMath>
        <m:r>
          <m:t>O</m:t>
        </m:r>
        <m:r>
          <m:t>t</m:t>
        </m:r>
        <m:r>
          <m:t>R</m:t>
        </m:r>
        <m:r>
          <m:t>O</m:t>
        </m:r>
        <m:r>
          <m:t>p</m:t>
        </m:r>
      </m:oMath>
      <w:r>
        <w:t xml:space="preserve">)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dos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é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é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é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é utilizada 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Variável</w:t>
            </w:r>
          </w:p>
        </w:tc>
        <w:tc>
          <w:p>
            <w:pPr>
              <w:pStyle w:val="Compact"/>
              <w:jc w:val="left"/>
            </w:pPr>
            <w:r>
              <w:t xml:space="preserve">SprEp</w:t>
            </w:r>
          </w:p>
        </w:tc>
        <w:tc>
          <w:p>
            <w:pPr>
              <w:pStyle w:val="Compact"/>
              <w:jc w:val="left"/>
            </w:pPr>
            <w:r>
              <w:t xml:space="preserve">Rent</w:t>
            </w:r>
          </w:p>
        </w:tc>
        <w:tc>
          <w:p>
            <w:pPr>
              <w:pStyle w:val="Compact"/>
              <w:jc w:val="left"/>
            </w:pPr>
            <w:r>
              <w:t xml:space="preserve">Variável</w:t>
            </w:r>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(0.0123)</w:t>
            </w:r>
          </w:p>
        </w:tc>
        <w:tc>
          <w:p>
            <w:pPr>
              <w:pStyle w:val="Compact"/>
              <w:jc w:val="left"/>
            </w:pPr>
            <w:r>
              <w:t xml:space="preserve">(0.0251)</w:t>
            </w:r>
          </w:p>
        </w:tc>
        <w:tc>
          <w:p/>
        </w:tc>
        <w:tc>
          <w:p>
            <w:pPr>
              <w:pStyle w:val="Compact"/>
              <w:jc w:val="left"/>
            </w:pPr>
            <w:r>
              <w:t xml:space="preserve">(0.0022)</w:t>
            </w:r>
          </w:p>
        </w:tc>
        <w:tc>
          <w:p>
            <w:pPr>
              <w:pStyle w:val="Compact"/>
              <w:jc w:val="left"/>
            </w:pPr>
            <w:r>
              <w:t xml:space="preserve">(0.0103)</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(0.0348)</w:t>
            </w:r>
          </w:p>
        </w:tc>
        <w:tc>
          <w:p>
            <w:pPr>
              <w:pStyle w:val="Compact"/>
              <w:jc w:val="left"/>
            </w:pPr>
            <w:r>
              <w:t xml:space="preserve">(0.0125)</w:t>
            </w:r>
          </w:p>
        </w:tc>
        <w:tc>
          <w:p/>
        </w:tc>
        <w:tc>
          <w:p>
            <w:pPr>
              <w:pStyle w:val="Compact"/>
              <w:jc w:val="left"/>
            </w:pPr>
            <w:r>
              <w:t xml:space="preserve">(0.0432)</w:t>
            </w:r>
          </w:p>
        </w:tc>
        <w:tc>
          <w:p>
            <w:pPr>
              <w:pStyle w:val="Compact"/>
              <w:jc w:val="left"/>
            </w:pPr>
            <w:r>
              <w:t xml:space="preserve">(0.0546)</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(0.0117)</w:t>
            </w:r>
          </w:p>
        </w:tc>
        <w:tc>
          <w:p>
            <w:pPr>
              <w:pStyle w:val="Compact"/>
              <w:jc w:val="left"/>
            </w:pPr>
            <w:r>
              <w:t xml:space="preserve">(0.0168)</w:t>
            </w:r>
          </w:p>
        </w:tc>
        <w:tc>
          <w:p/>
        </w:tc>
        <w:tc>
          <w:p>
            <w:pPr>
              <w:pStyle w:val="Compact"/>
              <w:jc w:val="left"/>
            </w:pPr>
            <w:r>
              <w:t xml:space="preserve">(0.0292)</w:t>
            </w:r>
          </w:p>
        </w:tc>
        <w:tc>
          <w:p>
            <w:pPr>
              <w:pStyle w:val="Compact"/>
              <w:jc w:val="left"/>
            </w:pPr>
            <w:r>
              <w:t xml:space="preserve">(0.0420)</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(0.0430)</w:t>
            </w:r>
          </w:p>
        </w:tc>
        <w:tc>
          <w:p>
            <w:pPr>
              <w:pStyle w:val="Compact"/>
              <w:jc w:val="left"/>
            </w:pPr>
            <w:r>
              <w:t xml:space="preserve">(0.0230)</w:t>
            </w:r>
          </w:p>
        </w:tc>
        <w:tc>
          <w:p/>
        </w:tc>
        <w:tc>
          <w:p>
            <w:pPr>
              <w:pStyle w:val="Compact"/>
              <w:jc w:val="left"/>
            </w:pPr>
            <w:r>
              <w:t xml:space="preserve">(0.0328)</w:t>
            </w:r>
          </w:p>
        </w:tc>
        <w:tc>
          <w:p>
            <w:pPr>
              <w:pStyle w:val="Compact"/>
              <w:jc w:val="left"/>
            </w:pPr>
            <w:r>
              <w:t xml:space="preserve">(0.0421)</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(0.0296)</w:t>
            </w:r>
          </w:p>
        </w:tc>
        <w:tc>
          <w:p>
            <w:pPr>
              <w:pStyle w:val="Compact"/>
              <w:jc w:val="left"/>
            </w:pPr>
            <w:r>
              <w:t xml:space="preserve">(0.0172)</w:t>
            </w:r>
          </w:p>
        </w:tc>
        <w:tc>
          <w:p/>
        </w:tc>
        <w:tc>
          <w:p>
            <w:pPr>
              <w:pStyle w:val="Compact"/>
              <w:jc w:val="left"/>
            </w:pPr>
            <w:r>
              <w:t xml:space="preserve">(0.0205)</w:t>
            </w:r>
          </w:p>
        </w:tc>
        <w:tc>
          <w:p>
            <w:pPr>
              <w:pStyle w:val="Compact"/>
              <w:jc w:val="left"/>
            </w:pPr>
            <w:r>
              <w:t xml:space="preserve">(0.0497)</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(0.0447)</w:t>
            </w:r>
          </w:p>
        </w:tc>
        <w:tc>
          <w:p>
            <w:pPr>
              <w:pStyle w:val="Compact"/>
              <w:jc w:val="left"/>
            </w:pPr>
            <w:r>
              <w:t xml:space="preserve">(0.0323)</w:t>
            </w:r>
          </w:p>
        </w:tc>
        <w:tc>
          <w:p/>
        </w:tc>
        <w:tc>
          <w:p>
            <w:pPr>
              <w:pStyle w:val="Compact"/>
              <w:jc w:val="left"/>
            </w:pPr>
            <w:r>
              <w:t xml:space="preserve">(0.0215)</w:t>
            </w:r>
          </w:p>
        </w:tc>
        <w:tc>
          <w:p>
            <w:pPr>
              <w:pStyle w:val="Compact"/>
              <w:jc w:val="left"/>
            </w:pPr>
            <w:r>
              <w:t xml:space="preserve">(0.0228)</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(0.0227)</w:t>
            </w:r>
          </w:p>
        </w:tc>
        <w:tc>
          <w:p>
            <w:pPr>
              <w:pStyle w:val="Compact"/>
              <w:jc w:val="left"/>
            </w:pPr>
            <w:r>
              <w:t xml:space="preserve">(0.0275)</w:t>
            </w:r>
          </w:p>
        </w:tc>
        <w:tc>
          <w:p/>
        </w:tc>
        <w:tc>
          <w:p>
            <w:pPr>
              <w:pStyle w:val="Compact"/>
              <w:jc w:val="left"/>
            </w:pPr>
            <w:r>
              <w:t xml:space="preserve">(0.0458)</w:t>
            </w:r>
          </w:p>
        </w:tc>
        <w:tc>
          <w:p>
            <w:pPr>
              <w:pStyle w:val="Compact"/>
              <w:jc w:val="left"/>
            </w:pPr>
            <w:r>
              <w:t xml:space="preserve">(0.0301)</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(0.0513)</w:t>
            </w:r>
          </w:p>
        </w:tc>
        <w:tc>
          <w:p>
            <w:pPr>
              <w:pStyle w:val="Compact"/>
              <w:jc w:val="left"/>
            </w:pPr>
            <w:r>
              <w:t xml:space="preserve">(0.0453)</w:t>
            </w:r>
          </w:p>
        </w:tc>
        <w:tc>
          <w:p/>
        </w:tc>
        <w:tc>
          <w:p>
            <w:pPr>
              <w:pStyle w:val="Compact"/>
              <w:jc w:val="left"/>
            </w:pPr>
            <w:r>
              <w:t xml:space="preserve">(0.0115)</w:t>
            </w:r>
          </w:p>
        </w:tc>
        <w:tc>
          <w:p>
            <w:pPr>
              <w:pStyle w:val="Compact"/>
              <w:jc w:val="left"/>
            </w:pPr>
            <w:r>
              <w:t xml:space="preserve">(0.0078)</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(0.0380)</w:t>
            </w:r>
          </w:p>
        </w:tc>
        <w:tc>
          <w:p>
            <w:pPr>
              <w:pStyle w:val="Compact"/>
              <w:jc w:val="left"/>
            </w:pPr>
            <w:r>
              <w:t xml:space="preserve">(0.0413)</w:t>
            </w:r>
          </w:p>
        </w:tc>
        <w:tc>
          <w:p/>
        </w:tc>
        <w:tc>
          <w:p>
            <w:pPr>
              <w:pStyle w:val="Compact"/>
              <w:jc w:val="left"/>
            </w:pPr>
            <w:r>
              <w:t xml:space="preserve">(0.0529)</w:t>
            </w:r>
          </w:p>
        </w:tc>
        <w:tc>
          <w:p>
            <w:pPr>
              <w:pStyle w:val="Compact"/>
              <w:jc w:val="left"/>
            </w:pPr>
            <w:r>
              <w:t xml:space="preserve">(0.0434)</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(0.0195)</w:t>
            </w:r>
          </w:p>
        </w:tc>
        <w:tc>
          <w:p>
            <w:pPr>
              <w:pStyle w:val="Compact"/>
              <w:jc w:val="left"/>
            </w:pPr>
            <w:r>
              <w:t xml:space="preserve">(0.0132)</w:t>
            </w:r>
          </w:p>
        </w:tc>
        <w:tc>
          <w:p/>
        </w:tc>
        <w:tc>
          <w:p>
            <w:pPr>
              <w:pStyle w:val="Compact"/>
              <w:jc w:val="left"/>
            </w:pPr>
            <w:r>
              <w:t xml:space="preserve">(0.0001)</w:t>
            </w:r>
          </w:p>
        </w:tc>
        <w:tc>
          <w:p>
            <w:pPr>
              <w:pStyle w:val="Compact"/>
              <w:jc w:val="left"/>
            </w:pPr>
            <w:r>
              <w:t xml:space="preserve">(0.0001)</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(0.0473)</w:t>
            </w:r>
          </w:p>
        </w:tc>
        <w:tc>
          <w:p>
            <w:pPr>
              <w:pStyle w:val="Compact"/>
              <w:jc w:val="left"/>
            </w:pPr>
            <w:r>
              <w:t xml:space="preserve">(0.0270)</w:t>
            </w:r>
          </w:p>
        </w:tc>
        <w:tc>
          <w:p/>
        </w:tc>
        <w:tc>
          <w:p>
            <w:pPr>
              <w:pStyle w:val="Compact"/>
              <w:jc w:val="left"/>
            </w:pPr>
            <w:r>
              <w:t xml:space="preserve">(0.0705)</w:t>
            </w:r>
          </w:p>
        </w:tc>
        <w:tc>
          <w:p>
            <w:pPr>
              <w:pStyle w:val="Compact"/>
              <w:jc w:val="left"/>
            </w:pPr>
            <w:r>
              <w:t xml:space="preserve">(0.0395)</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(0.0233)</w:t>
            </w:r>
          </w:p>
        </w:tc>
        <w:tc>
          <w:p>
            <w:pPr>
              <w:pStyle w:val="Compact"/>
              <w:jc w:val="left"/>
            </w:pPr>
            <w:r>
              <w:t xml:space="preserve">(0.0147)</w:t>
            </w:r>
          </w:p>
        </w:tc>
        <w:tc>
          <w:p/>
        </w:tc>
        <w:tc>
          <w:p>
            <w:pPr>
              <w:pStyle w:val="Compact"/>
              <w:jc w:val="left"/>
            </w:pPr>
            <w:r>
              <w:t xml:space="preserve">(0.0040)</w:t>
            </w:r>
          </w:p>
        </w:tc>
        <w:tc>
          <w:p>
            <w:pPr>
              <w:pStyle w:val="Compact"/>
              <w:jc w:val="left"/>
            </w:pPr>
            <w:r>
              <w:t xml:space="preserve">(0.0049)</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(0.0105)</w:t>
            </w:r>
          </w:p>
        </w:tc>
        <w:tc>
          <w:p>
            <w:pPr>
              <w:pStyle w:val="Compact"/>
              <w:jc w:val="left"/>
            </w:pPr>
            <w:r>
              <w:t xml:space="preserve">(0.0364)</w:t>
            </w:r>
          </w:p>
        </w:tc>
        <w:tc>
          <w:p/>
        </w:tc>
        <w:tc>
          <w:p>
            <w:pPr>
              <w:pStyle w:val="Compact"/>
              <w:jc w:val="left"/>
            </w:pPr>
            <w:r>
              <w:t xml:space="preserve">(0.0170)</w:t>
            </w:r>
          </w:p>
        </w:tc>
        <w:tc>
          <w:p>
            <w:pPr>
              <w:pStyle w:val="Compact"/>
              <w:jc w:val="left"/>
            </w:pPr>
            <w:r>
              <w:t xml:space="preserve">(0.0104)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(0.0759)</w:t>
            </w:r>
          </w:p>
        </w:tc>
        <w:tc>
          <w:p>
            <w:pPr>
              <w:pStyle w:val="Compact"/>
              <w:jc w:val="left"/>
            </w:pPr>
            <w:r>
              <w:t xml:space="preserve">(0.0547)</w:t>
            </w:r>
          </w:p>
        </w:tc>
        <w:tc>
          <w:p/>
        </w:tc>
        <w:tc>
          <w:p>
            <w:pPr>
              <w:pStyle w:val="Compact"/>
              <w:jc w:val="left"/>
            </w:pPr>
            <w:r>
              <w:t xml:space="preserve">(0.0176)</w:t>
            </w:r>
          </w:p>
        </w:tc>
        <w:tc>
          <w:p>
            <w:pPr>
              <w:pStyle w:val="Compact"/>
              <w:jc w:val="left"/>
            </w:pPr>
            <w:r>
              <w:t xml:space="preserve">(0.0095)</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r>
        <w:tc>
          <w:p/>
        </w:tc>
        <w:tc>
          <w:p>
            <w:pPr>
              <w:pStyle w:val="Compact"/>
              <w:jc w:val="left"/>
            </w:pPr>
            <w:r>
              <w:t xml:space="preserve">(0.0083)</w:t>
            </w:r>
          </w:p>
        </w:tc>
        <w:tc>
          <w:p>
            <w:pPr>
              <w:pStyle w:val="Compact"/>
              <w:jc w:val="left"/>
            </w:pPr>
            <w:r>
              <w:t xml:space="preserve">(0.0090)</w:t>
            </w:r>
          </w:p>
        </w:tc>
        <w:tc>
          <w:p/>
        </w:tc>
        <w:tc>
          <w:p/>
        </w:tc>
        <w:tc>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 implicando que as variáveis não possuem raízes unitárias.</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r>
              <w:t xml:space="preserve"> </w:t>
            </w:r>
            <w:r>
              <w:t xml:space="preserve">Previsto</w:t>
            </w:r>
          </w:p>
        </w:tc>
        <w:tc>
          <w:p>
            <w:pPr>
              <w:pStyle w:val="Compact"/>
              <w:jc w:val="center"/>
            </w:pPr>
            <m:oMath>
              <m:r>
                <m:t>R</m:t>
              </m:r>
              <m:r>
                <m:t>e</m:t>
              </m:r>
              <m:r>
                <m:t>n</m:t>
              </m:r>
              <m:r>
                <m:t>t</m:t>
              </m:r>
            </m:oMath>
            <w:r>
              <w:t xml:space="preserve"> </w:t>
            </w:r>
            <w:r>
              <w:t xml:space="preserve">Previsto</w:t>
            </w:r>
          </w:p>
        </w:tc>
        <w:tc>
          <w:p>
            <w:pPr>
              <w:pStyle w:val="Compact"/>
              <w:jc w:val="center"/>
            </w:pPr>
            <m:oMath>
              <m:r>
                <m:t>S</m:t>
              </m:r>
              <m:r>
                <m:t>p</m:t>
              </m:r>
              <m:r>
                <m:t>r</m:t>
              </m:r>
              <m:r>
                <m:t>E</m:t>
              </m:r>
              <m:r>
                <m:t>p</m:t>
              </m:r>
            </m:oMath>
            <w:r>
              <w:t xml:space="preserve"> </w:t>
            </w:r>
            <w:r>
              <w:t xml:space="preserve">Resultado</w:t>
            </w:r>
          </w:p>
        </w:tc>
        <w:tc>
          <w:p>
            <w:pPr>
              <w:pStyle w:val="Compact"/>
              <w:jc w:val="center"/>
            </w:pPr>
            <m:oMath>
              <m:r>
                <m:t>R</m:t>
              </m:r>
              <m:r>
                <m:t>e</m:t>
              </m:r>
              <m:r>
                <m:t>n</m:t>
              </m:r>
              <m:r>
                <m:t>t</m:t>
              </m:r>
            </m:oMath>
            <w:r>
              <w:t xml:space="preserve"> </w:t>
            </w:r>
            <w:r>
              <w:t xml:space="preserve">Resultado</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defasagens (</w:t>
      </w:r>
      <m:oMath>
        <m:r>
          <m:t>l</m:t>
        </m:r>
        <m:r>
          <m:t>a</m:t>
        </m:r>
        <m:r>
          <m:t>g</m:t>
        </m:r>
        <m:sSub>
          <m:e>
            <m:r>
              <m:t>1</m:t>
            </m:r>
          </m:e>
          <m:sub>
            <m:r>
              <m:t>S</m:t>
            </m:r>
          </m:sub>
        </m:sSub>
        <m:r>
          <m:t>p</m:t>
        </m:r>
        <m:r>
          <m:t>r</m:t>
        </m:r>
        <m:r>
          <m:t>E</m:t>
        </m:r>
        <m:r>
          <m:t>p</m:t>
        </m:r>
      </m:oMath>
      <w:r>
        <w:t xml:space="preserve"> </w:t>
      </w:r>
      <w:r>
        <w:t xml:space="preserve">e</w:t>
      </w:r>
      <w:r>
        <w:t xml:space="preserv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em um efeito inércia.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r>
          <m:t>1</m:t>
        </m:r>
        <m:r>
          <m:t>S</m:t>
        </m:r>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r>
          <m:t>1</m:t>
        </m:r>
        <m:r>
          <m:t>R</m:t>
        </m:r>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r>
          <m:t>2</m:t>
        </m:r>
        <m:r>
          <m:t>R</m:t>
        </m:r>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um período atuam implicam em níveis de spread menores e rentabilidade maior no o período atual. Elevações da rentabilidade em dois períodos exercem influência na elevação do</w:t>
      </w:r>
      <w:r>
        <w:t xml:space="preserve"> </w:t>
      </w:r>
      <w:r>
        <w:rPr>
          <w:iCs/>
          <w:i/>
        </w:rPr>
        <w:t xml:space="preserve">spread</w:t>
      </w:r>
      <w:r>
        <w:t xml:space="preserve">, e maior proporção a elevação da rentabilidade do período atual.</w:t>
      </w:r>
    </w:p>
    <w:p>
      <w:pPr>
        <w:pStyle w:val="BodyText"/>
      </w:pP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w:t>
      </w:r>
    </w:p>
    <w:p>
      <w:pPr>
        <w:pStyle w:val="BodyText"/>
      </w:pPr>
      <w:r>
        <w:t xml:space="preserve">O resultado implica que quando ocorrem elevações ou reduções na inadimplência e nível de risco de crédito, há um reflexo afetando na mesma direção a rentabilidade bancária.</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 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diante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hipótese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 significância somente para o</w:t>
      </w:r>
      <w:r>
        <w:t xml:space="preserve"> </w:t>
      </w:r>
      <w:r>
        <w:rPr>
          <w:iCs/>
          <w:i/>
        </w:rPr>
        <w:t xml:space="preserve">spread</w:t>
      </w:r>
      <w:r>
        <w:t xml:space="preserve">, com uma relação direta. Os resultados do ajuste indicam que quanto maior a participação dos depósitos de poupança, menor seria a rentabilidade.</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retornou significância com ambas as variáveis dependentes, sendo uma relação direta com o</w:t>
      </w:r>
      <w:r>
        <w:t xml:space="preserve"> </w:t>
      </w:r>
      <w:r>
        <w:rPr>
          <w:iCs/>
          <w:i/>
        </w:rPr>
        <w:t xml:space="preserve">spread</w:t>
      </w:r>
      <w:r>
        <w:t xml:space="preserve"> </w:t>
      </w:r>
      <w:r>
        <w:t xml:space="preserve">e inversa com a rentabilidade. O resultado para o</w:t>
      </w:r>
      <w:r>
        <w:t xml:space="preserve"> </w:t>
      </w:r>
      <w:r>
        <w:rPr>
          <w:iCs/>
          <w:i/>
        </w:rPr>
        <w:t xml:space="preserve">spread</w:t>
      </w:r>
      <w:r>
        <w:t xml:space="preserve"> </w:t>
      </w:r>
      <w:r>
        <w:t xml:space="preserve">está dentro do esperado, mas diverge para a rentabilidade.</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das receitas operacionais (</w:t>
      </w:r>
      <m:oMath>
        <m:r>
          <m:t>O</m:t>
        </m:r>
        <m:r>
          <m:t>t</m:t>
        </m:r>
        <m:r>
          <m:t>R</m:t>
        </m:r>
        <m:r>
          <m:t>O</m:t>
        </m:r>
        <m:r>
          <m:t>p</m:t>
        </m:r>
      </m:oMath>
      <w:r>
        <w:t xml:space="preserve">)</w:t>
      </w:r>
      <w:r>
        <w:t xml:space="preserve"> </w:t>
      </w:r>
      <w:r>
        <w:t xml:space="preserve">o modelo retornou significância somente com o</w:t>
      </w:r>
      <w:r>
        <w:t xml:space="preserve"> </w:t>
      </w:r>
      <w:r>
        <w:rPr>
          <w:iCs/>
          <w:i/>
        </w:rPr>
        <w:t xml:space="preserve">spread</w:t>
      </w:r>
      <w:r>
        <w:t xml:space="preserve">, com uma relação direta.</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das operações totais, o modelo retornou significância somente para a rentabilidade, com uma relação inversa. Já a participação de outras operações (</w:t>
      </w:r>
      <m:oMath>
        <m:r>
          <m:t>O</m:t>
        </m:r>
        <m:r>
          <m:t>t</m:t>
        </m:r>
        <m:r>
          <m:t>O</m:t>
        </m:r>
        <m:r>
          <m:t>p</m:t>
        </m:r>
      </m:oMath>
      <w:r>
        <w:t xml:space="preserve">) diante as operações de crédito retornou significância somente com o spread com uma relação direta.</w:t>
      </w:r>
    </w:p>
    <w:p>
      <w:pPr>
        <w:pStyle w:val="BodyText"/>
      </w:pPr>
      <w:r>
        <w:t xml:space="preserve">O resultados implicam que, diante das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de</w:t>
      </w:r>
      <w:r>
        <w:t xml:space="preserve"> </w:t>
      </w:r>
      <w:r>
        <w:t xml:space="preserve">, que não encontrou significância desta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 que, quanto maior nível destes, menor seria o nível rentabilidade das instituições. O que ocorre por serem impostos que são cobrados sobre os resultados das instituições, de forma direta.</w:t>
      </w:r>
    </w:p>
    <w:p>
      <w:pPr>
        <w:pStyle w:val="BodyText"/>
      </w:pPr>
      <w:r>
        <w:t xml:space="preserve">A não apresentação de significância estatística e a relação inversa dos impostos indiretos e impostos sobre a renda com o</w:t>
      </w:r>
      <w:r>
        <w:t xml:space="preserve"> </w:t>
      </w:r>
      <w:r>
        <w:rPr>
          <w:iCs/>
          <w:i/>
        </w:rPr>
        <w:t xml:space="preserve">spread</w:t>
      </w:r>
      <w:r>
        <w:t xml:space="preserve"> </w:t>
      </w:r>
      <w:r>
        <w:t xml:space="preserve">na modelagem não as desqualificam como componentes implícitos consolidados e determinantes do spread bancário, como identificado em</w:t>
      </w:r>
      <w:r>
        <w:t xml:space="preserve"> </w:t>
      </w:r>
      <w:r>
        <w:t xml:space="preserve"> </w:t>
      </w:r>
      <w:r>
        <w:t xml:space="preserve">e</w:t>
      </w:r>
      <w:r>
        <w:t xml:space="preserve"> </w:t>
      </w:r>
      <w:r>
        <w:t xml:space="preserve">.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o</w:t>
      </w:r>
      <w:r>
        <w:t xml:space="preserve"> </w:t>
      </w:r>
      <w:r>
        <w:rPr>
          <w:iCs/>
          <w:i/>
        </w:rPr>
        <w:t xml:space="preserve">spread</w:t>
      </w:r>
      <w:r>
        <w:t xml:space="preserve"> </w:t>
      </w:r>
      <w:r>
        <w:t xml:space="preserve">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e 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lucro se reduziriam.</w:t>
      </w:r>
      <w:r>
        <w:br/>
      </w:r>
      <w:r>
        <w:t xml:space="preserve">Para o nível de compulsório das operações (</w:t>
      </w:r>
      <m:oMath>
        <m:r>
          <m:t>C</m:t>
        </m:r>
        <m:r>
          <m:t>o</m:t>
        </m:r>
        <m:r>
          <m:t>m</m:t>
        </m:r>
        <m:r>
          <m:t>p</m:t>
        </m:r>
      </m:oMath>
      <w:r>
        <w:t xml:space="preserve">), o modelo apresentou significância estatística apenas com o</w:t>
      </w:r>
      <w:r>
        <w:t xml:space="preserve"> </w:t>
      </w:r>
      <w:r>
        <w:rPr>
          <w:iCs/>
          <w:i/>
        </w:rPr>
        <w:t xml:space="preserve">spread</w:t>
      </w:r>
      <w:r>
        <w:t xml:space="preserve">, com uma relação direta. O resultado para o</w:t>
      </w:r>
      <w:r>
        <w:t xml:space="preserve"> </w:t>
      </w:r>
      <w:r>
        <w:rPr>
          <w:iCs/>
          <w:i/>
        </w:rPr>
        <w:t xml:space="preserve">spread</w:t>
      </w:r>
      <w:r>
        <w:t xml:space="preserve"> </w:t>
      </w:r>
      <w:r>
        <w:t xml:space="preserve">está dentro do esperado na definição das hipóteses.</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Para a IPCA foi remontada significância somente para o</w:t>
      </w:r>
      <w:r>
        <w:t xml:space="preserve"> </w:t>
      </w:r>
      <w:r>
        <w:rPr>
          <w:iCs/>
          <w:i/>
        </w:rPr>
        <w:t xml:space="preserve">spread</w:t>
      </w:r>
      <w:r>
        <w:t xml:space="preserve">, com relação inversa. Os resultados estão dentro do esperado na formulação da hipóteses.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O resultado diverge do esperado na formulação das hipóteses. O resultado implicaria que elevações no volume do agregado monetário M4, de três períodos anteriores, refletiriam em elevações no</w:t>
      </w:r>
      <w:r>
        <w:t xml:space="preserve"> </w:t>
      </w:r>
      <w:r>
        <w:rPr>
          <w:iCs/>
          <w:i/>
        </w:rPr>
        <w:t xml:space="preserve">spread</w:t>
      </w:r>
      <w:r>
        <w:t xml:space="preserve"> </w:t>
      </w:r>
      <w:r>
        <w:t xml:space="preserve">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tem elevada importância para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medida de planejamento, e o spread</w:t>
      </w:r>
      <w:r>
        <w:t xml:space="preserve"> </w:t>
      </w:r>
      <w:r>
        <w:rPr>
          <w:iCs/>
          <w:i/>
        </w:rPr>
        <w:t xml:space="preserve">ex-post</w:t>
      </w:r>
      <w:r>
        <w:t xml:space="preserve">, medida de resultado.</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em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dos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das óticas de estudo, ótica de dimensão, ótica de volume-tempo-risco se apresentaria como a ideal para uma estudo com maior acurácia. Porém, diante do nível de informação disponível não é possível atingir este nível de estudo, cabendo assim a modelagem a apartir dos dados disponíveis, em nível de agregação elevados.</w:t>
      </w:r>
    </w:p>
    <w:p>
      <w:pPr>
        <w:pStyle w:val="BodyText"/>
      </w:pPr>
      <w:r>
        <w:t xml:space="preserve">Seguindo a complexidade da modelagem partiu-se do método de painel dinâmico com vetores autorregressivos e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em parte diante um conjunto de características e do perfil operacional das instituições bancárias em torno de seus elementos endógenos e por outra parte por fatores exógenos de mercado e de conjuntura econômica.</w:t>
      </w:r>
    </w:p>
    <w:p>
      <w:pPr>
        <w:pStyle w:val="BodyText"/>
      </w:pPr>
      <w:r>
        <w:t xml:space="preserve">Como principal determinante, em termos de impacto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quem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determinante direto do</w:t>
      </w:r>
      <w:r>
        <w:t xml:space="preserve"> </w:t>
      </w:r>
      <w:r>
        <w:rPr>
          <w:iCs/>
          <w:i/>
        </w:rPr>
        <w:t xml:space="preserve">spread</w:t>
      </w:r>
      <w:r>
        <w:t xml:space="preserve"> </w:t>
      </w:r>
      <w:r>
        <w:t xml:space="preserve">e da rentabilidade, ou seja quanto maior o gasto com despesas administrativas, maior a capacidade das instituições de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quanto maior a concentração de receitas de serviços da instituição, maior será o nível de</w:t>
      </w:r>
      <w:r>
        <w:t xml:space="preserve"> </w:t>
      </w:r>
      <w:r>
        <w:rPr>
          <w:iCs/>
          <w:i/>
        </w:rPr>
        <w:t xml:space="preserve">spread</w:t>
      </w:r>
      <w:r>
        <w:t xml:space="preserve"> </w:t>
      </w:r>
      <w:r>
        <w:t xml:space="preserve">bancário cobrado por estas.</w:t>
      </w:r>
    </w:p>
    <w:p>
      <w:pPr>
        <w:pStyle w:val="BodyText"/>
      </w:pPr>
      <w:r>
        <w:t xml:space="preserve">A inadimplência e o risco ponderado de crédito apresentaram significância como determinantes indiretas da rentabilidade. Isso remete que elevações do nível de inadimplência e carteiras com maior risco ponderado atuam e reduzindo a rentabilidade.</w:t>
      </w:r>
    </w:p>
    <w:p>
      <w:pPr>
        <w:pStyle w:val="BodyText"/>
      </w:pPr>
      <w:r>
        <w:t xml:space="preserve">Entre outras variáveis ligadas as características operacionais, que atuam como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w:t>
      </w:r>
      <w:r>
        <w:t xml:space="preserve">é a rentabilidade auferida em período anterior. Esta variável também atuaria como determinante direto da rentabilidade. Dessa forma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 operação total do mercad, IPCA, impostos indiretos, Selic over e imposto de renda.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 </w:t>
      </w:r>
      <w:r>
        <w:rPr>
          <w:iCs/>
          <w:i/>
        </w:rPr>
        <w:t xml:space="preserve">spread</w:t>
      </w:r>
      <w:r>
        <w:t xml:space="preserve"> </w:t>
      </w:r>
      <w:r>
        <w:t xml:space="preserve">de dois períodos anteriores, depósito a prazo e deposito a vista 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via taxa de aplicação, e reduzindo também a rentabilidade, devido a redução na taxa de aplicação.</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das instituições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estava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2021-08-21T17:01:28Z</dcterms:created>
  <dcterms:modified xsi:type="dcterms:W3CDTF">2021-08-21T17:01:28Z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ookdown">
    <vt:lpwstr/>
  </property>
  <property fmtid="{D5CDD505-2E9C-101B-9397-08002B2CF9AE}" pid="5" name="classoption">
    <vt:lpwstr/>
  </property>
  <property fmtid="{D5CDD505-2E9C-101B-9397-08002B2CF9AE}" pid="6" name="date">
    <vt:lpwstr>2021</vt:lpwstr>
  </property>
  <property fmtid="{D5CDD505-2E9C-101B-9397-08002B2CF9AE}" pid="7" name="documentclass">
    <vt:lpwstr>abntex2</vt:lpwstr>
  </property>
  <property fmtid="{D5CDD505-2E9C-101B-9397-08002B2CF9AE}" pid="8" name="fontsize">
    <vt:lpwstr>12pt</vt:lpwstr>
  </property>
  <property fmtid="{D5CDD505-2E9C-101B-9397-08002B2CF9AE}" pid="9" name="header-includes">
    <vt:lpwstr/>
  </property>
  <property fmtid="{D5CDD505-2E9C-101B-9397-08002B2CF9AE}" pid="10" name="link-citations">
    <vt:lpwstr>no</vt:lpwstr>
  </property>
  <property fmtid="{D5CDD505-2E9C-101B-9397-08002B2CF9AE}" pid="11" name="mathjax">
    <vt:lpwstr>True</vt:lpwstr>
  </property>
  <property fmtid="{D5CDD505-2E9C-101B-9397-08002B2CF9AE}" pid="12" name="references">
    <vt:lpwstr>False</vt:lpwstr>
  </property>
  <property fmtid="{D5CDD505-2E9C-101B-9397-08002B2CF9AE}" pid="13" name="site">
    <vt:lpwstr>bookdown::bookdown_site</vt:lpwstr>
  </property>
  <property fmtid="{D5CDD505-2E9C-101B-9397-08002B2CF9AE}" pid="14" name="suppress_bibliography">
    <vt:lpwstr>True</vt:lpwstr>
  </property>
  <property fmtid="{D5CDD505-2E9C-101B-9397-08002B2CF9AE}" pid="15" name="toc">
    <vt:lpwstr>False</vt:lpwstr>
  </property>
</Properties>
</file>