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com a rentabilidade bancária, através de abordagem teórica, analítica e aplicada.</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Cs/>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Cs/>
          <w:i/>
        </w:rPr>
        <w:t xml:space="preserve">spread</w:t>
      </w:r>
      <w:r>
        <w:t xml:space="preserve"> </w:t>
      </w:r>
      <w:r>
        <w:t xml:space="preserve">bancário</w:t>
      </w:r>
      <w:r>
        <w:t xml:space="preserve"> </w:t>
      </w:r>
      <w:r>
        <w:rPr>
          <w:iCs/>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Ao longo do processo histórico,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os primeiros bancos.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emprestrado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ocaso brasileiro é destacado como o cenário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siginificativa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a variação dos componentes do</w:t>
      </w:r>
      <w:r>
        <w:t xml:space="preserve"> </w:t>
      </w:r>
      <w:r>
        <w:rPr>
          <w:iCs/>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Cs/>
          <w:i/>
        </w:rPr>
        <w:t xml:space="preserve">spread ex-post</w:t>
      </w:r>
      <w:r>
        <w:t xml:space="preserve"> </w:t>
      </w:r>
      <w:r>
        <w:t xml:space="preserve">e como estas afetaram a rentabilidade das instituições bancárias brasileiras, entre os anos de 2001 e 2020.</w:t>
      </w:r>
    </w:p>
    <w:p>
      <w:pPr>
        <w:numPr>
          <w:ilvl w:val="0"/>
          <w:numId w:val="1001"/>
        </w:numPr>
        <w:pStyle w:val="Compact"/>
      </w:pPr>
      <w:r>
        <w:t xml:space="preserve">Realizar levantamento teórico e bibliográfico sobre setor bancário e estudos sobre o</w:t>
      </w:r>
      <w:r>
        <w:t xml:space="preserve"> </w:t>
      </w:r>
      <w:r>
        <w:rPr>
          <w:iCs/>
          <w:i/>
        </w:rPr>
        <w:t xml:space="preserve">Spread</w:t>
      </w:r>
      <w:r>
        <w:t xml:space="preserve"> </w:t>
      </w:r>
      <w:r>
        <w:t xml:space="preserve">bancário 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dos componentes do</w:t>
      </w:r>
      <w:r>
        <w:t xml:space="preserve"> </w:t>
      </w:r>
      <w:r>
        <w:rPr>
          <w:iCs/>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Neste capítulo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reitarada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Rodamilans (2016), Ferreira (2016), Cardoso (2016) esta variável apresentou considerável siginificância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siginificância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rPr>
              <m:sty m:val="p"/>
            </m:rPr>
            <m:t>=</m:t>
          </m:r>
          <m:f>
            <m:fPr>
              <m:type m:val="bar"/>
            </m:fPr>
            <m:num>
              <m:f>
                <m:fPr>
                  <m:type m:val="bar"/>
                </m:fPr>
                <m:num>
                  <m:r>
                    <m:t>H</m:t>
                  </m:r>
                  <m:r>
                    <m:t>H</m:t>
                  </m:r>
                  <m:r>
                    <m:t>I</m:t>
                  </m:r>
                  <m:r>
                    <m:rPr>
                      <m:sty m:val="p"/>
                    </m:rPr>
                    <m:t>−</m:t>
                  </m:r>
                  <m:r>
                    <m:t>1</m:t>
                  </m:r>
                </m:num>
                <m:den>
                  <m:r>
                    <m:t>N</m:t>
                  </m:r>
                </m:den>
              </m:f>
            </m:num>
            <m:den>
              <m:f>
                <m:fPr>
                  <m:type m:val="bar"/>
                </m:fPr>
                <m:num>
                  <m:r>
                    <m:t>1</m:t>
                  </m:r>
                  <m:r>
                    <m:rPr>
                      <m:sty m:val="p"/>
                    </m:rP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w:t>
      </w:r>
    </w:p>
    <w:p>
      <w:pPr>
        <w:pStyle w:val="BodyText"/>
      </w:pPr>
      <m:oMathPara>
        <m:oMathParaPr>
          <m:jc m:val="center"/>
        </m:oMathParaPr>
        <m:oMath>
          <m:r>
            <m:t>H</m:t>
          </m:r>
          <m:r>
            <m:t>H</m:t>
          </m:r>
          <m:r>
            <m:t>I</m:t>
          </m:r>
          <m:r>
            <m:t>D</m:t>
          </m:r>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q</m:t>
                                  </m:r>
                                </m:e>
                                <m:sub>
                                  <m:r>
                                    <m:t>i</m:t>
                                  </m:r>
                                </m:sub>
                              </m:sSub>
                              <m:r>
                                <m:rPr>
                                  <m:sty m:val="p"/>
                                </m:rPr>
                                <m:t>−</m:t>
                              </m:r>
                              <m:r>
                                <m:t>1</m:t>
                              </m:r>
                            </m:num>
                            <m:den>
                              <m:r>
                                <m:t>N</m:t>
                              </m:r>
                            </m:den>
                          </m:f>
                        </m:e>
                      </m:d>
                    </m:e>
                    <m:sup>
                      <m:r>
                        <m:t>2</m:t>
                      </m:r>
                    </m:sup>
                  </m:sSup>
                </m:e>
              </m:nary>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bancos nacionais com probemas operacionais.</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54.4%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 .</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moentária e nos meios e pagamentos.</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precificaçào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)\footnote{Os títulos privados são compostos por Depósitos a prazo; Letras financeiras (LF); Letras de crédito do agronegócio (LCA); Letras de crédito imobiliárias (LCI); entre outros como aceites de letras de câmbio, Letras hipotecárias, Letras imobiliárias e Certificados de operações estruturadas</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m:t>
          </m:r>
          <m:r>
            <m:rPr>
              <m:sty m:val="p"/>
            </m:rPr>
            <m:t>&gt;</m:t>
          </m:r>
          <m:r>
            <m:t>P</m:t>
          </m:r>
          <m:r>
            <m:rPr>
              <m:sty m:val="p"/>
            </m:rPr>
            <m:t>=</m:t>
          </m:r>
          <m:f>
            <m:fPr>
              <m:type m:val="bar"/>
            </m:fPr>
            <m:num>
              <m:r>
                <m:t>M</m:t>
              </m:r>
              <m:r>
                <m:t>V</m:t>
              </m:r>
            </m:num>
            <m:den>
              <m:r>
                <m:t>y</m:t>
              </m:r>
            </m:den>
          </m:f>
          <m:r>
            <m:rPr>
              <m:sty m:val="p"/>
            </m:rPr>
            <m:t>=</m:t>
          </m:r>
          <m:r>
            <m:rPr>
              <m:sty m:val="p"/>
            </m:rPr>
            <m:t>&gt;</m:t>
          </m:r>
          <m:r>
            <m:t>V</m:t>
          </m:r>
          <m:r>
            <m:rPr>
              <m:sty m:val="p"/>
            </m:rP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 abordagem em torno da estrutura e determinante do</w:t>
      </w:r>
      <w:r>
        <w:t xml:space="preserve"> </w:t>
      </w:r>
      <w:r>
        <w:rPr>
          <w:iCs/>
          <w:i/>
        </w:rPr>
        <w:t xml:space="preserve">spread</w:t>
      </w:r>
      <w:r>
        <w:t xml:space="preserve"> </w:t>
      </w:r>
      <w:r>
        <w:t xml:space="preserve">bancário,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w:t>
      </w:r>
      <w:r>
        <w:t xml:space="preserve">Souza (2007)</w:t>
      </w:r>
      <w:r>
        <w:t xml:space="preserve"> </w:t>
      </w:r>
      <w:r>
        <w:rPr>
          <w:iCs/>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Cs/>
          <w:i/>
        </w:rPr>
        <w:t xml:space="preserve">spread</w:t>
      </w:r>
      <w:r>
        <w:t xml:space="preserve"> </w:t>
      </w:r>
      <w:r>
        <w:rPr>
          <w:iCs/>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adoção de política cambial de flutuação reduziram a neccessidade de controlar o balanço de pagamentos através da imposição de elevadas taxas de juros básicas. Tais medidas combinadas com políticas de austeridade fiscal tiveram impactos positivos sobre a taxa de juros e sobbre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 </w:t>
      </w:r>
      <w:r>
        <w:t xml:space="preserve">e ilustrado na .</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corroborrar com perspectiva de dimensão e levanta uma outra perspectiva no que tange o volume-prazo-risco.</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composicão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Nos resultados o estudo concluiu que a taxa básica de juros explicam somente uma parte das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 spread com a demanda interna, atuando via a elevação da oferta de crédito, combinados com redução da taxa de compulsório e políticas de concessão de crédito. E que alterações na taxa básica de juros afetam toda a cadeira de taxas até consumidor final, em uma estrutura de custos das operações em degraus</w:t>
      </w:r>
      <w:r>
        <w:t xml:space="preserve">.</w:t>
      </w:r>
    </w:p>
    <w:p>
      <w:pPr>
        <w:pStyle w:val="BodyText"/>
      </w:pPr>
      <w:r>
        <w:t xml:space="preserve">Outro aspecto levantado por</w:t>
      </w:r>
      <w:r>
        <w:t xml:space="preserve"> </w:t>
      </w:r>
      <w:r>
        <w:t xml:space="preserve">, é que no periodo levantado ao</w:t>
      </w:r>
      <w:r>
        <w:t xml:space="preserve"> </w:t>
      </w:r>
      <w:r>
        <w:rPr>
          <w:iCs/>
          <w:i/>
        </w:rPr>
        <w:t xml:space="preserve">spread</w:t>
      </w:r>
      <w:r>
        <w:t xml:space="preserve"> </w:t>
      </w:r>
      <w:r>
        <w:t xml:space="preserve">não demonstrou instabilidade diante a volatilidade da taxa básica de juros, que apresentou grande variação durante o período. Onde o custo de crédito em suas modalidades refletem as alterações na taxa básica de juros.</w:t>
      </w:r>
    </w:p>
    <w:p>
      <w:pPr>
        <w:pStyle w:val="BodyText"/>
      </w:pPr>
      <w:r>
        <w:t xml:space="preserve">De acordo com</w:t>
      </w:r>
      <w:r>
        <w:t xml:space="preserve"> </w:t>
      </w:r>
      <w:r>
        <w:t xml:space="preserve">, a inadimplência é o componente mais onoeroso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 como relevantes e determinantes na explicação do spread.</w:t>
      </w:r>
    </w:p>
    <w:p>
      <w:pPr>
        <w:pStyle w:val="BodyText"/>
      </w:pPr>
      <w:r>
        <w:t xml:space="preserve">Em</w:t>
      </w:r>
      <w:r>
        <w:t xml:space="preserve"> </w:t>
      </w:r>
      <w:r>
        <w:t xml:space="preserve">, o risco de crédito foi apresentado como determinante, no custo da operação, por implicar na não concessão, elevando as demais operações realizadas. Pois ao emprestar o capital de terceiros os bancos assumem o risco, e buscam minimizar com uma cobrança adicional associada a probabilidade de não receber, onde tal avalação ser arbitária.</w:t>
      </w:r>
    </w:p>
    <w:p>
      <w:pPr>
        <w:pStyle w:val="BodyText"/>
      </w:pPr>
      <w:r>
        <w:t xml:space="preserve">O risco de crédito e inadimplência estão relcionados em parte com fatores definidos no ambiente macroeconômico e outra parte com as características instituicionais de cada instituição, no que tangem a capacidade de avalição de crédito.</w:t>
      </w:r>
    </w:p>
    <w:p>
      <w:pPr>
        <w:pStyle w:val="BodyText"/>
      </w:pPr>
      <w:r>
        <w:t xml:space="preserve">Segundo</w:t>
      </w:r>
      <w:r>
        <w:t xml:space="preserve"> </w:t>
      </w:r>
      <w:r>
        <w:t xml:space="preserve"> </w:t>
      </w:r>
      <w:r>
        <w:t xml:space="preserve">as despesas administrativas estão relacionadas com a eficência, quantidade de agências e grau de alavancagem das operações de crédito. E quanto menor o volume da operações, maior será a participação das depesas admistrativas,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pesoas jurídica , princpalmente por conta do IOF. O mesmo ocorre com as despesas administrativas, repasse de riscos e margem de lucro, que por conseguinte elevam o PIS e COFINS.</w:t>
      </w:r>
      <w:r>
        <w:t xml:space="preserve"> </w:t>
      </w:r>
      <w:r>
        <w:t xml:space="preserve">O comportamento social e cultura também são apotados como fatores determinantes, em</w:t>
      </w:r>
      <w:r>
        <w:t xml:space="preserve"> </w:t>
      </w:r>
      <w:r>
        <w:t xml:space="preserve">, afetando a inadimplência na perspectiva de risco moral. E que o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financiera, reduzindo a dispersão dos custos administrativos e de capital nas operações de crédito. A inadimplência age limitando a carteira de crédito, mantendo a alavacagem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os de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serão apresentados concepções, pressupostos e critérios teóricos e técnicos diante o conjunto de informações e dados levantados, que servirão como pilar para a construção da modelagem econométrica. Na segunda parte serão trazidas as características teóricas da modelagem selecionada. E ma última parte serão expostas as hipóteses com detalhamentos das variáveis.</w:t>
      </w:r>
    </w:p>
    <w:p>
      <w:pPr>
        <w:pStyle w:val="BodyText"/>
      </w:pPr>
      <w:r>
        <w:t xml:space="preserve">A abordagem adotada para o</w:t>
      </w:r>
      <w:r>
        <w:t xml:space="preserve"> </w:t>
      </w:r>
      <w:r>
        <w:rPr>
          <w:iCs/>
          <w:i/>
        </w:rPr>
        <w:t xml:space="preserve">spread</w:t>
      </w:r>
      <w:r>
        <w:t xml:space="preserve"> </w:t>
      </w:r>
      <w:r>
        <w:t xml:space="preserve">será na ótica de precificação, levando em consideração a origem do capital como insumo, as despesas, custos e impostos e um mutiplicador de aplicação (</w:t>
      </w:r>
      <w:r>
        <w:rPr>
          <w:iCs/>
          <w:i/>
        </w:rPr>
        <w:t xml:space="preserve">markup</w:t>
      </w:r>
      <w:r>
        <w:t xml:space="preserve">), na forma da</w:t>
      </w:r>
      <w:r>
        <w:t xml:space="preserve"> </w:t>
      </w:r>
      <w:r>
        <w:t xml:space="preserve">, resultado do desenvolvimento realizado no</w:t>
      </w:r>
      <w:r>
        <w:t xml:space="preserve"> </w:t>
      </w:r>
    </w:p>
    <w:p>
      <w:pPr>
        <w:pStyle w:val="BodyText"/>
      </w:pPr>
      <w:r>
        <w:t xml:space="preserve">$$</w:t>
      </w:r>
    </w:p>
    <w:bookmarkStart w:id="20" w:name="section"/>
    <w:p>
      <w:pPr>
        <w:pStyle w:val="Heading3"/>
      </w:pPr>
      <w:r>
        <w:rPr>
          <w:rStyle w:val="SectionNumber"/>
        </w:rPr>
        <w:t xml:space="preserve">0.0.1</w:t>
      </w:r>
      <w:r>
        <w:tab/>
      </w:r>
    </w:p>
    <w:bookmarkEnd w:id="20"/>
    <w:bookmarkStart w:id="21" w:name="section-1"/>
    <w:p>
      <w:pPr>
        <w:pStyle w:val="Heading3"/>
      </w:pPr>
      <w:r>
        <w:rPr>
          <w:rStyle w:val="SectionNumber"/>
        </w:rPr>
        <w:t xml:space="preserve">0.0.2</w:t>
      </w:r>
      <w:r>
        <w:tab/>
      </w:r>
    </w:p>
    <w:p>
      <w:pPr>
        <w:pStyle w:val="FirstParagraph"/>
      </w:pPr>
      <w:r>
        <w:t xml:space="preserve">Em fase de testes preliminares foram testados os modelos de regressão SUR:</w:t>
      </w:r>
      <w:r>
        <w:t xml:space="preserve"> </w:t>
      </w:r>
      <w:r>
        <w:rPr>
          <w:iCs/>
          <w:i/>
        </w:rPr>
        <w:t xml:space="preserve">pooling</w:t>
      </w:r>
      <w:r>
        <w:t xml:space="preserve">, efeitos aleatórios e efeitos fixos, conforme</w:t>
      </w:r>
      <w:r>
        <w:t xml:space="preserve"> </w:t>
      </w:r>
      <w:r>
        <w:t xml:space="preserve">, remontando coeficientes de determinação (</w:t>
      </w:r>
      <m:oMath>
        <m:sSup>
          <m:e>
            <m:r>
              <m:t>R</m:t>
            </m:r>
          </m:e>
          <m:sup>
            <m:r>
              <m:t>2</m:t>
            </m:r>
          </m:sup>
        </m:sSup>
      </m:oMath>
      <w:r>
        <w:t xml:space="preserve">) na faixa de 0,85, Porém na etapa de testes as modelagens apresentaram problemas de heterocedasticidade e corelação serial, prejudicando a confiabilidade das estimações.</w:t>
      </w:r>
    </w:p>
    <w:p>
      <w:pPr>
        <w:pStyle w:val="BodyText"/>
      </w:pPr>
      <w:r>
        <w:t xml:space="preserve">Porém, de acordo com</w:t>
      </w:r>
      <w:r>
        <w:t xml:space="preserve"> </w:t>
      </w:r>
      <w:r>
        <w:t xml:space="preserve"> </w:t>
      </w:r>
      <w:r>
        <w:t xml:space="preserve">e</w:t>
      </w:r>
      <w:r>
        <w:t xml:space="preserve"> </w:t>
      </w:r>
      <w:r>
        <w:t xml:space="preserve">, os testes de dependência</w:t>
      </w:r>
      <w:r>
        <w:t xml:space="preserve"> </w:t>
      </w:r>
      <w:r>
        <w:rPr>
          <w:iCs/>
          <w:i/>
        </w:rPr>
        <w:t xml:space="preserve">cross-seccional</w:t>
      </w:r>
      <w:r>
        <w:t xml:space="preserve"> </w:t>
      </w:r>
      <w:r>
        <w:t xml:space="preserve">e correlação serial não significam essencialmente que exista essa condição para o modelo, e sim um problema de especificação dinâmica, com a omissão de variáveis defasadas. Se adequando ao modelo conceitual, regido pelo dinamismo, dependente de fatores endógenos e exógenos.</w:t>
      </w:r>
    </w:p>
    <w:p>
      <w:pPr>
        <w:pStyle w:val="BodyText"/>
      </w:pPr>
      <w:r>
        <w:t xml:space="preserve">Diante as características do modelo, foi identificada a metodologia de painel de vetores autoregressivos (PVAR), que comporta mais de uma variável dependente defasadada,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incosistência dos modelos de efeitos fixos, utilizando variáveis defasadas como instrumentos para variáveis endógenas. O procedimento de estimação pode ser em uma etapa ou duas etapas, onde esta última se basea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tranformação orthogonal, confome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condiçãode momento mantém a proposta incial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indice-resumo</w:t>
      </w:r>
      <w:r>
        <w:t xml:space="preserve"> </w:t>
      </w:r>
      <w:r>
        <w:t xml:space="preserve">.</w:t>
      </w:r>
    </w:p>
    <w:p>
      <w:pPr>
        <w:pStyle w:val="BodyText"/>
      </w:pPr>
      <w:r>
        <w:t xml:space="preserve">Para o modelo PVAR-GMM (System) a ser utilizado, levando em consideração a complexidade do painel dinâmico, será adotada a ferramenta de instrumentos PCA para evitar problemas de proliferação, e consequetemente sobreajuste, viés e auferição.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avaliacão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paineis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 ̈tkepohl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Para a análise do modelo PVAR-GMM (System) será utilizada a função impulso resposta octogonal (OIRF) —</w:t>
      </w:r>
      <w:r>
        <w:t xml:space="preserve"> </w:t>
      </w:r>
      <w:r>
        <w:t xml:space="preserve"> </w:t>
      </w:r>
      <w:r>
        <w:t xml:space="preserve">— visando analisar a resposta de uma variável ao impulsos das demais variável de forma isolada dentro da mesma equação, eliminando desta forma o problema de correlação endógena, que ocorre no método de impulso resposta convencional (IRF)</w:t>
      </w:r>
      <w:r>
        <w:t xml:space="preserve"> </w:t>
      </w:r>
      <w:r>
        <w:t xml:space="preserve">..</w:t>
      </w:r>
    </w:p>
    <w:p>
      <w:pPr>
        <w:pStyle w:val="BodyText"/>
      </w:pPr>
      <w:r>
        <w:t xml:space="preserve">$$</w:t>
      </w:r>
    </w:p>
    <w:p>
      <w:pPr>
        <w:pStyle w:val="BodyText"/>
      </w:pPr>
      <w:r>
        <w:t xml:space="preserve">De forma complementar,será utilizada a função de impulso resposta generalizada (GIRF), que de forma alternativa ao OIRF, realiza o choque de somente um elemento, integrando com os efeitos de outro choque usando a distribuição observada dos erros, assumindo a forma da</w:t>
      </w:r>
      <w:r>
        <w:t xml:space="preserve"> </w:t>
      </w:r>
      <w:r>
        <w:t xml:space="preserve"> </w:t>
      </w:r>
      <w:r>
        <w:t xml:space="preserve">.</w:t>
      </w:r>
    </w:p>
    <w:p>
      <w:pPr>
        <w:pStyle w:val="BodyText"/>
      </w:pPr>
      <w:r>
        <w:t xml:space="preserve">$$</w:t>
      </w:r>
    </w:p>
    <w:p>
      <w:pPr>
        <w:pStyle w:val="BodyText"/>
      </w:pPr>
      <w:r>
        <w:t xml:space="preserve">Os intervalos de confiança para as análises das funções impulso reposta OIRF e GIRF serão construídos através do procedimento de</w:t>
      </w:r>
      <w:r>
        <w:t xml:space="preserve"> </w:t>
      </w:r>
      <w:r>
        <w:rPr>
          <w:iCs/>
          <w:i/>
        </w:rPr>
        <w:t xml:space="preserve">bootstrap cross-sectional</w:t>
      </w:r>
      <w:r>
        <w:t xml:space="preserve"> </w:t>
      </w:r>
      <w:r>
        <w:t xml:space="preserve">proposto por</w:t>
      </w:r>
      <w:r>
        <w:t xml:space="preserve"> </w:t>
      </w:r>
      <w:r>
        <w:t xml:space="preserve">, construindo amostras de bootstrap através da reamostragem de unidades inteiras de seção transversal com substituição, produzindo refinamentos assintóticos.</w:t>
      </w:r>
    </w:p>
    <w:p>
      <w:pPr>
        <w:pStyle w:val="BodyText"/>
      </w:pPr>
      <w:r>
        <w:t xml:space="preserve">Nesta seção serão apresentadas 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operacionais (</w:t>
      </w:r>
      <m:oMath>
        <m:r>
          <m:t>R</m:t>
        </m:r>
        <m:r>
          <m:t>c</m:t>
        </m:r>
        <m:r>
          <m:t>O</m:t>
        </m:r>
        <m:r>
          <m:t>p</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 conforme encontrado apresentado em</w:t>
      </w:r>
      <w:r>
        <w:t xml:space="preserve"> </w:t>
      </w:r>
      <w:r>
        <w:t xml:space="preserve"> </w:t>
      </w:r>
      <w:r>
        <w:t xml:space="preserve">e</w:t>
      </w:r>
      <w:r>
        <w:t xml:space="preserve"> </w:t>
      </w:r>
      <w:r>
        <w:t xml:space="preserve">.</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será considada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E</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E</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interfinanceiros (</w:t>
      </w:r>
      <m:oMath>
        <m:r>
          <m:t>E</m:t>
        </m:r>
        <m:r>
          <m:t>I</m:t>
        </m:r>
        <m:r>
          <m:t>f</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depósitos interfeinanceiros (</w:t>
      </w:r>
      <m:oMath>
        <m:r>
          <m:t>E</m:t>
        </m:r>
        <m:r>
          <m:t>I</m:t>
        </m:r>
        <m:r>
          <m:t>f</m:t>
        </m:r>
      </m:oMath>
      <w:r>
        <w:t xml:space="preserve">) será utilizado o total dos depósitos interfinanceiros (</w:t>
      </w:r>
      <m:oMath>
        <m:r>
          <m:t>D</m:t>
        </m:r>
        <m:r>
          <m:t>e</m:t>
        </m:r>
        <m:r>
          <m:t>p</m:t>
        </m:r>
        <m:r>
          <m:t>I</m:t>
        </m:r>
        <m:r>
          <m:t>f</m:t>
        </m:r>
      </m:oMath>
      <w:r>
        <w:t xml:space="preserve"> </w:t>
      </w:r>
      <w:r>
        <w:t xml:space="preserve">— Conta 41300006) em relação operações de crédito totais (</w:t>
      </w:r>
      <m:oMath>
        <m:r>
          <m:t>O</m:t>
        </m:r>
        <m:r>
          <m:t>p</m:t>
        </m:r>
        <m:r>
          <m:t>T</m:t>
        </m:r>
        <m:r>
          <m:t>o</m:t>
        </m:r>
        <m:r>
          <m:t>t</m:t>
        </m:r>
      </m:oMath>
      <w:r>
        <w:t xml:space="preserve">).</w:t>
      </w:r>
    </w:p>
    <w:p>
      <w:pPr>
        <w:pStyle w:val="BodyText"/>
      </w:pPr>
      <m:oMathPara>
        <m:oMathParaPr>
          <m:jc m:val="center"/>
        </m:oMathParaPr>
        <m:oMath>
          <m:r>
            <m:t>E</m:t>
          </m:r>
          <m:r>
            <m:t>I</m:t>
          </m:r>
          <m:sSub>
            <m:e>
              <m:r>
                <m:t>f</m:t>
              </m:r>
            </m:e>
            <m:sub>
              <m:r>
                <m:t>i</m:t>
              </m:r>
              <m:r>
                <m:t>t</m:t>
              </m:r>
            </m:sub>
          </m:sSub>
          <m:r>
            <m:rPr>
              <m:sty m:val="p"/>
            </m:rPr>
            <m:t>=</m:t>
          </m:r>
          <m:f>
            <m:fPr>
              <m:type m:val="bar"/>
            </m:fPr>
            <m:num>
              <m:r>
                <m:t>D</m:t>
              </m:r>
              <m:r>
                <m:t>e</m:t>
              </m:r>
              <m:r>
                <m:t>p</m:t>
              </m:r>
              <m:r>
                <m:t>I</m:t>
              </m:r>
              <m:sSub>
                <m:e>
                  <m:r>
                    <m:t>f</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operações de crédito com depósitos de poupança (</w:t>
      </w:r>
      <m:oMath>
        <m:r>
          <m:t>E</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será utilizado o total dos depósitos poupança (</w:t>
      </w:r>
      <m:oMath>
        <m:r>
          <m:t>D</m:t>
        </m:r>
        <m:r>
          <m:t>e</m:t>
        </m:r>
        <m:r>
          <m:t>p</m:t>
        </m:r>
        <m:r>
          <m:t>I</m:t>
        </m:r>
        <m:r>
          <m:t>f</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6</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7</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considerado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8</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será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será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10</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11</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13</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das impostos indiretos (</w:t>
      </w:r>
      <m:oMath>
        <m:r>
          <m:t>I</m:t>
        </m:r>
        <m:r>
          <m:t>m</m:t>
        </m:r>
        <m:r>
          <m:t>p</m:t>
        </m:r>
        <m:r>
          <m:t>R</m:t>
        </m:r>
        <m:r>
          <m:t>e</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serão utilizados da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p>
      <w:pPr>
        <w:pStyle w:val="FirstParagraph"/>
      </w:pPr>
      <m:oMath>
        <m:sSub>
          <m:e>
            <m:r>
              <m:t>H</m:t>
            </m:r>
          </m:e>
          <m:sub>
            <m:r>
              <m:t>26</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tc>
        <w:tc>
          <w:p/>
        </w:tc>
        <w:tc>
          <w:p/>
        </w:tc>
      </w:tr>
      <w:tr>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tc>
        <w:tc>
          <w:p/>
        </w:tc>
        <w:tc>
          <w:p/>
        </w:tc>
        <w:tc>
          <w:p/>
        </w:tc>
      </w:tr>
      <w:tr>
        <w:tc>
          <w:p>
            <w:pPr>
              <w:pStyle w:val="Compact"/>
              <w:jc w:val="center"/>
            </w:pPr>
            <w:r>
              <w:t xml:space="preserve">+</w:t>
            </w:r>
          </w:p>
        </w:tc>
        <w:tc>
          <w:p>
            <w:pPr>
              <w:pStyle w:val="Compact"/>
              <w:jc w:val="center"/>
            </w:pPr>
            <w:r>
              <w:t xml:space="preserve">+</w:t>
            </w:r>
          </w:p>
        </w:tc>
        <w:tc>
          <w:p/>
        </w:tc>
        <w:tc>
          <w:p/>
        </w:tc>
        <w:tc>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a serem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flutuando a cada período,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ressultado da estimação do painel dinâmico com vetores autoregressivos com estimador GMM-System, com transformação ortogonal para frente em duas estapas,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Dynamic Panel VAR estimation, two-step GMM</w:t>
            </w:r>
          </w:p>
        </w:tc>
      </w:tr>
      <w:tr>
        <w:tc>
          <w:p>
            <w:pPr>
              <w:pStyle w:val="Compact"/>
              <w:jc w:val="left"/>
            </w:pPr>
            <w:r>
              <w:t xml:space="preserve">Transformation: Forward orthogonal deviations</w:t>
            </w:r>
          </w:p>
        </w:tc>
      </w:tr>
      <w:tr>
        <w:tc>
          <w:p>
            <w:pPr>
              <w:pStyle w:val="Compact"/>
              <w:jc w:val="left"/>
            </w:pPr>
            <w:r>
              <w:t xml:space="preserve">Variável de Grupo: BANCO</w:t>
            </w:r>
          </w:p>
        </w:tc>
      </w:tr>
      <w:tr>
        <w:tc>
          <w:p>
            <w:pPr>
              <w:pStyle w:val="Compact"/>
              <w:jc w:val="left"/>
            </w:pPr>
            <w:r>
              <w:t xml:space="preserve">Variável de tempo: DATA</w:t>
            </w:r>
          </w:p>
        </w:tc>
      </w:tr>
      <w:tr>
        <w:tc>
          <w:p>
            <w:pPr>
              <w:pStyle w:val="Compact"/>
              <w:jc w:val="left"/>
            </w:pPr>
            <w:r>
              <w:t xml:space="preserve">Número de Observações = 8.302</w:t>
            </w:r>
          </w:p>
        </w:tc>
      </w:tr>
      <w:tr>
        <w:tc>
          <w:p>
            <w:pPr>
              <w:pStyle w:val="Compact"/>
              <w:jc w:val="left"/>
            </w:pPr>
            <w:r>
              <w:t xml:space="preserve">Número de Instituições = 193</w:t>
            </w:r>
          </w:p>
        </w:tc>
      </w:tr>
      <w:tr>
        <w:tc>
          <w:p>
            <w:pPr>
              <w:pStyle w:val="Compact"/>
              <w:jc w:val="left"/>
            </w:pPr>
            <w:r>
              <w:t xml:space="preserve">Observações por grupo: Mínimo = 1</w:t>
            </w:r>
          </w:p>
        </w:tc>
      </w:tr>
      <w:tr>
        <w:tc>
          <w:p>
            <w:pPr>
              <w:pStyle w:val="Compact"/>
              <w:jc w:val="left"/>
            </w:pPr>
            <w:r>
              <w:t xml:space="preserve">Média = 50.93252</w:t>
            </w:r>
          </w:p>
        </w:tc>
      </w:tr>
      <w:tr>
        <w:tc>
          <w:p>
            <w:pPr>
              <w:pStyle w:val="Compact"/>
              <w:jc w:val="left"/>
            </w:pPr>
            <w:r>
              <w:t xml:space="preserve">Máximo = 113</w:t>
            </w:r>
          </w:p>
        </w:tc>
      </w:tr>
      <w:tr>
        <w:tc>
          <w:p>
            <w:pPr>
              <w:pStyle w:val="Compact"/>
              <w:jc w:val="left"/>
            </w:pPr>
            <w:r>
              <w:t xml:space="preserve">Number of instruments = 408</w:t>
            </w:r>
          </w:p>
        </w:tc>
      </w:tr>
    </w:tbl>
    <w:p/>
    <w:tbl>
      <w:tblPr>
        <w:tblStyle w:val="Table"/>
        <w:tblW w:type="pct" w:w="0"/>
        <w:tblLook w:firstRow="1" w:lastRow="0" w:firstColumn="0" w:lastColumn="0" w:noHBand="0" w:noVBand="0" w:val="0020"/>
      </w:tblPr>
      <w:tblGrid/>
      <w:tr>
        <w:tc>
          <w:p/>
        </w:tc>
        <w:tc>
          <w:p>
            <w:pPr>
              <w:pStyle w:val="Compact"/>
              <w:jc w:val="left"/>
            </w:pPr>
            <w:r>
              <w:t xml:space="preserve">SprEp</w:t>
            </w:r>
          </w:p>
        </w:tc>
        <w:tc>
          <w:p>
            <w:pPr>
              <w:pStyle w:val="Compact"/>
              <w:jc w:val="left"/>
            </w:pPr>
            <w:r>
              <w:t xml:space="preserve">Rent</w:t>
            </w:r>
          </w:p>
        </w:tc>
      </w:tr>
      <w:tr>
        <w:tc>
          <w:p>
            <w:pPr>
              <w:pStyle w:val="Compact"/>
              <w:jc w:val="left"/>
            </w:pPr>
            <w:r>
              <w:t xml:space="preserve">lag1_SprEp</w:t>
            </w:r>
          </w:p>
        </w:tc>
        <w:tc>
          <w:p>
            <w:pPr>
              <w:pStyle w:val="Compact"/>
              <w:jc w:val="left"/>
            </w:pPr>
            <w:r>
              <w:t xml:space="preserve">0.0419 **</w:t>
            </w:r>
          </w:p>
        </w:tc>
        <w:tc>
          <w:p>
            <w:pPr>
              <w:pStyle w:val="Compact"/>
              <w:jc w:val="left"/>
            </w:pPr>
            <w:r>
              <w:t xml:space="preserve">-0.0329</w:t>
            </w:r>
          </w:p>
        </w:tc>
      </w:tr>
      <w:tr>
        <w:tc>
          <w:p/>
        </w:tc>
        <w:tc>
          <w:p>
            <w:pPr>
              <w:pStyle w:val="Compact"/>
              <w:jc w:val="left"/>
            </w:pPr>
            <w:r>
              <w:t xml:space="preserve">(0.0144)</w:t>
            </w:r>
          </w:p>
        </w:tc>
        <w:tc>
          <w:p>
            <w:pPr>
              <w:pStyle w:val="Compact"/>
              <w:jc w:val="left"/>
            </w:pPr>
            <w:r>
              <w:t xml:space="preserve">(0.0238)</w:t>
            </w:r>
          </w:p>
        </w:tc>
      </w:tr>
      <w:tr>
        <w:tc>
          <w:p>
            <w:pPr>
              <w:pStyle w:val="Compact"/>
              <w:jc w:val="left"/>
            </w:pPr>
            <w:r>
              <w:t xml:space="preserve">lag1_Rent</w:t>
            </w:r>
          </w:p>
        </w:tc>
        <w:tc>
          <w:p>
            <w:pPr>
              <w:pStyle w:val="Compact"/>
              <w:jc w:val="left"/>
            </w:pPr>
            <w:r>
              <w:t xml:space="preserve">-0.1437 ***</w:t>
            </w:r>
          </w:p>
        </w:tc>
        <w:tc>
          <w:p>
            <w:pPr>
              <w:pStyle w:val="Compact"/>
              <w:jc w:val="left"/>
            </w:pPr>
            <w:r>
              <w:t xml:space="preserve">0.3700 ***</w:t>
            </w:r>
          </w:p>
        </w:tc>
      </w:tr>
      <w:tr>
        <w:tc>
          <w:p/>
        </w:tc>
        <w:tc>
          <w:p>
            <w:pPr>
              <w:pStyle w:val="Compact"/>
              <w:jc w:val="left"/>
            </w:pPr>
            <w:r>
              <w:t xml:space="preserve">(0.0349)</w:t>
            </w:r>
          </w:p>
        </w:tc>
        <w:tc>
          <w:p>
            <w:pPr>
              <w:pStyle w:val="Compact"/>
              <w:jc w:val="left"/>
            </w:pPr>
            <w:r>
              <w:t xml:space="preserve">(0.0156)</w:t>
            </w:r>
          </w:p>
        </w:tc>
      </w:tr>
      <w:tr>
        <w:tc>
          <w:p>
            <w:pPr>
              <w:pStyle w:val="Compact"/>
              <w:jc w:val="left"/>
            </w:pPr>
            <w:r>
              <w:t xml:space="preserve">lag2_SprEp</w:t>
            </w:r>
          </w:p>
        </w:tc>
        <w:tc>
          <w:p>
            <w:pPr>
              <w:pStyle w:val="Compact"/>
              <w:jc w:val="left"/>
            </w:pPr>
            <w:r>
              <w:t xml:space="preserve">-0.0323 **</w:t>
            </w:r>
          </w:p>
        </w:tc>
        <w:tc>
          <w:p>
            <w:pPr>
              <w:pStyle w:val="Compact"/>
              <w:jc w:val="left"/>
            </w:pPr>
            <w:r>
              <w:t xml:space="preserve">-0.0046</w:t>
            </w:r>
          </w:p>
        </w:tc>
      </w:tr>
      <w:tr>
        <w:tc>
          <w:p/>
        </w:tc>
        <w:tc>
          <w:p>
            <w:pPr>
              <w:pStyle w:val="Compact"/>
              <w:jc w:val="left"/>
            </w:pPr>
            <w:r>
              <w:t xml:space="preserve">(0.0125)</w:t>
            </w:r>
          </w:p>
        </w:tc>
        <w:tc>
          <w:p>
            <w:pPr>
              <w:pStyle w:val="Compact"/>
              <w:jc w:val="left"/>
            </w:pPr>
            <w:r>
              <w:t xml:space="preserve">(0.0173)</w:t>
            </w:r>
          </w:p>
        </w:tc>
      </w:tr>
      <w:tr>
        <w:tc>
          <w:p>
            <w:pPr>
              <w:pStyle w:val="Compact"/>
              <w:jc w:val="left"/>
            </w:pPr>
            <w:r>
              <w:t xml:space="preserve">lag2_Rent</w:t>
            </w:r>
          </w:p>
        </w:tc>
        <w:tc>
          <w:p>
            <w:pPr>
              <w:pStyle w:val="Compact"/>
              <w:jc w:val="left"/>
            </w:pPr>
            <w:r>
              <w:t xml:space="preserve">-0.0762</w:t>
            </w:r>
          </w:p>
        </w:tc>
        <w:tc>
          <w:p>
            <w:pPr>
              <w:pStyle w:val="Compact"/>
              <w:jc w:val="left"/>
            </w:pPr>
            <w:r>
              <w:t xml:space="preserve">0.1685 ***</w:t>
            </w:r>
          </w:p>
        </w:tc>
      </w:tr>
      <w:tr>
        <w:tc>
          <w:p/>
        </w:tc>
        <w:tc>
          <w:p>
            <w:pPr>
              <w:pStyle w:val="Compact"/>
              <w:jc w:val="left"/>
            </w:pPr>
            <w:r>
              <w:t xml:space="preserve">(0.0568)</w:t>
            </w:r>
          </w:p>
        </w:tc>
        <w:tc>
          <w:p>
            <w:pPr>
              <w:pStyle w:val="Compact"/>
              <w:jc w:val="left"/>
            </w:pPr>
            <w:r>
              <w:t xml:space="preserve">(0.0411)</w:t>
            </w:r>
          </w:p>
        </w:tc>
      </w:tr>
      <w:tr>
        <w:tc>
          <w:p>
            <w:pPr>
              <w:pStyle w:val="Compact"/>
              <w:jc w:val="left"/>
            </w:pPr>
            <w:r>
              <w:t xml:space="preserve">DAdm</w:t>
            </w:r>
          </w:p>
        </w:tc>
        <w:tc>
          <w:p>
            <w:pPr>
              <w:pStyle w:val="Compact"/>
              <w:jc w:val="left"/>
            </w:pPr>
            <w:r>
              <w:t xml:space="preserve">0.4778 ***</w:t>
            </w:r>
          </w:p>
        </w:tc>
        <w:tc>
          <w:p>
            <w:pPr>
              <w:pStyle w:val="Compact"/>
              <w:jc w:val="left"/>
            </w:pPr>
            <w:r>
              <w:t xml:space="preserve">-0.0078</w:t>
            </w:r>
          </w:p>
        </w:tc>
      </w:tr>
      <w:tr>
        <w:tc>
          <w:p/>
        </w:tc>
        <w:tc>
          <w:p>
            <w:pPr>
              <w:pStyle w:val="Compact"/>
              <w:jc w:val="left"/>
            </w:pPr>
            <w:r>
              <w:t xml:space="preserve">(0.0300)</w:t>
            </w:r>
          </w:p>
        </w:tc>
        <w:tc>
          <w:p>
            <w:pPr>
              <w:pStyle w:val="Compact"/>
              <w:jc w:val="left"/>
            </w:pPr>
            <w:r>
              <w:t xml:space="preserve">(0.0173)</w:t>
            </w:r>
          </w:p>
        </w:tc>
      </w:tr>
      <w:tr>
        <w:tc>
          <w:p>
            <w:pPr>
              <w:pStyle w:val="Compact"/>
              <w:jc w:val="left"/>
            </w:pPr>
            <w:r>
              <w:t xml:space="preserve">DesCap</w:t>
            </w:r>
          </w:p>
        </w:tc>
        <w:tc>
          <w:p>
            <w:pPr>
              <w:pStyle w:val="Compact"/>
              <w:jc w:val="left"/>
            </w:pPr>
            <w:r>
              <w:t xml:space="preserve">0.4014 ***</w:t>
            </w:r>
          </w:p>
        </w:tc>
        <w:tc>
          <w:p>
            <w:pPr>
              <w:pStyle w:val="Compact"/>
              <w:jc w:val="left"/>
            </w:pPr>
            <w:r>
              <w:t xml:space="preserve">0.0987 **</w:t>
            </w:r>
          </w:p>
        </w:tc>
      </w:tr>
      <w:tr>
        <w:tc>
          <w:p/>
        </w:tc>
        <w:tc>
          <w:p>
            <w:pPr>
              <w:pStyle w:val="Compact"/>
              <w:jc w:val="left"/>
            </w:pPr>
            <w:r>
              <w:t xml:space="preserve">(0.0523)</w:t>
            </w:r>
          </w:p>
        </w:tc>
        <w:tc>
          <w:p>
            <w:pPr>
              <w:pStyle w:val="Compact"/>
              <w:jc w:val="left"/>
            </w:pPr>
            <w:r>
              <w:t xml:space="preserve">(0.0340)</w:t>
            </w:r>
          </w:p>
        </w:tc>
      </w:tr>
      <w:tr>
        <w:tc>
          <w:p>
            <w:pPr>
              <w:pStyle w:val="Compact"/>
              <w:jc w:val="left"/>
            </w:pPr>
            <w:r>
              <w:t xml:space="preserve">OtDes</w:t>
            </w:r>
          </w:p>
        </w:tc>
        <w:tc>
          <w:p>
            <w:pPr>
              <w:pStyle w:val="Compact"/>
              <w:jc w:val="left"/>
            </w:pPr>
            <w:r>
              <w:t xml:space="preserve">1.2671 ***</w:t>
            </w:r>
          </w:p>
        </w:tc>
        <w:tc>
          <w:p>
            <w:pPr>
              <w:pStyle w:val="Compact"/>
              <w:jc w:val="left"/>
            </w:pPr>
            <w:r>
              <w:t xml:space="preserve">0.0279</w:t>
            </w:r>
          </w:p>
        </w:tc>
      </w:tr>
      <w:tr>
        <w:tc>
          <w:p/>
        </w:tc>
        <w:tc>
          <w:p>
            <w:pPr>
              <w:pStyle w:val="Compact"/>
              <w:jc w:val="left"/>
            </w:pPr>
            <w:r>
              <w:t xml:space="preserve">(0.0259)</w:t>
            </w:r>
          </w:p>
        </w:tc>
        <w:tc>
          <w:p>
            <w:pPr>
              <w:pStyle w:val="Compact"/>
              <w:jc w:val="left"/>
            </w:pPr>
            <w:r>
              <w:t xml:space="preserve">(0.0285)</w:t>
            </w:r>
          </w:p>
        </w:tc>
      </w:tr>
      <w:tr>
        <w:tc>
          <w:p>
            <w:pPr>
              <w:pStyle w:val="Compact"/>
              <w:jc w:val="left"/>
            </w:pPr>
            <w:r>
              <w:t xml:space="preserve">Inad</w:t>
            </w:r>
          </w:p>
        </w:tc>
        <w:tc>
          <w:p>
            <w:pPr>
              <w:pStyle w:val="Compact"/>
              <w:jc w:val="left"/>
            </w:pPr>
            <w:r>
              <w:t xml:space="preserve">0.0485</w:t>
            </w:r>
          </w:p>
        </w:tc>
        <w:tc>
          <w:p>
            <w:pPr>
              <w:pStyle w:val="Compact"/>
              <w:jc w:val="left"/>
            </w:pPr>
            <w:r>
              <w:t xml:space="preserve">-0.2605 ***</w:t>
            </w:r>
          </w:p>
        </w:tc>
      </w:tr>
      <w:tr>
        <w:tc>
          <w:p/>
        </w:tc>
        <w:tc>
          <w:p>
            <w:pPr>
              <w:pStyle w:val="Compact"/>
              <w:jc w:val="left"/>
            </w:pPr>
            <w:r>
              <w:t xml:space="preserve">(0.0566)</w:t>
            </w:r>
          </w:p>
        </w:tc>
        <w:tc>
          <w:p>
            <w:pPr>
              <w:pStyle w:val="Compact"/>
              <w:jc w:val="left"/>
            </w:pPr>
            <w:r>
              <w:t xml:space="preserve">(0.0520)</w:t>
            </w:r>
          </w:p>
        </w:tc>
      </w:tr>
      <w:tr>
        <w:tc>
          <w:p>
            <w:pPr>
              <w:pStyle w:val="Compact"/>
              <w:jc w:val="left"/>
            </w:pPr>
            <w:r>
              <w:t xml:space="preserve">RcPd</w:t>
            </w:r>
          </w:p>
        </w:tc>
        <w:tc>
          <w:p>
            <w:pPr>
              <w:pStyle w:val="Compact"/>
              <w:jc w:val="left"/>
            </w:pPr>
            <w:r>
              <w:t xml:space="preserve">0.0552</w:t>
            </w:r>
          </w:p>
        </w:tc>
        <w:tc>
          <w:p>
            <w:pPr>
              <w:pStyle w:val="Compact"/>
              <w:jc w:val="left"/>
            </w:pPr>
            <w:r>
              <w:t xml:space="preserve">-0.2292 ***</w:t>
            </w:r>
          </w:p>
        </w:tc>
      </w:tr>
      <w:tr>
        <w:tc>
          <w:p/>
        </w:tc>
        <w:tc>
          <w:p>
            <w:pPr>
              <w:pStyle w:val="Compact"/>
              <w:jc w:val="left"/>
            </w:pPr>
            <w:r>
              <w:t xml:space="preserve">(0.0425)</w:t>
            </w:r>
          </w:p>
        </w:tc>
        <w:tc>
          <w:p>
            <w:pPr>
              <w:pStyle w:val="Compact"/>
              <w:jc w:val="left"/>
            </w:pPr>
            <w:r>
              <w:t xml:space="preserve">(0.0373)</w:t>
            </w:r>
          </w:p>
        </w:tc>
      </w:tr>
      <w:tr>
        <w:tc>
          <w:p>
            <w:pPr>
              <w:pStyle w:val="Compact"/>
              <w:jc w:val="left"/>
            </w:pPr>
            <w:r>
              <w:t xml:space="preserve">EPr</w:t>
            </w:r>
          </w:p>
        </w:tc>
        <w:tc>
          <w:p>
            <w:pPr>
              <w:pStyle w:val="Compact"/>
              <w:jc w:val="left"/>
            </w:pPr>
            <w:r>
              <w:t xml:space="preserve">-0.0886 ***</w:t>
            </w:r>
          </w:p>
        </w:tc>
        <w:tc>
          <w:p>
            <w:pPr>
              <w:pStyle w:val="Compact"/>
              <w:jc w:val="left"/>
            </w:pPr>
            <w:r>
              <w:t xml:space="preserve">-0.0416 **</w:t>
            </w:r>
          </w:p>
        </w:tc>
      </w:tr>
      <w:tr>
        <w:tc>
          <w:p/>
        </w:tc>
        <w:tc>
          <w:p>
            <w:pPr>
              <w:pStyle w:val="Compact"/>
              <w:jc w:val="left"/>
            </w:pPr>
            <w:r>
              <w:t xml:space="preserve">(0.0202)</w:t>
            </w:r>
          </w:p>
        </w:tc>
        <w:tc>
          <w:p>
            <w:pPr>
              <w:pStyle w:val="Compact"/>
              <w:jc w:val="left"/>
            </w:pPr>
            <w:r>
              <w:t xml:space="preserve">(0.0134)</w:t>
            </w:r>
          </w:p>
        </w:tc>
      </w:tr>
      <w:tr>
        <w:tc>
          <w:p>
            <w:pPr>
              <w:pStyle w:val="Compact"/>
              <w:jc w:val="left"/>
            </w:pPr>
            <w:r>
              <w:t xml:space="preserve">DepAv</w:t>
            </w:r>
          </w:p>
        </w:tc>
        <w:tc>
          <w:p>
            <w:pPr>
              <w:pStyle w:val="Compact"/>
              <w:jc w:val="left"/>
            </w:pPr>
            <w:r>
              <w:t xml:space="preserve">-0.0490</w:t>
            </w:r>
          </w:p>
        </w:tc>
        <w:tc>
          <w:p>
            <w:pPr>
              <w:pStyle w:val="Compact"/>
              <w:jc w:val="left"/>
            </w:pPr>
            <w:r>
              <w:t xml:space="preserve">-0.1684 ***</w:t>
            </w:r>
          </w:p>
        </w:tc>
      </w:tr>
      <w:tr>
        <w:tc>
          <w:p/>
        </w:tc>
        <w:tc>
          <w:p>
            <w:pPr>
              <w:pStyle w:val="Compact"/>
              <w:jc w:val="left"/>
            </w:pPr>
            <w:r>
              <w:t xml:space="preserve">(0.0566)</w:t>
            </w:r>
          </w:p>
        </w:tc>
        <w:tc>
          <w:p>
            <w:pPr>
              <w:pStyle w:val="Compact"/>
              <w:jc w:val="left"/>
            </w:pPr>
            <w:r>
              <w:t xml:space="preserve">(0.0330)</w:t>
            </w:r>
          </w:p>
        </w:tc>
      </w:tr>
      <w:tr>
        <w:tc>
          <w:p>
            <w:pPr>
              <w:pStyle w:val="Compact"/>
              <w:jc w:val="left"/>
            </w:pPr>
            <w:r>
              <w:t xml:space="preserve">DepAp</w:t>
            </w:r>
          </w:p>
        </w:tc>
        <w:tc>
          <w:p>
            <w:pPr>
              <w:pStyle w:val="Compact"/>
              <w:jc w:val="left"/>
            </w:pPr>
            <w:r>
              <w:t xml:space="preserve">-0.0379</w:t>
            </w:r>
          </w:p>
        </w:tc>
        <w:tc>
          <w:p>
            <w:pPr>
              <w:pStyle w:val="Compact"/>
              <w:jc w:val="left"/>
            </w:pPr>
            <w:r>
              <w:t xml:space="preserve">-0.0397 **</w:t>
            </w:r>
          </w:p>
        </w:tc>
      </w:tr>
      <w:tr>
        <w:tc>
          <w:p/>
        </w:tc>
        <w:tc>
          <w:p>
            <w:pPr>
              <w:pStyle w:val="Compact"/>
              <w:jc w:val="left"/>
            </w:pPr>
            <w:r>
              <w:t xml:space="preserve">(0.0233)</w:t>
            </w:r>
          </w:p>
        </w:tc>
        <w:tc>
          <w:p>
            <w:pPr>
              <w:pStyle w:val="Compact"/>
              <w:jc w:val="left"/>
            </w:pPr>
            <w:r>
              <w:t xml:space="preserve">(0.0146)</w:t>
            </w:r>
          </w:p>
        </w:tc>
      </w:tr>
      <w:tr>
        <w:tc>
          <w:p>
            <w:pPr>
              <w:pStyle w:val="Compact"/>
              <w:jc w:val="left"/>
            </w:pPr>
            <w:r>
              <w:t xml:space="preserve">DepPop</w:t>
            </w:r>
          </w:p>
        </w:tc>
        <w:tc>
          <w:p>
            <w:pPr>
              <w:pStyle w:val="Compact"/>
              <w:jc w:val="left"/>
            </w:pPr>
            <w:r>
              <w:t xml:space="preserve">0.1038 ***</w:t>
            </w:r>
          </w:p>
        </w:tc>
        <w:tc>
          <w:p>
            <w:pPr>
              <w:pStyle w:val="Compact"/>
              <w:jc w:val="left"/>
            </w:pPr>
            <w:r>
              <w:t xml:space="preserve">-0.1553 **</w:t>
            </w:r>
          </w:p>
        </w:tc>
      </w:tr>
      <w:tr>
        <w:tc>
          <w:p/>
        </w:tc>
        <w:tc>
          <w:p>
            <w:pPr>
              <w:pStyle w:val="Compact"/>
              <w:jc w:val="left"/>
            </w:pPr>
            <w:r>
              <w:t xml:space="preserve">(0.0104)</w:t>
            </w:r>
          </w:p>
        </w:tc>
        <w:tc>
          <w:p>
            <w:pPr>
              <w:pStyle w:val="Compact"/>
              <w:jc w:val="left"/>
            </w:pPr>
            <w:r>
              <w:t xml:space="preserve">(0.0550)</w:t>
            </w:r>
          </w:p>
        </w:tc>
      </w:tr>
      <w:tr>
        <w:tc>
          <w:p>
            <w:pPr>
              <w:pStyle w:val="Compact"/>
              <w:jc w:val="left"/>
            </w:pPr>
            <w:r>
              <w:t xml:space="preserve">ROpCr</w:t>
            </w:r>
          </w:p>
        </w:tc>
        <w:tc>
          <w:p>
            <w:pPr>
              <w:pStyle w:val="Compact"/>
              <w:jc w:val="left"/>
            </w:pPr>
            <w:r>
              <w:t xml:space="preserve">1.0332 ***</w:t>
            </w:r>
          </w:p>
        </w:tc>
        <w:tc>
          <w:p>
            <w:pPr>
              <w:pStyle w:val="Compact"/>
              <w:jc w:val="left"/>
            </w:pPr>
            <w:r>
              <w:t xml:space="preserve">-0.2662 ***</w:t>
            </w:r>
          </w:p>
        </w:tc>
      </w:tr>
      <w:tr>
        <w:tc>
          <w:p/>
        </w:tc>
        <w:tc>
          <w:p>
            <w:pPr>
              <w:pStyle w:val="Compact"/>
              <w:jc w:val="left"/>
            </w:pPr>
            <w:r>
              <w:t xml:space="preserve">(0.0745)</w:t>
            </w:r>
          </w:p>
        </w:tc>
        <w:tc>
          <w:p>
            <w:pPr>
              <w:pStyle w:val="Compact"/>
              <w:jc w:val="left"/>
            </w:pPr>
            <w:r>
              <w:t xml:space="preserve">(0.0482)</w:t>
            </w:r>
          </w:p>
        </w:tc>
      </w:tr>
      <w:tr>
        <w:tc>
          <w:p>
            <w:pPr>
              <w:pStyle w:val="Compact"/>
              <w:jc w:val="left"/>
            </w:pPr>
            <w:r>
              <w:t xml:space="preserve">RSrv</w:t>
            </w:r>
          </w:p>
        </w:tc>
        <w:tc>
          <w:p>
            <w:pPr>
              <w:pStyle w:val="Compact"/>
              <w:jc w:val="left"/>
            </w:pPr>
            <w:r>
              <w:t xml:space="preserve">0.1385 ***</w:t>
            </w:r>
          </w:p>
        </w:tc>
        <w:tc>
          <w:p>
            <w:pPr>
              <w:pStyle w:val="Compact"/>
              <w:jc w:val="left"/>
            </w:pPr>
            <w:r>
              <w:t xml:space="preserve">0.0022</w:t>
            </w:r>
          </w:p>
        </w:tc>
      </w:tr>
      <w:tr>
        <w:tc>
          <w:p/>
        </w:tc>
        <w:tc>
          <w:p>
            <w:pPr>
              <w:pStyle w:val="Compact"/>
              <w:jc w:val="left"/>
            </w:pPr>
            <w:r>
              <w:t xml:space="preserve">(0.0092)</w:t>
            </w:r>
          </w:p>
        </w:tc>
        <w:tc>
          <w:p>
            <w:pPr>
              <w:pStyle w:val="Compact"/>
              <w:jc w:val="left"/>
            </w:pPr>
            <w:r>
              <w:t xml:space="preserve">(0.0082)</w:t>
            </w:r>
          </w:p>
        </w:tc>
      </w:tr>
      <w:tr>
        <w:tc>
          <w:p>
            <w:pPr>
              <w:pStyle w:val="Compact"/>
              <w:jc w:val="left"/>
            </w:pPr>
            <w:r>
              <w:t xml:space="preserve">RPart</w:t>
            </w:r>
          </w:p>
        </w:tc>
        <w:tc>
          <w:p>
            <w:pPr>
              <w:pStyle w:val="Compact"/>
              <w:jc w:val="left"/>
            </w:pPr>
            <w:r>
              <w:t xml:space="preserve">0.0404 ***</w:t>
            </w:r>
          </w:p>
        </w:tc>
        <w:tc>
          <w:p>
            <w:pPr>
              <w:pStyle w:val="Compact"/>
              <w:jc w:val="left"/>
            </w:pPr>
            <w:r>
              <w:t xml:space="preserve">-0.0252 **</w:t>
            </w:r>
          </w:p>
        </w:tc>
      </w:tr>
      <w:tr>
        <w:tc>
          <w:p/>
        </w:tc>
        <w:tc>
          <w:p>
            <w:pPr>
              <w:pStyle w:val="Compact"/>
              <w:jc w:val="left"/>
            </w:pPr>
            <w:r>
              <w:t xml:space="preserve">(0.0026)</w:t>
            </w:r>
          </w:p>
        </w:tc>
        <w:tc>
          <w:p>
            <w:pPr>
              <w:pStyle w:val="Compact"/>
              <w:jc w:val="left"/>
            </w:pPr>
            <w:r>
              <w:t xml:space="preserve">(0.0077)</w:t>
            </w:r>
          </w:p>
        </w:tc>
      </w:tr>
      <w:tr>
        <w:tc>
          <w:p>
            <w:pPr>
              <w:pStyle w:val="Compact"/>
              <w:jc w:val="left"/>
            </w:pPr>
            <w:r>
              <w:t xml:space="preserve">OtROp</w:t>
            </w:r>
          </w:p>
        </w:tc>
        <w:tc>
          <w:p>
            <w:pPr>
              <w:pStyle w:val="Compact"/>
              <w:jc w:val="left"/>
            </w:pPr>
            <w:r>
              <w:t xml:space="preserve">0.8287 ***</w:t>
            </w:r>
          </w:p>
        </w:tc>
        <w:tc>
          <w:p>
            <w:pPr>
              <w:pStyle w:val="Compact"/>
              <w:jc w:val="left"/>
            </w:pPr>
            <w:r>
              <w:t xml:space="preserve">0.1159 *</w:t>
            </w:r>
          </w:p>
        </w:tc>
      </w:tr>
      <w:tr>
        <w:tc>
          <w:p/>
        </w:tc>
        <w:tc>
          <w:p>
            <w:pPr>
              <w:pStyle w:val="Compact"/>
              <w:jc w:val="left"/>
            </w:pPr>
            <w:r>
              <w:t xml:space="preserve">(0.0416)</w:t>
            </w:r>
          </w:p>
        </w:tc>
        <w:tc>
          <w:p>
            <w:pPr>
              <w:pStyle w:val="Compact"/>
              <w:jc w:val="left"/>
            </w:pPr>
            <w:r>
              <w:t xml:space="preserve">(0.0515)</w:t>
            </w:r>
          </w:p>
        </w:tc>
      </w:tr>
      <w:tr>
        <w:tc>
          <w:p>
            <w:pPr>
              <w:pStyle w:val="Compact"/>
              <w:jc w:val="left"/>
            </w:pPr>
            <w:r>
              <w:t xml:space="preserve">OpEmp</w:t>
            </w:r>
          </w:p>
        </w:tc>
        <w:tc>
          <w:p>
            <w:pPr>
              <w:pStyle w:val="Compact"/>
              <w:jc w:val="left"/>
            </w:pPr>
            <w:r>
              <w:t xml:space="preserve">0.0613 *</w:t>
            </w:r>
          </w:p>
        </w:tc>
        <w:tc>
          <w:p>
            <w:pPr>
              <w:pStyle w:val="Compact"/>
              <w:jc w:val="left"/>
            </w:pPr>
            <w:r>
              <w:t xml:space="preserve">-0.1796 ***</w:t>
            </w:r>
          </w:p>
        </w:tc>
      </w:tr>
      <w:tr>
        <w:tc>
          <w:p/>
        </w:tc>
        <w:tc>
          <w:p>
            <w:pPr>
              <w:pStyle w:val="Compact"/>
              <w:jc w:val="left"/>
            </w:pPr>
            <w:r>
              <w:t xml:space="preserve">(0.0292)</w:t>
            </w:r>
          </w:p>
        </w:tc>
        <w:tc>
          <w:p>
            <w:pPr>
              <w:pStyle w:val="Compact"/>
              <w:jc w:val="left"/>
            </w:pPr>
            <w:r>
              <w:t xml:space="preserve">(0.0474)</w:t>
            </w:r>
          </w:p>
        </w:tc>
      </w:tr>
      <w:tr>
        <w:tc>
          <w:p>
            <w:pPr>
              <w:pStyle w:val="Compact"/>
              <w:jc w:val="left"/>
            </w:pPr>
            <w:r>
              <w:t xml:space="preserve">OpFin</w:t>
            </w:r>
          </w:p>
        </w:tc>
        <w:tc>
          <w:p>
            <w:pPr>
              <w:pStyle w:val="Compact"/>
              <w:jc w:val="left"/>
            </w:pPr>
            <w:r>
              <w:t xml:space="preserve">0.0224</w:t>
            </w:r>
          </w:p>
        </w:tc>
        <w:tc>
          <w:p>
            <w:pPr>
              <w:pStyle w:val="Compact"/>
              <w:jc w:val="left"/>
            </w:pPr>
            <w:r>
              <w:t xml:space="preserve">-0.1706 ***</w:t>
            </w:r>
          </w:p>
        </w:tc>
      </w:tr>
      <w:tr>
        <w:tc>
          <w:p/>
        </w:tc>
        <w:tc>
          <w:p>
            <w:pPr>
              <w:pStyle w:val="Compact"/>
              <w:jc w:val="left"/>
            </w:pPr>
            <w:r>
              <w:t xml:space="preserve">(0.0350)</w:t>
            </w:r>
          </w:p>
        </w:tc>
        <w:tc>
          <w:p>
            <w:pPr>
              <w:pStyle w:val="Compact"/>
              <w:jc w:val="left"/>
            </w:pPr>
            <w:r>
              <w:t xml:space="preserve">(0.0477)</w:t>
            </w:r>
          </w:p>
        </w:tc>
      </w:tr>
      <w:tr>
        <w:tc>
          <w:p>
            <w:pPr>
              <w:pStyle w:val="Compact"/>
              <w:jc w:val="left"/>
            </w:pPr>
            <w:r>
              <w:t xml:space="preserve">OtOp</w:t>
            </w:r>
          </w:p>
        </w:tc>
        <w:tc>
          <w:p>
            <w:pPr>
              <w:pStyle w:val="Compact"/>
              <w:jc w:val="left"/>
            </w:pPr>
            <w:r>
              <w:t xml:space="preserve">0.0848 ***</w:t>
            </w:r>
          </w:p>
        </w:tc>
        <w:tc>
          <w:p>
            <w:pPr>
              <w:pStyle w:val="Compact"/>
              <w:jc w:val="left"/>
            </w:pPr>
            <w:r>
              <w:t xml:space="preserve">-0.1068</w:t>
            </w:r>
          </w:p>
        </w:tc>
      </w:tr>
      <w:tr>
        <w:tc>
          <w:p/>
        </w:tc>
        <w:tc>
          <w:p>
            <w:pPr>
              <w:pStyle w:val="Compact"/>
              <w:jc w:val="left"/>
            </w:pPr>
            <w:r>
              <w:t xml:space="preserve">(0.0205)</w:t>
            </w:r>
          </w:p>
        </w:tc>
        <w:tc>
          <w:p>
            <w:pPr>
              <w:pStyle w:val="Compact"/>
              <w:jc w:val="left"/>
            </w:pPr>
            <w:r>
              <w:t xml:space="preserve">(0.0574)</w:t>
            </w:r>
          </w:p>
        </w:tc>
      </w:tr>
      <w:tr>
        <w:tc>
          <w:p>
            <w:pPr>
              <w:pStyle w:val="Compact"/>
              <w:jc w:val="left"/>
            </w:pPr>
            <w:r>
              <w:t xml:space="preserve">ImpInd</w:t>
            </w:r>
          </w:p>
        </w:tc>
        <w:tc>
          <w:p>
            <w:pPr>
              <w:pStyle w:val="Compact"/>
              <w:jc w:val="left"/>
            </w:pPr>
            <w:r>
              <w:t xml:space="preserve">-0.0340</w:t>
            </w:r>
          </w:p>
        </w:tc>
        <w:tc>
          <w:p>
            <w:pPr>
              <w:pStyle w:val="Compact"/>
              <w:jc w:val="left"/>
            </w:pPr>
            <w:r>
              <w:t xml:space="preserve">0.0865 ***</w:t>
            </w:r>
          </w:p>
        </w:tc>
      </w:tr>
      <w:tr>
        <w:tc>
          <w:p/>
        </w:tc>
        <w:tc>
          <w:p>
            <w:pPr>
              <w:pStyle w:val="Compact"/>
              <w:jc w:val="left"/>
            </w:pPr>
            <w:r>
              <w:t xml:space="preserve">(0.0214)</w:t>
            </w:r>
          </w:p>
        </w:tc>
        <w:tc>
          <w:p>
            <w:pPr>
              <w:pStyle w:val="Compact"/>
              <w:jc w:val="left"/>
            </w:pPr>
            <w:r>
              <w:t xml:space="preserve">(0.0255)</w:t>
            </w:r>
          </w:p>
        </w:tc>
      </w:tr>
      <w:tr>
        <w:tc>
          <w:p>
            <w:pPr>
              <w:pStyle w:val="Compact"/>
              <w:jc w:val="left"/>
            </w:pPr>
            <w:r>
              <w:t xml:space="preserve">ImpRend</w:t>
            </w:r>
          </w:p>
        </w:tc>
        <w:tc>
          <w:p>
            <w:pPr>
              <w:pStyle w:val="Compact"/>
              <w:jc w:val="left"/>
            </w:pPr>
            <w:r>
              <w:t xml:space="preserve">-0.0196</w:t>
            </w:r>
          </w:p>
        </w:tc>
        <w:tc>
          <w:p>
            <w:pPr>
              <w:pStyle w:val="Compact"/>
              <w:jc w:val="left"/>
            </w:pPr>
            <w:r>
              <w:t xml:space="preserve">-0.4143 ***</w:t>
            </w:r>
          </w:p>
        </w:tc>
      </w:tr>
      <w:tr>
        <w:tc>
          <w:p/>
        </w:tc>
        <w:tc>
          <w:p>
            <w:pPr>
              <w:pStyle w:val="Compact"/>
              <w:jc w:val="left"/>
            </w:pPr>
            <w:r>
              <w:t xml:space="preserve">(0.0563)</w:t>
            </w:r>
          </w:p>
        </w:tc>
        <w:tc>
          <w:p>
            <w:pPr>
              <w:pStyle w:val="Compact"/>
              <w:jc w:val="left"/>
            </w:pPr>
            <w:r>
              <w:t xml:space="preserve">(0.0402)</w:t>
            </w:r>
          </w:p>
        </w:tc>
      </w:tr>
      <w:tr>
        <w:tc>
          <w:p>
            <w:pPr>
              <w:pStyle w:val="Compact"/>
              <w:jc w:val="left"/>
            </w:pPr>
            <w:r>
              <w:t xml:space="preserve">SelOvr</w:t>
            </w:r>
          </w:p>
        </w:tc>
        <w:tc>
          <w:p>
            <w:pPr>
              <w:pStyle w:val="Compact"/>
              <w:jc w:val="left"/>
            </w:pPr>
            <w:r>
              <w:t xml:space="preserve">-0.0426 **</w:t>
            </w:r>
          </w:p>
        </w:tc>
        <w:tc>
          <w:p>
            <w:pPr>
              <w:pStyle w:val="Compact"/>
              <w:jc w:val="left"/>
            </w:pPr>
            <w:r>
              <w:t xml:space="preserve">-0.0326 ***</w:t>
            </w:r>
          </w:p>
        </w:tc>
      </w:tr>
      <w:tr>
        <w:tc>
          <w:p/>
        </w:tc>
        <w:tc>
          <w:p>
            <w:pPr>
              <w:pStyle w:val="Compact"/>
              <w:jc w:val="left"/>
            </w:pPr>
            <w:r>
              <w:t xml:space="preserve">(0.0164)</w:t>
            </w:r>
          </w:p>
        </w:tc>
        <w:tc>
          <w:p>
            <w:pPr>
              <w:pStyle w:val="Compact"/>
              <w:jc w:val="left"/>
            </w:pPr>
            <w:r>
              <w:t xml:space="preserve">(0.0097)</w:t>
            </w:r>
          </w:p>
        </w:tc>
      </w:tr>
      <w:tr>
        <w:tc>
          <w:p>
            <w:pPr>
              <w:pStyle w:val="Compact"/>
              <w:jc w:val="left"/>
            </w:pPr>
            <w:r>
              <w:t xml:space="preserve">VelMo</w:t>
            </w:r>
          </w:p>
        </w:tc>
        <w:tc>
          <w:p>
            <w:pPr>
              <w:pStyle w:val="Compact"/>
              <w:jc w:val="left"/>
            </w:pPr>
            <w:r>
              <w:t xml:space="preserve">0.2240 ***</w:t>
            </w:r>
          </w:p>
        </w:tc>
        <w:tc>
          <w:p>
            <w:pPr>
              <w:pStyle w:val="Compact"/>
              <w:jc w:val="left"/>
            </w:pPr>
            <w:r>
              <w:t xml:space="preserve">0.1494 ***</w:t>
            </w:r>
          </w:p>
        </w:tc>
      </w:tr>
      <w:tr>
        <w:tc>
          <w:p/>
        </w:tc>
        <w:tc>
          <w:p>
            <w:pPr>
              <w:pStyle w:val="Compact"/>
              <w:jc w:val="left"/>
            </w:pPr>
            <w:r>
              <w:t xml:space="preserve">(0.0545)</w:t>
            </w:r>
          </w:p>
        </w:tc>
        <w:tc>
          <w:p>
            <w:pPr>
              <w:pStyle w:val="Compact"/>
              <w:jc w:val="left"/>
            </w:pPr>
            <w:r>
              <w:t xml:space="preserve">(0.0358)</w:t>
            </w:r>
          </w:p>
        </w:tc>
      </w:tr>
      <w:tr>
        <w:tc>
          <w:p>
            <w:pPr>
              <w:pStyle w:val="Compact"/>
              <w:jc w:val="left"/>
            </w:pPr>
            <w:r>
              <w:t xml:space="preserve">Comp</w:t>
            </w:r>
          </w:p>
        </w:tc>
        <w:tc>
          <w:p>
            <w:pPr>
              <w:pStyle w:val="Compact"/>
              <w:jc w:val="left"/>
            </w:pPr>
            <w:r>
              <w:t xml:space="preserve">0.0004 **</w:t>
            </w:r>
          </w:p>
        </w:tc>
        <w:tc>
          <w:p>
            <w:pPr>
              <w:pStyle w:val="Compact"/>
              <w:jc w:val="left"/>
            </w:pPr>
            <w:r>
              <w:t xml:space="preserve">-0.0005 *</w:t>
            </w:r>
          </w:p>
        </w:tc>
      </w:tr>
      <w:tr>
        <w:tc>
          <w:p/>
        </w:tc>
        <w:tc>
          <w:p>
            <w:pPr>
              <w:pStyle w:val="Compact"/>
              <w:jc w:val="left"/>
            </w:pPr>
            <w:r>
              <w:t xml:space="preserve">(0.0002)</w:t>
            </w:r>
          </w:p>
        </w:tc>
        <w:tc>
          <w:p>
            <w:pPr>
              <w:pStyle w:val="Compact"/>
              <w:jc w:val="left"/>
            </w:pPr>
            <w:r>
              <w:t xml:space="preserve">(0.0002)</w:t>
            </w:r>
          </w:p>
        </w:tc>
      </w:tr>
      <w:tr>
        <w:tc>
          <w:p>
            <w:pPr>
              <w:pStyle w:val="Compact"/>
              <w:jc w:val="left"/>
            </w:pPr>
            <w:r>
              <w:t xml:space="preserve">GrCon</w:t>
            </w:r>
          </w:p>
        </w:tc>
        <w:tc>
          <w:p>
            <w:pPr>
              <w:pStyle w:val="Compact"/>
              <w:jc w:val="left"/>
            </w:pPr>
            <w:r>
              <w:t xml:space="preserve">-0.0603</w:t>
            </w:r>
          </w:p>
        </w:tc>
        <w:tc>
          <w:p>
            <w:pPr>
              <w:pStyle w:val="Compact"/>
              <w:jc w:val="left"/>
            </w:pPr>
            <w:r>
              <w:t xml:space="preserve">-0.0176</w:t>
            </w:r>
          </w:p>
        </w:tc>
      </w:tr>
      <w:tr>
        <w:tc>
          <w:p/>
        </w:tc>
        <w:tc>
          <w:p>
            <w:pPr>
              <w:pStyle w:val="Compact"/>
              <w:jc w:val="left"/>
            </w:pPr>
            <w:r>
              <w:t xml:space="preserve">(0.0786)</w:t>
            </w:r>
          </w:p>
        </w:tc>
        <w:tc>
          <w:p>
            <w:pPr>
              <w:pStyle w:val="Compact"/>
              <w:jc w:val="left"/>
            </w:pPr>
            <w:r>
              <w:t xml:space="preserve">(0.0383)</w:t>
            </w:r>
          </w:p>
        </w:tc>
      </w:tr>
      <w:tr>
        <w:tc>
          <w:p>
            <w:pPr>
              <w:pStyle w:val="Compact"/>
              <w:jc w:val="left"/>
            </w:pPr>
            <w:r>
              <w:t xml:space="preserve">IPCA</w:t>
            </w:r>
          </w:p>
        </w:tc>
        <w:tc>
          <w:p>
            <w:pPr>
              <w:pStyle w:val="Compact"/>
              <w:jc w:val="left"/>
            </w:pPr>
            <w:r>
              <w:t xml:space="preserve">-0.0475 ***</w:t>
            </w:r>
          </w:p>
        </w:tc>
        <w:tc>
          <w:p>
            <w:pPr>
              <w:pStyle w:val="Compact"/>
              <w:jc w:val="left"/>
            </w:pPr>
            <w:r>
              <w:t xml:space="preserve">-0.0307 ***</w:t>
            </w:r>
          </w:p>
        </w:tc>
      </w:tr>
      <w:tr>
        <w:tc>
          <w:p/>
        </w:tc>
        <w:tc>
          <w:p>
            <w:pPr>
              <w:pStyle w:val="Compact"/>
              <w:jc w:val="left"/>
            </w:pPr>
            <w:r>
              <w:t xml:space="preserve">(0.0067)</w:t>
            </w:r>
          </w:p>
        </w:tc>
        <w:tc>
          <w:p>
            <w:pPr>
              <w:pStyle w:val="Compact"/>
              <w:jc w:val="left"/>
            </w:pPr>
            <w:r>
              <w:t xml:space="preserve">(0.0079)</w:t>
            </w:r>
          </w:p>
        </w:tc>
      </w:tr>
      <w:tr>
        <w:tc>
          <w:p>
            <w:pPr>
              <w:pStyle w:val="Compact"/>
              <w:jc w:val="left"/>
            </w:pPr>
            <w:r>
              <w:t xml:space="preserve">lnBMA</w:t>
            </w:r>
          </w:p>
        </w:tc>
        <w:tc>
          <w:p>
            <w:pPr>
              <w:pStyle w:val="Compact"/>
              <w:jc w:val="left"/>
            </w:pPr>
            <w:r>
              <w:t xml:space="preserve">0.0397 **</w:t>
            </w:r>
          </w:p>
        </w:tc>
        <w:tc>
          <w:p>
            <w:pPr>
              <w:pStyle w:val="Compact"/>
              <w:jc w:val="left"/>
            </w:pPr>
            <w:r>
              <w:t xml:space="preserve">0.0046</w:t>
            </w:r>
          </w:p>
        </w:tc>
      </w:tr>
      <w:tr>
        <w:tc>
          <w:p/>
        </w:tc>
        <w:tc>
          <w:p>
            <w:pPr>
              <w:pStyle w:val="Compact"/>
              <w:jc w:val="left"/>
            </w:pPr>
            <w:r>
              <w:t xml:space="preserve">(0.0132)</w:t>
            </w:r>
          </w:p>
        </w:tc>
        <w:tc>
          <w:p>
            <w:pPr>
              <w:pStyle w:val="Compact"/>
              <w:jc w:val="left"/>
            </w:pPr>
            <w:r>
              <w:t xml:space="preserve">(0.0057)</w:t>
            </w:r>
          </w:p>
        </w:tc>
      </w:tr>
      <w:tr>
        <w:tc>
          <w:p>
            <w:pPr>
              <w:pStyle w:val="Compact"/>
              <w:jc w:val="left"/>
            </w:pPr>
            <w:r>
              <w:t xml:space="preserve">lnOpCrMkt</w:t>
            </w:r>
          </w:p>
        </w:tc>
        <w:tc>
          <w:p>
            <w:pPr>
              <w:pStyle w:val="Compact"/>
              <w:jc w:val="left"/>
            </w:pPr>
            <w:r>
              <w:t xml:space="preserve">-0.0417 **</w:t>
            </w:r>
          </w:p>
        </w:tc>
        <w:tc>
          <w:p>
            <w:pPr>
              <w:pStyle w:val="Compact"/>
              <w:jc w:val="left"/>
            </w:pPr>
            <w:r>
              <w:t xml:space="preserve">0.0023</w:t>
            </w:r>
          </w:p>
        </w:tc>
      </w:tr>
      <w:tr>
        <w:tc>
          <w:p/>
        </w:tc>
        <w:tc>
          <w:p>
            <w:pPr>
              <w:pStyle w:val="Compact"/>
              <w:jc w:val="left"/>
            </w:pPr>
            <w:r>
              <w:t xml:space="preserve">(0.0135)</w:t>
            </w:r>
          </w:p>
        </w:tc>
        <w:tc>
          <w:p>
            <w:pPr>
              <w:pStyle w:val="Compact"/>
              <w:jc w:val="left"/>
            </w:pPr>
            <w:r>
              <w:t xml:space="preserve">(0.0049)</w:t>
            </w:r>
          </w:p>
        </w:tc>
      </w:tr>
      <w:tr>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bl>
    <w:p/>
    <w:tbl>
      <w:tblPr>
        <w:tblStyle w:val="Table"/>
        <w:tblW w:type="pct" w:w="0"/>
        <w:tblLook w:firstRow="1" w:lastRow="0" w:firstColumn="0" w:lastColumn="0" w:noHBand="0" w:noVBand="0" w:val="0020"/>
      </w:tblPr>
      <w:tblGrid/>
      <w:tr>
        <w:tc>
          <w:p>
            <w:pPr>
              <w:pStyle w:val="Compact"/>
              <w:jc w:val="left"/>
            </w:pPr>
            <w:r>
              <w:t xml:space="preserve">Instrumentos para equação</w:t>
            </w:r>
          </w:p>
        </w:tc>
      </w:tr>
      <w:tr>
        <w:tc>
          <w:p>
            <w:pPr>
              <w:pStyle w:val="Compact"/>
              <w:jc w:val="left"/>
            </w:pPr>
            <w:r>
              <w:t xml:space="preserve">Padrão</w:t>
            </w:r>
          </w:p>
        </w:tc>
      </w:tr>
      <w:tr>
        <w:tc>
          <w:p>
            <w:pPr>
              <w:pStyle w:val="Compact"/>
              <w:jc w:val="left"/>
            </w:pPr>
            <w:r>
              <w:t xml:space="preserve">FOD.(SelOvr VelMo Comp GrCon IPCA lnBMA lnOpCrMkt)</w:t>
            </w:r>
          </w:p>
        </w:tc>
      </w:tr>
      <w:tr>
        <w:tc>
          <w:p>
            <w:pPr>
              <w:pStyle w:val="Compact"/>
              <w:jc w:val="left"/>
            </w:pPr>
            <w:r>
              <w:t xml:space="preserve">GMM-type</w:t>
            </w:r>
          </w:p>
        </w:tc>
      </w:tr>
      <w:tr>
        <w:tc>
          <w:p>
            <w:pPr>
              <w:pStyle w:val="Compact"/>
              <w:jc w:val="left"/>
            </w:pPr>
            <w:r>
              <w:t xml:space="preserve">Collapse = TRUE</w:t>
            </w:r>
          </w:p>
        </w:tc>
      </w:tr>
      <w:tr>
        <w:tc>
          <w:p>
            <w:pPr>
              <w:pStyle w:val="Compact"/>
              <w:jc w:val="left"/>
            </w:pPr>
            <w:r>
              <w:t xml:space="preserve">Hansen test of overid. restrictions:</w:t>
            </w:r>
          </w:p>
        </w:tc>
      </w:tr>
      <w:tr>
        <w:tc>
          <w:p>
            <w:pPr>
              <w:pStyle w:val="Compact"/>
              <w:jc w:val="left"/>
            </w:pPr>
            <w:r>
              <w:t xml:space="preserve">chi2(350) = 392.77 Prob &gt; chi2 = 0.057</w:t>
            </w:r>
          </w:p>
        </w:tc>
      </w:tr>
      <w:tr>
        <w:tc>
          <w:p>
            <w:pPr>
              <w:pStyle w:val="Compact"/>
              <w:jc w:val="left"/>
            </w:pPr>
            <w:r>
              <w:t xml:space="preserve">(Robust, but weakened by many instruments.)</w:t>
            </w:r>
          </w:p>
        </w:tc>
      </w:tr>
    </w:tbl>
    <w:p>
      <w:pPr>
        <w:pStyle w:val="BodyText"/>
      </w:pPr>
      <w:r>
        <w:t xml:space="preserve"> </w:t>
      </w: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defasagem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Já o spread de dois período anteriores atua de forma inversa com o</w:t>
      </w:r>
      <w:r>
        <w:t xml:space="preserve"> </w:t>
      </w:r>
      <w:r>
        <w:rPr>
          <w:iCs/>
          <w:i/>
        </w:rPr>
        <w:t xml:space="preserve">spread</w:t>
      </w:r>
      <w:r>
        <w:t xml:space="preserve"> </w:t>
      </w:r>
      <w:r>
        <w:t xml:space="preserve">do período atual.</w:t>
      </w:r>
    </w:p>
    <w:p>
      <w:pPr>
        <w:pStyle w:val="BodyText"/>
      </w:pPr>
      <w:r>
        <w:t xml:space="preserve">A rentabilidade defasada em um período se demonstrou siginificativo para o</w:t>
      </w:r>
      <w:r>
        <w:t xml:space="preserve"> </w:t>
      </w:r>
      <w:r>
        <w:rPr>
          <w:iCs/>
          <w:i/>
        </w:rPr>
        <w:t xml:space="preserve">spread ex-post</w:t>
      </w:r>
      <w:r>
        <w:t xml:space="preserve">, atuando de forma indireta e significativo para a rentabilidade, de forma direta. A renatbilidade defasada em dois períodos se demonstrou significativa somente com a própria rentabilidade do período atual, com uma relação direta.</w:t>
      </w:r>
    </w:p>
    <w:p>
      <w:pPr>
        <w:pStyle w:val="BodyText"/>
      </w:pPr>
      <w:r>
        <w:t xml:space="preserve">Para as despesas administrativas foi remontada significância somente no spread bancário atuando de forma direta. Mesmo sem remontar significância sobre a rentabilidade, o modelo retornou uma relação indireta. Retornando assim as relações esperada para a variável</w:t>
      </w:r>
    </w:p>
    <w:p>
      <w:pPr>
        <w:pStyle w:val="BodyText"/>
      </w:pPr>
      <w:r>
        <w:t xml:space="preserve">Os resultados do modelo para as despesas de captação se demonstraram relavantes tanto no spread, quanto para a rentabilidada, ambos com uma relação direta. A relação sobre o spread está dentro do esperado, porém a relação com a rentablidade deve estar relacionada caracteristica de gerar receita por nível de captação.</w:t>
      </w:r>
    </w:p>
    <w:p>
      <w:pPr>
        <w:pStyle w:val="BodyText"/>
      </w:pPr>
      <w:r>
        <w:t xml:space="preserve">Para outras despesas o modelo remontou siginifcância somente para o spread,com uma relação direta e expressiva, o que estava dentro do esperado, uma vez que estas despesas comportam grandes montantes não segmentados e classificados no modelo.</w:t>
      </w:r>
    </w:p>
    <w:p>
      <w:pPr>
        <w:pStyle w:val="BodyText"/>
      </w:pPr>
      <w:r>
        <w:t xml:space="preserve">O resultado para inadimplência e risco de crédito ponderado foi de siginificânncia somente na renatbilidade com uma relação inversa, ou seja quando maior os níveis destas variáveis, menor o nível de rentabilidade. Mesmo sem siginificância estas variáveis apresentaram relação direta com spread. A não siginificância estatística pode estar associado com o fato de serem instrumentos de provisão.</w:t>
      </w:r>
    </w:p>
    <w:p>
      <w:pPr>
        <w:pStyle w:val="BodyText"/>
      </w:pPr>
      <w:r>
        <w:t xml:space="preserve">Para a variável de capital próprio foi remontada siginificância para ambas as variáveis, com uma relação inversa com o</w:t>
      </w:r>
      <w:r>
        <w:t xml:space="preserve"> </w:t>
      </w:r>
      <w:r>
        <w:rPr>
          <w:iCs/>
          <w:i/>
        </w:rPr>
        <w:t xml:space="preserve">spread ex-post</w:t>
      </w:r>
      <w:r>
        <w:t xml:space="preserve"> </w:t>
      </w:r>
      <w:r>
        <w:t xml:space="preserve">e inversa com a rentabilidade. A relação com a rentabilidade pode estar associada com o elevado custo de oportunidade e risco de se utilizar capital próprio nas operações.</w:t>
      </w:r>
    </w:p>
    <w:p>
      <w:pPr>
        <w:pStyle w:val="BodyText"/>
      </w:pPr>
      <w:r>
        <w:t xml:space="preserve">O resultado para a variáveis de depósitos a vista e depósitos a prazo, foram remontadas significância somente com a rentabilidade, em uma relação inversa. Mesmo sem significância, foi remontado uma relação inversa com o spread.</w:t>
      </w:r>
    </w:p>
    <w:p>
      <w:pPr>
        <w:pStyle w:val="BodyText"/>
      </w:pPr>
      <w:r>
        <w:t xml:space="preserve">Para os depósitos de poupança foram remontadas siginificância para ambas as variáveis, com uma relação direta com o spread e inversa com a rentabilidade. Tais relações podem ser explicadas pelas caractreísticas quem envolvem as operações crédito que se encaixam esses recursos, como a modalidade, como o tipo de operação e nível de recolhimento compulsórios.</w:t>
      </w:r>
    </w:p>
    <w:p>
      <w:pPr>
        <w:pStyle w:val="BodyText"/>
      </w:pPr>
      <w:r>
        <w:t xml:space="preserve">Para a variável que representa as receitas de operações de crédito foi remontada siginificância para ambas as variáveis, sendo relação direta com o spread e indireta com rentabilidade.</w:t>
      </w:r>
    </w:p>
    <w:p>
      <w:pPr>
        <w:pStyle w:val="BodyText"/>
      </w:pPr>
      <w:r>
        <w:t xml:space="preserve">As receitas de serviços apresentam siginificância somente para o spread bancário com uma relação direta, onde aumentos nas receitas de serviços estariam associadas a aumentos do spread. Mesmo sem significância a variável apresentou relação direta com rentabilidade.</w:t>
      </w:r>
    </w:p>
    <w:p>
      <w:pPr>
        <w:pStyle w:val="BodyText"/>
      </w:pPr>
      <w:r>
        <w:t xml:space="preserve">As receitas de participação demonstraram siginificativas com ambas as variáveis, sendo uma relação direta com o spread e inversa com a rentabilidade. Tais resultados podem estar associados com as operações e objetivos das instituições que possuem a carteira de investimentos, como um menor volume de empréstimos e maior risco de capital.</w:t>
      </w:r>
    </w:p>
    <w:p>
      <w:pPr>
        <w:pStyle w:val="BodyText"/>
      </w:pPr>
      <w:r>
        <w:t xml:space="preserve">As outras receitas operacionais demosntram siginificântes para ambas as variáveis, com uma relação direta com spread e direta com a rentabilidade. Tal resultado pode estar associado com o poder de mercado das instituições e os produtos financeiros envolvidos, uma vez que conseguem um maior nível de spread e menor custos, resutando em aumento da rentabilidade.</w:t>
      </w:r>
    </w:p>
    <w:p>
      <w:pPr>
        <w:pStyle w:val="BodyText"/>
      </w:pPr>
      <w:r>
        <w:t xml:space="preserve">Os resultados para a proporção das operações de empréstimos em relação as operações totais demonstrou significância par ambas as variáveis, com uma relação direta com o spread e inversa com a rentabilidade.</w:t>
      </w:r>
    </w:p>
    <w:p>
      <w:pPr>
        <w:pStyle w:val="BodyText"/>
      </w:pPr>
      <w:r>
        <w:t xml:space="preserve">Para a proporção das operações de financiamento em relação às operações totais, os resutados demonstraram siginificância somente para a rentabilidade em uma relação inversa.</w:t>
      </w:r>
    </w:p>
    <w:p>
      <w:pPr>
        <w:pStyle w:val="BodyText"/>
      </w:pPr>
      <w:r>
        <w:t xml:space="preserve">Os resultados para a proporção de outras operações em relação às operações totais foi remonstada siginificância somente para o spread, com uma relação positiva.</w:t>
      </w:r>
    </w:p>
    <w:p>
      <w:pPr>
        <w:pStyle w:val="BodyText"/>
      </w:pPr>
      <w:r>
        <w:t xml:space="preserve">Os impostos indiretos e impostos sobre a renda demonstraram siginificância somente para a rentabilidade. Os impostos inderetos apreseentaram relação direta, tal resultado pode guradar relação com o fato de se tratar de variáveis que atuam sobre a receita e compõem o markup. Já os impostos sobre a renda apresentaram uma relação inversa com a rentabilidade.</w:t>
      </w:r>
    </w:p>
    <w:p>
      <w:pPr>
        <w:pStyle w:val="BodyText"/>
      </w:pPr>
      <w:r>
        <w:t xml:space="preserve">Para a variável Selic Over o modelo remontou significância para ambas as variáveis dependentes, com relação inversa com a spread e também inversa com a rentabilidade.</w:t>
      </w:r>
    </w:p>
    <w:p>
      <w:pPr>
        <w:pStyle w:val="BodyText"/>
      </w:pPr>
      <w:r>
        <w:t xml:space="preserve">O modelo remontou para a variável de velocidade da moeda, significância para ambas as variáveis dependentes, com relação direta com spread a também direta para rentabilidade. Uma vez que aumenta a velocidade de circulação da moeda, ocorre aumento do custo do empréstimo para o tomador e aumento da rentabilidade para as instituições.</w:t>
      </w:r>
    </w:p>
    <w:p>
      <w:pPr>
        <w:pStyle w:val="BodyText"/>
      </w:pPr>
      <w:r>
        <w:t xml:space="preserve">O compulsório, apresentou significância estatística estatística para ambas as variáveis dependentes, com uma relação direta com spread e inversa com a rentabilidade bancária. Aumentos no compulsório acarretam em aumento no spread e redução da rentabilidade.</w:t>
      </w:r>
    </w:p>
    <w:p>
      <w:pPr>
        <w:pStyle w:val="BodyText"/>
      </w:pPr>
      <w:r>
        <w:t xml:space="preserve">O modelo não remontou significância para o grau de concentração do mercado, porém o resultado demonstra uma relação inversa com o spread e inversa com a rentabilidade. Em um cenário de elevada concentração, as instituições reduziriam suas margens resultando em menor spread e uma menor rentabilidade.s</w:t>
      </w:r>
    </w:p>
    <w:p>
      <w:pPr>
        <w:pStyle w:val="BodyText"/>
      </w:pPr>
      <w:r>
        <w:t xml:space="preserve">Diante a composição do modelo, para a IPCA foi remontada significância para ambas as variáveis, com relação inversa com o spread e inversa com a rentabilidade. A inflação pode atuar corroendo a taxa de aplicação e elevando a taxa de captação, reduzindo assim o spread e consequentemente a rentabilidade.</w:t>
      </w:r>
    </w:p>
    <w:p>
      <w:pPr>
        <w:pStyle w:val="BodyText"/>
      </w:pPr>
      <w:r>
        <w:t xml:space="preserve">Para a base monetária ampliada foi remontada significância somente sobre o spread com uma relação positiva. Esse resultado pode estar relacionado com o ajuste e com a propoção dos componentes da base monetária ampliada. Mesmo sem siginificância, o modelo demonstra relação direta com a rentabilidade, onde aumentos da base monetária ampliada atuariam no aumento da rentabilidade bancária.</w:t>
      </w:r>
    </w:p>
    <w:p>
      <w:pPr>
        <w:pStyle w:val="BodyText"/>
      </w:pPr>
      <w:r>
        <w:t xml:space="preserve">Para o volume de operações de crédito do mercado foi remontada significância somente para o spread, com uma relação inversar, ou seja, uma maior volume dde operações no mercado atuariam reduzindo o spread. Mesmo sem siginificância, a relação com a rentabilidade seria direta, onde aumentos do volume das operações de mercado atuariam elevando a rentabilidade.</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392.77 e valor P de 0.05705,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é atendida as condições de estabilidade, uma vez que todos os autovalores estão dentro do círculo unitário.</w:t>
      </w:r>
    </w:p>
    <w:p>
      <w:pPr>
        <w:pStyle w:val="BodyText"/>
      </w:pPr>
      <w:r>
        <w:t xml:space="preserve">No</w:t>
      </w:r>
      <w:r>
        <w:t xml:space="preserve"> </w:t>
      </w:r>
      <w:r>
        <w:t xml:space="preserve"> </w:t>
      </w:r>
      <w:r>
        <w:t xml:space="preserve">está demonstrada a função impulso-resposta ortogonal com os intervalos de confiança gerados por meio da técnica de bootstrapping para as variáveis dependentes.</w:t>
      </w:r>
    </w:p>
    <w:p>
      <w:pPr>
        <w:pStyle w:val="BodyText"/>
      </w:pPr>
      <w:r>
        <w:t xml:space="preserve">No</w:t>
      </w:r>
      <w:r>
        <w:t xml:space="preserve"> </w:t>
      </w:r>
      <w:r>
        <w:t xml:space="preserve"> </w:t>
      </w:r>
      <w:r>
        <w:t xml:space="preserve">está demonstrada a função impulso-resposta generalizada com os intervalos de confiança gerados por meio da técnica de bootstrapping para as variáveis dependentes.</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bookmarkEnd w:id="21"/>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2021-05-15T23:46:37Z</dcterms:created>
  <dcterms:modified xsi:type="dcterms:W3CDTF">2021-05-15T23:46:37Z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iblio-title">
    <vt:lpwstr/>
  </property>
  <property fmtid="{D5CDD505-2E9C-101B-9397-08002B2CF9AE}" pid="5" name="bibliography">
    <vt:lpwstr>10-references/referencias.bib</vt:lpwstr>
  </property>
  <property fmtid="{D5CDD505-2E9C-101B-9397-08002B2CF9AE}" pid="6" name="bookdown">
    <vt:lpwstr/>
  </property>
  <property fmtid="{D5CDD505-2E9C-101B-9397-08002B2CF9AE}" pid="7" name="classoption">
    <vt:lpwstr/>
  </property>
  <property fmtid="{D5CDD505-2E9C-101B-9397-08002B2CF9AE}" pid="8" name="date">
    <vt:lpwstr>2021</vt:lpwstr>
  </property>
  <property fmtid="{D5CDD505-2E9C-101B-9397-08002B2CF9AE}" pid="9" name="documentclass">
    <vt:lpwstr>abntex2</vt:lpwstr>
  </property>
  <property fmtid="{D5CDD505-2E9C-101B-9397-08002B2CF9AE}" pid="10" name="fontsize">
    <vt:lpwstr>12pt</vt:lpwstr>
  </property>
  <property fmtid="{D5CDD505-2E9C-101B-9397-08002B2CF9AE}" pid="11" name="header-includes">
    <vt:lpwstr/>
  </property>
  <property fmtid="{D5CDD505-2E9C-101B-9397-08002B2CF9AE}" pid="12" name="link-citations">
    <vt:lpwstr>no</vt:lpwstr>
  </property>
  <property fmtid="{D5CDD505-2E9C-101B-9397-08002B2CF9AE}" pid="13" name="mathjax">
    <vt:lpwstr>True</vt:lpwstr>
  </property>
  <property fmtid="{D5CDD505-2E9C-101B-9397-08002B2CF9AE}" pid="14" name="references">
    <vt:lpwstr>False</vt:lpwstr>
  </property>
  <property fmtid="{D5CDD505-2E9C-101B-9397-08002B2CF9AE}" pid="15" name="site">
    <vt:lpwstr>bookdown::bookdown_site</vt:lpwstr>
  </property>
  <property fmtid="{D5CDD505-2E9C-101B-9397-08002B2CF9AE}" pid="16" name="toc">
    <vt:lpwstr>False</vt:lpwstr>
  </property>
</Properties>
</file>