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1062355</wp:posOffset>
            </wp:positionV>
            <wp:extent cx="7560310" cy="85680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7560310" cy="856805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44" w:lineRule="exact"/>
        <w:rPr>
          <w:sz w:val="24"/>
          <w:szCs w:val="24"/>
          <w:color w:val="auto"/>
        </w:rPr>
      </w:pPr>
    </w:p>
    <w:p>
      <w:pPr>
        <w:ind w:left="2560"/>
        <w:spacing w:after="0"/>
        <w:rPr>
          <w:sz w:val="20"/>
          <w:szCs w:val="20"/>
          <w:color w:val="auto"/>
        </w:rPr>
      </w:pPr>
      <w:r>
        <w:rPr>
          <w:rFonts w:ascii="Arial" w:cs="Arial" w:eastAsia="Arial" w:hAnsi="Arial"/>
          <w:sz w:val="24"/>
          <w:szCs w:val="24"/>
          <w:b w:val="1"/>
          <w:bCs w:val="1"/>
          <w:color w:val="auto"/>
        </w:rPr>
        <w:t>UNIVERSIDADE FEDERAL DO PARANÁ</w:t>
      </w:r>
    </w:p>
    <w:p>
      <w:pPr>
        <w:spacing w:after="0" w:line="89" w:lineRule="exact"/>
        <w:rPr>
          <w:sz w:val="24"/>
          <w:szCs w:val="24"/>
          <w:color w:val="auto"/>
        </w:rPr>
      </w:pPr>
    </w:p>
    <w:p>
      <w:pPr>
        <w:ind w:left="2880"/>
        <w:spacing w:after="0"/>
        <w:rPr>
          <w:sz w:val="20"/>
          <w:szCs w:val="20"/>
          <w:color w:val="auto"/>
        </w:rPr>
      </w:pPr>
      <w:r>
        <w:rPr>
          <w:rFonts w:ascii="Arial" w:cs="Arial" w:eastAsia="Arial" w:hAnsi="Arial"/>
          <w:sz w:val="24"/>
          <w:szCs w:val="24"/>
          <w:b w:val="1"/>
          <w:bCs w:val="1"/>
          <w:color w:val="auto"/>
        </w:rPr>
        <w:t>DEPARTAMENTO DE ECONOMIA</w:t>
      </w:r>
    </w:p>
    <w:p>
      <w:pPr>
        <w:spacing w:after="0" w:line="202" w:lineRule="exact"/>
        <w:rPr>
          <w:sz w:val="24"/>
          <w:szCs w:val="24"/>
          <w:color w:val="auto"/>
        </w:rPr>
      </w:pPr>
    </w:p>
    <w:p>
      <w:pPr>
        <w:jc w:val="center"/>
        <w:ind w:right="-279"/>
        <w:spacing w:after="0"/>
        <w:rPr>
          <w:sz w:val="20"/>
          <w:szCs w:val="20"/>
          <w:color w:val="auto"/>
        </w:rPr>
      </w:pPr>
      <w:r>
        <w:rPr>
          <w:rFonts w:ascii="Arial" w:cs="Arial" w:eastAsia="Arial" w:hAnsi="Arial"/>
          <w:sz w:val="24"/>
          <w:szCs w:val="24"/>
          <w:b w:val="1"/>
          <w:bCs w:val="1"/>
          <w:color w:val="auto"/>
        </w:rPr>
        <w:t>PROGRAMA PROFISSIONAL DE PÓS-GRADUAÇÃO EM ECONOMIA</w:t>
      </w:r>
    </w:p>
    <w:p>
      <w:pPr>
        <w:spacing w:after="0" w:line="202" w:lineRule="exact"/>
        <w:rPr>
          <w:sz w:val="24"/>
          <w:szCs w:val="24"/>
          <w:color w:val="auto"/>
        </w:rPr>
      </w:pPr>
    </w:p>
    <w:p>
      <w:pPr>
        <w:ind w:left="2280"/>
        <w:spacing w:after="0"/>
        <w:rPr>
          <w:sz w:val="20"/>
          <w:szCs w:val="20"/>
          <w:color w:val="auto"/>
        </w:rPr>
      </w:pPr>
      <w:r>
        <w:rPr>
          <w:rFonts w:ascii="Arial" w:cs="Arial" w:eastAsia="Arial" w:hAnsi="Arial"/>
          <w:sz w:val="24"/>
          <w:szCs w:val="24"/>
          <w:b w:val="1"/>
          <w:bCs w:val="1"/>
          <w:color w:val="auto"/>
        </w:rPr>
        <w:t>MESTRADO PROFISSIONAL EM ECONOMIA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0" w:lineRule="exact"/>
        <w:rPr>
          <w:sz w:val="24"/>
          <w:szCs w:val="24"/>
          <w:color w:val="auto"/>
        </w:rPr>
      </w:pPr>
    </w:p>
    <w:p>
      <w:pPr>
        <w:jc w:val="center"/>
        <w:ind w:right="-279"/>
        <w:spacing w:after="0"/>
        <w:rPr>
          <w:sz w:val="20"/>
          <w:szCs w:val="20"/>
          <w:color w:val="auto"/>
        </w:rPr>
      </w:pPr>
      <w:r>
        <w:rPr>
          <w:rFonts w:ascii="Arial" w:cs="Arial" w:eastAsia="Arial" w:hAnsi="Arial"/>
          <w:sz w:val="24"/>
          <w:szCs w:val="24"/>
          <w:b w:val="1"/>
          <w:bCs w:val="1"/>
          <w:color w:val="auto"/>
        </w:rPr>
        <w:t>JACKSON DA SILVA TORRES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0" w:lineRule="exact"/>
        <w:rPr>
          <w:sz w:val="24"/>
          <w:szCs w:val="24"/>
          <w:color w:val="auto"/>
        </w:rPr>
      </w:pPr>
    </w:p>
    <w:p>
      <w:pPr>
        <w:jc w:val="center"/>
        <w:ind w:left="280"/>
        <w:spacing w:after="0" w:line="331" w:lineRule="auto"/>
        <w:rPr>
          <w:sz w:val="20"/>
          <w:szCs w:val="20"/>
          <w:color w:val="auto"/>
        </w:rPr>
      </w:pPr>
      <w:r>
        <w:rPr>
          <w:rFonts w:ascii="Arial" w:cs="Arial" w:eastAsia="Arial" w:hAnsi="Arial"/>
          <w:sz w:val="24"/>
          <w:szCs w:val="24"/>
          <w:b w:val="1"/>
          <w:bCs w:val="1"/>
          <w:color w:val="auto"/>
        </w:rPr>
        <w:t>OS EFEITOS DAS VARIAÇÕES DOS COMPONENTES DO SPREAD EX-POST NA RENTABILIDADE DAS INSTITUIÇÕES BANCÁRIAS.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7" w:lineRule="exact"/>
        <w:rPr>
          <w:sz w:val="24"/>
          <w:szCs w:val="24"/>
          <w:color w:val="auto"/>
        </w:rPr>
      </w:pPr>
    </w:p>
    <w:p>
      <w:pPr>
        <w:jc w:val="center"/>
        <w:ind w:right="-279"/>
        <w:spacing w:after="0"/>
        <w:rPr>
          <w:sz w:val="20"/>
          <w:szCs w:val="20"/>
          <w:color w:val="auto"/>
        </w:rPr>
      </w:pPr>
      <w:r>
        <w:rPr>
          <w:rFonts w:ascii="Arial" w:cs="Arial" w:eastAsia="Arial" w:hAnsi="Arial"/>
          <w:sz w:val="29"/>
          <w:szCs w:val="29"/>
          <w:b w:val="1"/>
          <w:bCs w:val="1"/>
          <w:color w:val="auto"/>
        </w:rPr>
        <w:t>CURITIBA</w:t>
      </w:r>
    </w:p>
    <w:p>
      <w:pPr>
        <w:sectPr>
          <w:pgSz w:w="11900" w:h="16838" w:orient="portrait"/>
          <w:cols w:equalWidth="0" w:num="1">
            <w:col w:w="9300"/>
          </w:cols>
          <w:pgMar w:left="1440" w:top="1440" w:right="1166" w:bottom="982" w:gutter="0" w:footer="0" w:header="0"/>
        </w:sectPr>
      </w:pPr>
    </w:p>
    <w:p>
      <w:pPr>
        <w:spacing w:after="0" w:line="231" w:lineRule="exact"/>
        <w:rPr>
          <w:sz w:val="24"/>
          <w:szCs w:val="24"/>
          <w:color w:val="auto"/>
        </w:rPr>
      </w:pPr>
    </w:p>
    <w:p>
      <w:pPr>
        <w:jc w:val="center"/>
        <w:ind w:right="-299"/>
        <w:spacing w:after="0"/>
        <w:rPr>
          <w:sz w:val="20"/>
          <w:szCs w:val="20"/>
          <w:color w:val="auto"/>
        </w:rPr>
      </w:pPr>
      <w:r>
        <w:rPr>
          <w:rFonts w:ascii="Arial" w:cs="Arial" w:eastAsia="Arial" w:hAnsi="Arial"/>
          <w:sz w:val="28"/>
          <w:szCs w:val="28"/>
          <w:b w:val="1"/>
          <w:bCs w:val="1"/>
          <w:color w:val="auto"/>
        </w:rPr>
        <w:t>2021</w:t>
      </w:r>
    </w:p>
    <w:p>
      <w:pPr>
        <w:sectPr>
          <w:pgSz w:w="11900" w:h="16838" w:orient="portrait"/>
          <w:cols w:equalWidth="0" w:num="1">
            <w:col w:w="9300"/>
          </w:cols>
          <w:pgMar w:left="1440" w:top="1440" w:right="1166" w:bottom="982" w:gutter="0" w:footer="0" w:header="0"/>
          <w:type w:val="continuous"/>
        </w:sectPr>
      </w:pPr>
    </w:p>
    <w:p>
      <w:pPr>
        <w:spacing w:after="0" w:line="274" w:lineRule="exact"/>
        <w:rPr>
          <w:sz w:val="20"/>
          <w:szCs w:val="20"/>
          <w:color w:val="auto"/>
        </w:rPr>
      </w:pPr>
    </w:p>
    <w:p>
      <w:pPr>
        <w:jc w:val="center"/>
        <w:ind w:right="-299"/>
        <w:spacing w:after="0"/>
        <w:rPr>
          <w:sz w:val="20"/>
          <w:szCs w:val="20"/>
          <w:color w:val="auto"/>
        </w:rPr>
      </w:pPr>
      <w:r>
        <w:rPr>
          <w:rFonts w:ascii="Arial" w:cs="Arial" w:eastAsia="Arial" w:hAnsi="Arial"/>
          <w:sz w:val="24"/>
          <w:szCs w:val="24"/>
          <w:color w:val="auto"/>
        </w:rPr>
        <w:t>JACKSON DA SILVA TORRES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center"/>
        <w:ind w:left="320"/>
        <w:spacing w:after="0" w:line="327" w:lineRule="auto"/>
        <w:rPr>
          <w:sz w:val="20"/>
          <w:szCs w:val="20"/>
          <w:color w:val="auto"/>
        </w:rPr>
      </w:pPr>
      <w:r>
        <w:rPr>
          <w:rFonts w:ascii="Arial" w:cs="Arial" w:eastAsia="Arial" w:hAnsi="Arial"/>
          <w:sz w:val="24"/>
          <w:szCs w:val="24"/>
          <w:color w:val="auto"/>
        </w:rPr>
        <w:t>OS EFEITOS DAS VARIAÇÕES DOS COMPONENTES DO SPREAD EX-POST NA RENTABILIDADE DAS INSTITUIÇÕES BANCÁRIAS.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4600"/>
        <w:spacing w:after="0"/>
        <w:rPr>
          <w:sz w:val="20"/>
          <w:szCs w:val="20"/>
          <w:color w:val="auto"/>
        </w:rPr>
      </w:pPr>
      <w:r>
        <w:rPr>
          <w:rFonts w:ascii="Arial" w:cs="Arial" w:eastAsia="Arial" w:hAnsi="Arial"/>
          <w:sz w:val="22"/>
          <w:szCs w:val="22"/>
          <w:color w:val="auto"/>
        </w:rPr>
        <w:t>Trabalho apresentado como requisito parcial</w:t>
      </w:r>
    </w:p>
    <w:p>
      <w:pPr>
        <w:spacing w:after="0" w:line="18" w:lineRule="exact"/>
        <w:rPr>
          <w:sz w:val="20"/>
          <w:szCs w:val="20"/>
          <w:color w:val="auto"/>
        </w:rPr>
      </w:pPr>
    </w:p>
    <w:p>
      <w:pPr>
        <w:ind w:left="4600"/>
        <w:spacing w:after="0"/>
        <w:rPr>
          <w:sz w:val="20"/>
          <w:szCs w:val="20"/>
          <w:color w:val="auto"/>
        </w:rPr>
      </w:pPr>
      <w:r>
        <w:rPr>
          <w:rFonts w:ascii="Arial" w:cs="Arial" w:eastAsia="Arial" w:hAnsi="Arial"/>
          <w:sz w:val="22"/>
          <w:szCs w:val="22"/>
          <w:color w:val="auto"/>
        </w:rPr>
        <w:t>para a obtenção do título de Mestre Profisisonal</w:t>
      </w:r>
    </w:p>
    <w:p>
      <w:pPr>
        <w:spacing w:after="0" w:line="18" w:lineRule="exact"/>
        <w:rPr>
          <w:sz w:val="20"/>
          <w:szCs w:val="20"/>
          <w:color w:val="auto"/>
        </w:rPr>
      </w:pPr>
    </w:p>
    <w:p>
      <w:pPr>
        <w:ind w:left="4600"/>
        <w:spacing w:after="0"/>
        <w:rPr>
          <w:sz w:val="20"/>
          <w:szCs w:val="20"/>
          <w:color w:val="auto"/>
        </w:rPr>
      </w:pPr>
      <w:r>
        <w:rPr>
          <w:rFonts w:ascii="Arial" w:cs="Arial" w:eastAsia="Arial" w:hAnsi="Arial"/>
          <w:sz w:val="21"/>
          <w:szCs w:val="21"/>
          <w:color w:val="auto"/>
        </w:rPr>
        <w:t>em Economia no curso de Mestrado Profissional</w:t>
      </w:r>
    </w:p>
    <w:p>
      <w:pPr>
        <w:spacing w:after="0" w:line="30" w:lineRule="exact"/>
        <w:rPr>
          <w:sz w:val="20"/>
          <w:szCs w:val="20"/>
          <w:color w:val="auto"/>
        </w:rPr>
      </w:pPr>
    </w:p>
    <w:p>
      <w:pPr>
        <w:ind w:left="4600"/>
        <w:spacing w:after="0"/>
        <w:rPr>
          <w:sz w:val="20"/>
          <w:szCs w:val="20"/>
          <w:color w:val="auto"/>
        </w:rPr>
      </w:pPr>
      <w:r>
        <w:rPr>
          <w:rFonts w:ascii="Arial" w:cs="Arial" w:eastAsia="Arial" w:hAnsi="Arial"/>
          <w:sz w:val="22"/>
          <w:szCs w:val="22"/>
          <w:color w:val="auto"/>
        </w:rPr>
        <w:t>em Economia pelo Departamento de Economia</w:t>
      </w:r>
    </w:p>
    <w:p>
      <w:pPr>
        <w:spacing w:after="0" w:line="18" w:lineRule="exact"/>
        <w:rPr>
          <w:sz w:val="20"/>
          <w:szCs w:val="20"/>
          <w:color w:val="auto"/>
        </w:rPr>
      </w:pPr>
    </w:p>
    <w:p>
      <w:pPr>
        <w:ind w:left="4600"/>
        <w:spacing w:after="0"/>
        <w:rPr>
          <w:sz w:val="20"/>
          <w:szCs w:val="20"/>
          <w:color w:val="auto"/>
        </w:rPr>
      </w:pPr>
      <w:r>
        <w:rPr>
          <w:rFonts w:ascii="Arial" w:cs="Arial" w:eastAsia="Arial" w:hAnsi="Arial"/>
          <w:sz w:val="22"/>
          <w:szCs w:val="22"/>
          <w:color w:val="auto"/>
        </w:rPr>
        <w:t>da Universidade Federal do Paraná.</w:t>
      </w:r>
    </w:p>
    <w:p>
      <w:pPr>
        <w:spacing w:after="0" w:line="131" w:lineRule="exact"/>
        <w:rPr>
          <w:sz w:val="20"/>
          <w:szCs w:val="20"/>
          <w:color w:val="auto"/>
        </w:rPr>
      </w:pPr>
    </w:p>
    <w:p>
      <w:pPr>
        <w:ind w:left="4600"/>
        <w:spacing w:after="0"/>
        <w:rPr>
          <w:sz w:val="20"/>
          <w:szCs w:val="20"/>
          <w:color w:val="auto"/>
        </w:rPr>
      </w:pPr>
      <w:r>
        <w:rPr>
          <w:rFonts w:ascii="Arial" w:cs="Arial" w:eastAsia="Arial" w:hAnsi="Arial"/>
          <w:sz w:val="22"/>
          <w:szCs w:val="22"/>
          <w:color w:val="auto"/>
        </w:rPr>
        <w:t>Orientadora: Profª Dra. Mayla Costa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center"/>
        <w:ind w:right="-319"/>
        <w:spacing w:after="0"/>
        <w:rPr>
          <w:sz w:val="20"/>
          <w:szCs w:val="20"/>
          <w:color w:val="auto"/>
        </w:rPr>
      </w:pPr>
      <w:r>
        <w:rPr>
          <w:rFonts w:ascii="Arial" w:cs="Arial" w:eastAsia="Arial" w:hAnsi="Arial"/>
          <w:sz w:val="24"/>
          <w:szCs w:val="24"/>
          <w:color w:val="auto"/>
        </w:rPr>
        <w:t>CURITIBA</w:t>
      </w:r>
    </w:p>
    <w:p>
      <w:pPr>
        <w:sectPr>
          <w:pgSz w:w="11900" w:h="16838" w:orient="portrait"/>
          <w:cols w:equalWidth="0" w:num="1">
            <w:col w:w="9280"/>
          </w:cols>
          <w:pgMar w:left="1440" w:top="1440" w:right="1186" w:bottom="1440" w:gutter="0" w:footer="0" w:header="0"/>
        </w:sectPr>
      </w:pPr>
    </w:p>
    <w:p>
      <w:pPr>
        <w:spacing w:after="0" w:line="202" w:lineRule="exact"/>
        <w:rPr>
          <w:sz w:val="20"/>
          <w:szCs w:val="20"/>
          <w:color w:val="auto"/>
        </w:rPr>
      </w:pPr>
    </w:p>
    <w:p>
      <w:pPr>
        <w:jc w:val="center"/>
        <w:ind w:right="-239"/>
        <w:spacing w:after="0"/>
        <w:rPr>
          <w:sz w:val="20"/>
          <w:szCs w:val="20"/>
          <w:color w:val="auto"/>
        </w:rPr>
      </w:pPr>
      <w:r>
        <w:rPr>
          <w:rFonts w:ascii="Arial" w:cs="Arial" w:eastAsia="Arial" w:hAnsi="Arial"/>
          <w:sz w:val="23"/>
          <w:szCs w:val="23"/>
          <w:color w:val="auto"/>
        </w:rPr>
        <w:t>2021</w:t>
      </w:r>
    </w:p>
    <w:p>
      <w:pPr>
        <w:sectPr>
          <w:pgSz w:w="11900" w:h="16838" w:orient="portrait"/>
          <w:cols w:equalWidth="0" w:num="1">
            <w:col w:w="9280"/>
          </w:cols>
          <w:pgMar w:left="1440" w:top="1440" w:right="1186" w:bottom="1440" w:gutter="0" w:footer="0" w:header="0"/>
          <w:type w:val="continuous"/>
        </w:sectPr>
      </w:pPr>
    </w:p>
    <w:p>
      <w:pPr>
        <w:spacing w:after="0" w:line="273" w:lineRule="exact"/>
        <w:rPr>
          <w:sz w:val="20"/>
          <w:szCs w:val="20"/>
          <w:color w:val="auto"/>
        </w:rPr>
      </w:pPr>
    </w:p>
    <w:p>
      <w:pPr>
        <w:jc w:val="center"/>
        <w:ind w:right="-179"/>
        <w:spacing w:after="0"/>
        <w:rPr>
          <w:sz w:val="20"/>
          <w:szCs w:val="20"/>
          <w:color w:val="auto"/>
        </w:rPr>
      </w:pPr>
      <w:r>
        <w:rPr>
          <w:rFonts w:ascii="Arial" w:cs="Arial" w:eastAsia="Arial" w:hAnsi="Arial"/>
          <w:sz w:val="24"/>
          <w:szCs w:val="24"/>
          <w:b w:val="1"/>
          <w:bCs w:val="1"/>
          <w:color w:val="auto"/>
        </w:rPr>
        <w:t>LISTA DE ILUSTRAÇÕES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tbl>
      <w:tblPr>
        <w:tblLayout w:type="fixed"/>
        <w:tblInd w:w="260" w:type="dxa"/>
        <w:tblCellMar>
          <w:top w:w="0" w:type="dxa"/>
          <w:left w:w="0" w:type="dxa"/>
          <w:bottom w:w="0" w:type="dxa"/>
          <w:right w:w="0" w:type="dxa"/>
        </w:tblCellMar>
      </w:tblPr>
      <w:tr>
        <w:trPr>
          <w:trHeight w:val="294"/>
        </w:trPr>
        <w:tc>
          <w:tcPr>
            <w:tcW w:w="1220" w:type="dxa"/>
            <w:vAlign w:val="bottom"/>
          </w:tcPr>
          <w:p>
            <w:pPr>
              <w:spacing w:after="0"/>
              <w:rPr>
                <w:sz w:val="20"/>
                <w:szCs w:val="20"/>
                <w:color w:val="auto"/>
              </w:rPr>
            </w:pPr>
            <w:r>
              <w:rPr>
                <w:rFonts w:ascii="Arial" w:cs="Arial" w:eastAsia="Arial" w:hAnsi="Arial"/>
                <w:sz w:val="24"/>
                <w:szCs w:val="24"/>
                <w:color w:val="auto"/>
              </w:rPr>
              <w:t>FIGURA 1</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do setor bancário brasileiro por segmento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16</w:t>
            </w:r>
          </w:p>
        </w:tc>
      </w:tr>
      <w:tr>
        <w:trPr>
          <w:trHeight w:val="359"/>
        </w:trPr>
        <w:tc>
          <w:tcPr>
            <w:tcW w:w="1220" w:type="dxa"/>
            <w:vAlign w:val="bottom"/>
          </w:tcPr>
          <w:p>
            <w:pPr>
              <w:spacing w:after="0"/>
              <w:rPr>
                <w:sz w:val="20"/>
                <w:szCs w:val="20"/>
                <w:color w:val="auto"/>
              </w:rPr>
            </w:pPr>
            <w:r>
              <w:rPr>
                <w:rFonts w:ascii="Arial" w:cs="Arial" w:eastAsia="Arial" w:hAnsi="Arial"/>
                <w:sz w:val="24"/>
                <w:szCs w:val="24"/>
                <w:color w:val="auto"/>
              </w:rPr>
              <w:t>FIGURA 2</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da quantidade de instituições no setor bancário brasileiro</w:t>
            </w:r>
          </w:p>
        </w:tc>
        <w:tc>
          <w:tcPr>
            <w:tcW w:w="380" w:type="dxa"/>
            <w:vAlign w:val="bottom"/>
          </w:tcPr>
          <w:p>
            <w:pPr>
              <w:jc w:val="right"/>
              <w:spacing w:after="0"/>
              <w:rPr>
                <w:sz w:val="20"/>
                <w:szCs w:val="20"/>
                <w:color w:val="auto"/>
              </w:rPr>
            </w:pPr>
            <w:r>
              <w:rPr>
                <w:rFonts w:ascii="Arial" w:cs="Arial" w:eastAsia="Arial" w:hAnsi="Arial"/>
                <w:sz w:val="24"/>
                <w:szCs w:val="24"/>
                <w:color w:val="auto"/>
              </w:rPr>
              <w:t>16</w:t>
            </w:r>
          </w:p>
        </w:tc>
      </w:tr>
      <w:tr>
        <w:trPr>
          <w:trHeight w:val="359"/>
        </w:trPr>
        <w:tc>
          <w:tcPr>
            <w:tcW w:w="1220" w:type="dxa"/>
            <w:vAlign w:val="bottom"/>
          </w:tcPr>
          <w:p>
            <w:pPr>
              <w:spacing w:after="0"/>
              <w:rPr>
                <w:sz w:val="20"/>
                <w:szCs w:val="20"/>
                <w:color w:val="auto"/>
              </w:rPr>
            </w:pPr>
            <w:r>
              <w:rPr>
                <w:rFonts w:ascii="Arial" w:cs="Arial" w:eastAsia="Arial" w:hAnsi="Arial"/>
                <w:sz w:val="24"/>
                <w:szCs w:val="24"/>
                <w:color w:val="auto"/>
              </w:rPr>
              <w:t>FIGURA 3</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da origem de capital das instituições bancárias no Brasil</w:t>
            </w:r>
          </w:p>
        </w:tc>
        <w:tc>
          <w:tcPr>
            <w:tcW w:w="380" w:type="dxa"/>
            <w:vAlign w:val="bottom"/>
          </w:tcPr>
          <w:p>
            <w:pPr>
              <w:jc w:val="right"/>
              <w:spacing w:after="0"/>
              <w:rPr>
                <w:sz w:val="20"/>
                <w:szCs w:val="20"/>
                <w:color w:val="auto"/>
              </w:rPr>
            </w:pPr>
            <w:r>
              <w:rPr>
                <w:rFonts w:ascii="Arial" w:cs="Arial" w:eastAsia="Arial" w:hAnsi="Arial"/>
                <w:sz w:val="24"/>
                <w:szCs w:val="24"/>
                <w:color w:val="auto"/>
              </w:rPr>
              <w:t>18</w:t>
            </w:r>
          </w:p>
        </w:tc>
      </w:tr>
      <w:tr>
        <w:trPr>
          <w:trHeight w:val="359"/>
        </w:trPr>
        <w:tc>
          <w:tcPr>
            <w:tcW w:w="1220" w:type="dxa"/>
            <w:vAlign w:val="bottom"/>
          </w:tcPr>
          <w:p>
            <w:pPr>
              <w:spacing w:after="0"/>
              <w:rPr>
                <w:sz w:val="20"/>
                <w:szCs w:val="20"/>
                <w:color w:val="auto"/>
              </w:rPr>
            </w:pPr>
            <w:r>
              <w:rPr>
                <w:rFonts w:ascii="Arial" w:cs="Arial" w:eastAsia="Arial" w:hAnsi="Arial"/>
                <w:sz w:val="24"/>
                <w:szCs w:val="24"/>
                <w:color w:val="auto"/>
              </w:rPr>
              <w:t>FIGURA 4</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da relação Crédito/PIB no Brasil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20</w:t>
            </w:r>
          </w:p>
        </w:tc>
      </w:tr>
      <w:tr>
        <w:trPr>
          <w:trHeight w:val="359"/>
        </w:trPr>
        <w:tc>
          <w:tcPr>
            <w:tcW w:w="1220" w:type="dxa"/>
            <w:vAlign w:val="bottom"/>
          </w:tcPr>
          <w:p>
            <w:pPr>
              <w:spacing w:after="0"/>
              <w:rPr>
                <w:sz w:val="20"/>
                <w:szCs w:val="20"/>
                <w:color w:val="auto"/>
              </w:rPr>
            </w:pPr>
            <w:r>
              <w:rPr>
                <w:rFonts w:ascii="Arial" w:cs="Arial" w:eastAsia="Arial" w:hAnsi="Arial"/>
                <w:sz w:val="24"/>
                <w:szCs w:val="24"/>
                <w:color w:val="auto"/>
              </w:rPr>
              <w:t>FIGURA 5</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anual do saldo carteira de crédito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20</w:t>
            </w:r>
          </w:p>
        </w:tc>
      </w:tr>
      <w:tr>
        <w:trPr>
          <w:trHeight w:val="359"/>
        </w:trPr>
        <w:tc>
          <w:tcPr>
            <w:tcW w:w="1220" w:type="dxa"/>
            <w:vAlign w:val="bottom"/>
          </w:tcPr>
          <w:p>
            <w:pPr>
              <w:spacing w:after="0"/>
              <w:rPr>
                <w:sz w:val="20"/>
                <w:szCs w:val="20"/>
                <w:color w:val="auto"/>
              </w:rPr>
            </w:pPr>
            <w:r>
              <w:rPr>
                <w:rFonts w:ascii="Arial" w:cs="Arial" w:eastAsia="Arial" w:hAnsi="Arial"/>
                <w:sz w:val="24"/>
                <w:szCs w:val="24"/>
                <w:color w:val="auto"/>
              </w:rPr>
              <w:t>FIGURA 6</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das bases monetárias restrita e ampliada entre  . . . .</w:t>
            </w:r>
          </w:p>
        </w:tc>
        <w:tc>
          <w:tcPr>
            <w:tcW w:w="380" w:type="dxa"/>
            <w:vAlign w:val="bottom"/>
          </w:tcPr>
          <w:p>
            <w:pPr>
              <w:jc w:val="right"/>
              <w:spacing w:after="0"/>
              <w:rPr>
                <w:sz w:val="20"/>
                <w:szCs w:val="20"/>
                <w:color w:val="auto"/>
              </w:rPr>
            </w:pPr>
            <w:r>
              <w:rPr>
                <w:rFonts w:ascii="Arial" w:cs="Arial" w:eastAsia="Arial" w:hAnsi="Arial"/>
                <w:sz w:val="24"/>
                <w:szCs w:val="24"/>
                <w:color w:val="auto"/>
              </w:rPr>
              <w:t>22</w:t>
            </w:r>
          </w:p>
        </w:tc>
      </w:tr>
      <w:tr>
        <w:trPr>
          <w:trHeight w:val="359"/>
        </w:trPr>
        <w:tc>
          <w:tcPr>
            <w:tcW w:w="8720" w:type="dxa"/>
            <w:vAlign w:val="bottom"/>
            <w:gridSpan w:val="3"/>
          </w:tcPr>
          <w:p>
            <w:pPr>
              <w:spacing w:after="0"/>
              <w:rPr>
                <w:sz w:val="20"/>
                <w:szCs w:val="20"/>
                <w:color w:val="auto"/>
              </w:rPr>
            </w:pPr>
            <w:r>
              <w:rPr>
                <w:rFonts w:ascii="Arial" w:cs="Arial" w:eastAsia="Arial" w:hAnsi="Arial"/>
                <w:sz w:val="24"/>
                <w:szCs w:val="24"/>
                <w:color w:val="auto"/>
              </w:rPr>
              <w:t>FIGURA 7 – Evolução da emissão de Papel Moeda e Reservas Bancárias  . .</w:t>
            </w:r>
          </w:p>
        </w:tc>
        <w:tc>
          <w:tcPr>
            <w:tcW w:w="380" w:type="dxa"/>
            <w:vAlign w:val="bottom"/>
          </w:tcPr>
          <w:p>
            <w:pPr>
              <w:jc w:val="right"/>
              <w:spacing w:after="0"/>
              <w:rPr>
                <w:sz w:val="20"/>
                <w:szCs w:val="20"/>
                <w:color w:val="auto"/>
              </w:rPr>
            </w:pPr>
            <w:r>
              <w:rPr>
                <w:rFonts w:ascii="Arial" w:cs="Arial" w:eastAsia="Arial" w:hAnsi="Arial"/>
                <w:sz w:val="24"/>
                <w:szCs w:val="24"/>
                <w:color w:val="auto"/>
              </w:rPr>
              <w:t>22</w:t>
            </w:r>
          </w:p>
        </w:tc>
      </w:tr>
      <w:tr>
        <w:trPr>
          <w:trHeight w:val="359"/>
        </w:trPr>
        <w:tc>
          <w:tcPr>
            <w:tcW w:w="1220" w:type="dxa"/>
            <w:vAlign w:val="bottom"/>
          </w:tcPr>
          <w:p>
            <w:pPr>
              <w:spacing w:after="0"/>
              <w:rPr>
                <w:sz w:val="20"/>
                <w:szCs w:val="20"/>
                <w:color w:val="auto"/>
              </w:rPr>
            </w:pPr>
            <w:r>
              <w:rPr>
                <w:rFonts w:ascii="Arial" w:cs="Arial" w:eastAsia="Arial" w:hAnsi="Arial"/>
                <w:sz w:val="24"/>
                <w:szCs w:val="24"/>
                <w:color w:val="auto"/>
              </w:rPr>
              <w:t>FIGURA 8</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580" w:type="dxa"/>
            <w:vAlign w:val="bottom"/>
            <w:gridSpan w:val="2"/>
          </w:tcPr>
          <w:p>
            <w:pPr>
              <w:ind w:left="60"/>
              <w:spacing w:after="0"/>
              <w:rPr>
                <w:sz w:val="20"/>
                <w:szCs w:val="20"/>
                <w:color w:val="auto"/>
              </w:rPr>
            </w:pPr>
            <w:r>
              <w:rPr>
                <w:rFonts w:ascii="Arial" w:cs="Arial" w:eastAsia="Arial" w:hAnsi="Arial"/>
                <w:sz w:val="24"/>
                <w:szCs w:val="24"/>
                <w:color w:val="auto"/>
                <w:w w:val="98"/>
              </w:rPr>
              <w:t>Evolução dos Depósitos Compulsórios e emissão de títulos públicos 23</w:t>
            </w:r>
          </w:p>
        </w:tc>
      </w:tr>
      <w:tr>
        <w:trPr>
          <w:trHeight w:val="359"/>
        </w:trPr>
        <w:tc>
          <w:tcPr>
            <w:tcW w:w="8720" w:type="dxa"/>
            <w:vAlign w:val="bottom"/>
            <w:gridSpan w:val="3"/>
          </w:tcPr>
          <w:p>
            <w:pPr>
              <w:spacing w:after="0"/>
              <w:rPr>
                <w:sz w:val="20"/>
                <w:szCs w:val="20"/>
                <w:color w:val="auto"/>
              </w:rPr>
            </w:pPr>
            <w:r>
              <w:rPr>
                <w:rFonts w:ascii="Arial" w:cs="Arial" w:eastAsia="Arial" w:hAnsi="Arial"/>
                <w:sz w:val="24"/>
                <w:szCs w:val="24"/>
                <w:color w:val="auto"/>
              </w:rPr>
              <w:t>FIGURA 9 – Evolução dos componentes que formam os Meios de pagamentos</w:t>
            </w:r>
          </w:p>
        </w:tc>
        <w:tc>
          <w:tcPr>
            <w:tcW w:w="380" w:type="dxa"/>
            <w:vAlign w:val="bottom"/>
          </w:tcPr>
          <w:p>
            <w:pPr>
              <w:spacing w:after="0"/>
              <w:rPr>
                <w:sz w:val="24"/>
                <w:szCs w:val="24"/>
                <w:color w:val="auto"/>
              </w:rPr>
            </w:pPr>
          </w:p>
        </w:tc>
      </w:tr>
      <w:tr>
        <w:trPr>
          <w:trHeight w:val="359"/>
        </w:trPr>
        <w:tc>
          <w:tcPr>
            <w:tcW w:w="12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220" w:type="dxa"/>
            <w:vAlign w:val="bottom"/>
          </w:tcPr>
          <w:p>
            <w:pPr>
              <w:ind w:left="60"/>
              <w:spacing w:after="0"/>
              <w:rPr>
                <w:sz w:val="20"/>
                <w:szCs w:val="20"/>
                <w:color w:val="auto"/>
              </w:rPr>
            </w:pPr>
            <w:r>
              <w:rPr>
                <w:rFonts w:ascii="Arial" w:cs="Arial" w:eastAsia="Arial" w:hAnsi="Arial"/>
                <w:sz w:val="24"/>
                <w:szCs w:val="24"/>
                <w:color w:val="auto"/>
              </w:rPr>
              <w:t>restritos M1 — 1995 à 2020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24</w:t>
            </w:r>
          </w:p>
        </w:tc>
      </w:tr>
      <w:tr>
        <w:trPr>
          <w:trHeight w:val="359"/>
        </w:trPr>
        <w:tc>
          <w:tcPr>
            <w:tcW w:w="8720" w:type="dxa"/>
            <w:vAlign w:val="bottom"/>
            <w:gridSpan w:val="3"/>
          </w:tcPr>
          <w:p>
            <w:pPr>
              <w:spacing w:after="0"/>
              <w:rPr>
                <w:sz w:val="20"/>
                <w:szCs w:val="20"/>
                <w:color w:val="auto"/>
              </w:rPr>
            </w:pPr>
            <w:r>
              <w:rPr>
                <w:rFonts w:ascii="Arial" w:cs="Arial" w:eastAsia="Arial" w:hAnsi="Arial"/>
                <w:sz w:val="24"/>
                <w:szCs w:val="24"/>
                <w:color w:val="auto"/>
              </w:rPr>
              <w:t>FIGURA 10 – Evolução dos Agregados monetários — 2001 à 2020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26</w:t>
            </w:r>
          </w:p>
        </w:tc>
      </w:tr>
      <w:tr>
        <w:trPr>
          <w:trHeight w:val="359"/>
        </w:trPr>
        <w:tc>
          <w:tcPr>
            <w:tcW w:w="8720" w:type="dxa"/>
            <w:vAlign w:val="bottom"/>
            <w:gridSpan w:val="3"/>
          </w:tcPr>
          <w:p>
            <w:pPr>
              <w:spacing w:after="0"/>
              <w:rPr>
                <w:sz w:val="20"/>
                <w:szCs w:val="20"/>
                <w:color w:val="auto"/>
              </w:rPr>
            </w:pPr>
            <w:r>
              <w:rPr>
                <w:rFonts w:ascii="Arial" w:cs="Arial" w:eastAsia="Arial" w:hAnsi="Arial"/>
                <w:sz w:val="24"/>
                <w:szCs w:val="24"/>
                <w:color w:val="auto"/>
              </w:rPr>
              <w:t>FIGURA 11 – Diagrama de ilustração da perspectiva de ótica do spread  . . . .</w:t>
            </w:r>
          </w:p>
        </w:tc>
        <w:tc>
          <w:tcPr>
            <w:tcW w:w="380" w:type="dxa"/>
            <w:vAlign w:val="bottom"/>
          </w:tcPr>
          <w:p>
            <w:pPr>
              <w:jc w:val="right"/>
              <w:spacing w:after="0"/>
              <w:rPr>
                <w:sz w:val="20"/>
                <w:szCs w:val="20"/>
                <w:color w:val="auto"/>
              </w:rPr>
            </w:pPr>
            <w:r>
              <w:rPr>
                <w:rFonts w:ascii="Arial" w:cs="Arial" w:eastAsia="Arial" w:hAnsi="Arial"/>
                <w:sz w:val="24"/>
                <w:szCs w:val="24"/>
                <w:color w:val="auto"/>
              </w:rPr>
              <w:t>32</w:t>
            </w:r>
          </w:p>
        </w:tc>
      </w:tr>
    </w:tbl>
    <w:p>
      <w:pPr>
        <w:spacing w:after="0" w:line="64" w:lineRule="exact"/>
        <w:rPr>
          <w:sz w:val="20"/>
          <w:szCs w:val="20"/>
          <w:color w:val="auto"/>
        </w:rPr>
      </w:pPr>
    </w:p>
    <w:p>
      <w:pPr>
        <w:ind w:left="260"/>
        <w:spacing w:after="0"/>
        <w:rPr>
          <w:sz w:val="20"/>
          <w:szCs w:val="20"/>
          <w:color w:val="auto"/>
        </w:rPr>
      </w:pPr>
      <w:r>
        <w:rPr>
          <w:rFonts w:ascii="Arial" w:cs="Arial" w:eastAsia="Arial" w:hAnsi="Arial"/>
          <w:sz w:val="24"/>
          <w:szCs w:val="24"/>
          <w:color w:val="auto"/>
        </w:rPr>
        <w:t>FIGURA 12 – Diagrama de ilustração da perspectiva de características do spread 34</w:t>
      </w:r>
    </w:p>
    <w:p>
      <w:pPr>
        <w:spacing w:after="0" w:line="83" w:lineRule="exact"/>
        <w:rPr>
          <w:sz w:val="20"/>
          <w:szCs w:val="20"/>
          <w:color w:val="auto"/>
        </w:rPr>
      </w:pPr>
    </w:p>
    <w:tbl>
      <w:tblPr>
        <w:tblLayout w:type="fixed"/>
        <w:tblInd w:w="260" w:type="dxa"/>
        <w:tblCellMar>
          <w:top w:w="0" w:type="dxa"/>
          <w:left w:w="0" w:type="dxa"/>
          <w:bottom w:w="0" w:type="dxa"/>
          <w:right w:w="0" w:type="dxa"/>
        </w:tblCellMar>
      </w:tblPr>
      <w:tr>
        <w:trPr>
          <w:trHeight w:val="294"/>
        </w:trPr>
        <w:tc>
          <w:tcPr>
            <w:tcW w:w="8640" w:type="dxa"/>
            <w:vAlign w:val="bottom"/>
            <w:gridSpan w:val="3"/>
          </w:tcPr>
          <w:p>
            <w:pPr>
              <w:spacing w:after="0"/>
              <w:rPr>
                <w:sz w:val="20"/>
                <w:szCs w:val="20"/>
                <w:color w:val="auto"/>
              </w:rPr>
            </w:pPr>
            <w:r>
              <w:rPr>
                <w:rFonts w:ascii="Arial" w:cs="Arial" w:eastAsia="Arial" w:hAnsi="Arial"/>
                <w:sz w:val="24"/>
                <w:szCs w:val="24"/>
                <w:color w:val="auto"/>
              </w:rPr>
              <w:t>FIGURA 13 – Evolução do spread bancário brasileiro até 2011  . . . . . . . . .</w:t>
            </w:r>
          </w:p>
        </w:tc>
        <w:tc>
          <w:tcPr>
            <w:tcW w:w="440" w:type="dxa"/>
            <w:vAlign w:val="bottom"/>
          </w:tcPr>
          <w:p>
            <w:pPr>
              <w:jc w:val="right"/>
              <w:spacing w:after="0"/>
              <w:rPr>
                <w:sz w:val="20"/>
                <w:szCs w:val="20"/>
                <w:color w:val="auto"/>
              </w:rPr>
            </w:pPr>
            <w:r>
              <w:rPr>
                <w:rFonts w:ascii="Arial" w:cs="Arial" w:eastAsia="Arial" w:hAnsi="Arial"/>
                <w:sz w:val="24"/>
                <w:szCs w:val="24"/>
                <w:color w:val="auto"/>
              </w:rPr>
              <w:t>36</w:t>
            </w:r>
          </w:p>
        </w:tc>
      </w:tr>
      <w:tr>
        <w:trPr>
          <w:trHeight w:val="359"/>
        </w:trPr>
        <w:tc>
          <w:tcPr>
            <w:tcW w:w="1320" w:type="dxa"/>
            <w:vAlign w:val="bottom"/>
            <w:gridSpan w:val="2"/>
          </w:tcPr>
          <w:p>
            <w:pPr>
              <w:spacing w:after="0"/>
              <w:rPr>
                <w:sz w:val="20"/>
                <w:szCs w:val="20"/>
                <w:color w:val="auto"/>
              </w:rPr>
            </w:pPr>
            <w:r>
              <w:rPr>
                <w:rFonts w:ascii="Arial" w:cs="Arial" w:eastAsia="Arial" w:hAnsi="Arial"/>
                <w:sz w:val="24"/>
                <w:szCs w:val="24"/>
                <w:color w:val="auto"/>
              </w:rPr>
              <w:t>FIGURA 14</w:t>
            </w:r>
          </w:p>
        </w:tc>
        <w:tc>
          <w:tcPr>
            <w:tcW w:w="7320" w:type="dxa"/>
            <w:vAlign w:val="bottom"/>
          </w:tcPr>
          <w:p>
            <w:pPr>
              <w:ind w:left="40"/>
              <w:spacing w:after="0"/>
              <w:rPr>
                <w:sz w:val="20"/>
                <w:szCs w:val="20"/>
                <w:color w:val="auto"/>
              </w:rPr>
            </w:pPr>
            <w:r>
              <w:rPr>
                <w:rFonts w:ascii="Arial" w:cs="Arial" w:eastAsia="Arial" w:hAnsi="Arial"/>
                <w:sz w:val="24"/>
                <w:szCs w:val="24"/>
                <w:color w:val="auto"/>
              </w:rPr>
              <w:t>– Evolução do Spread médio das operações de crédito . . . . . . .</w:t>
            </w:r>
          </w:p>
        </w:tc>
        <w:tc>
          <w:tcPr>
            <w:tcW w:w="440" w:type="dxa"/>
            <w:vAlign w:val="bottom"/>
          </w:tcPr>
          <w:p>
            <w:pPr>
              <w:jc w:val="right"/>
              <w:spacing w:after="0"/>
              <w:rPr>
                <w:sz w:val="20"/>
                <w:szCs w:val="20"/>
                <w:color w:val="auto"/>
              </w:rPr>
            </w:pPr>
            <w:r>
              <w:rPr>
                <w:rFonts w:ascii="Arial" w:cs="Arial" w:eastAsia="Arial" w:hAnsi="Arial"/>
                <w:sz w:val="24"/>
                <w:szCs w:val="24"/>
                <w:color w:val="auto"/>
              </w:rPr>
              <w:t>38</w:t>
            </w:r>
          </w:p>
        </w:tc>
      </w:tr>
      <w:tr>
        <w:trPr>
          <w:trHeight w:val="359"/>
        </w:trPr>
        <w:tc>
          <w:tcPr>
            <w:tcW w:w="1320" w:type="dxa"/>
            <w:vAlign w:val="bottom"/>
            <w:gridSpan w:val="2"/>
          </w:tcPr>
          <w:p>
            <w:pPr>
              <w:spacing w:after="0"/>
              <w:rPr>
                <w:sz w:val="20"/>
                <w:szCs w:val="20"/>
                <w:color w:val="auto"/>
              </w:rPr>
            </w:pPr>
            <w:r>
              <w:rPr>
                <w:rFonts w:ascii="Arial" w:cs="Arial" w:eastAsia="Arial" w:hAnsi="Arial"/>
                <w:sz w:val="24"/>
                <w:szCs w:val="24"/>
                <w:color w:val="auto"/>
              </w:rPr>
              <w:t>FIGURA 15</w:t>
            </w:r>
          </w:p>
        </w:tc>
        <w:tc>
          <w:tcPr>
            <w:tcW w:w="7320" w:type="dxa"/>
            <w:vAlign w:val="bottom"/>
          </w:tcPr>
          <w:p>
            <w:pPr>
              <w:ind w:left="40"/>
              <w:spacing w:after="0"/>
              <w:rPr>
                <w:sz w:val="20"/>
                <w:szCs w:val="20"/>
                <w:color w:val="auto"/>
              </w:rPr>
            </w:pPr>
            <w:r>
              <w:rPr>
                <w:rFonts w:ascii="Arial" w:cs="Arial" w:eastAsia="Arial" w:hAnsi="Arial"/>
                <w:sz w:val="24"/>
                <w:szCs w:val="24"/>
                <w:color w:val="auto"/>
              </w:rPr>
              <w:t>– Evolução do Spread do Índice do Custo de Crédito  . . . . . . . .</w:t>
            </w:r>
          </w:p>
        </w:tc>
        <w:tc>
          <w:tcPr>
            <w:tcW w:w="440" w:type="dxa"/>
            <w:vAlign w:val="bottom"/>
          </w:tcPr>
          <w:p>
            <w:pPr>
              <w:jc w:val="right"/>
              <w:spacing w:after="0"/>
              <w:rPr>
                <w:sz w:val="20"/>
                <w:szCs w:val="20"/>
                <w:color w:val="auto"/>
              </w:rPr>
            </w:pPr>
            <w:r>
              <w:rPr>
                <w:rFonts w:ascii="Arial" w:cs="Arial" w:eastAsia="Arial" w:hAnsi="Arial"/>
                <w:sz w:val="24"/>
                <w:szCs w:val="24"/>
                <w:color w:val="auto"/>
              </w:rPr>
              <w:t>39</w:t>
            </w:r>
          </w:p>
        </w:tc>
      </w:tr>
      <w:tr>
        <w:trPr>
          <w:trHeight w:val="359"/>
        </w:trPr>
        <w:tc>
          <w:tcPr>
            <w:tcW w:w="960" w:type="dxa"/>
            <w:vAlign w:val="bottom"/>
          </w:tcPr>
          <w:p>
            <w:pPr>
              <w:spacing w:after="0"/>
              <w:rPr>
                <w:sz w:val="20"/>
                <w:szCs w:val="20"/>
                <w:color w:val="auto"/>
              </w:rPr>
            </w:pPr>
            <w:r>
              <w:rPr>
                <w:rFonts w:ascii="Arial" w:cs="Arial" w:eastAsia="Arial" w:hAnsi="Arial"/>
                <w:sz w:val="24"/>
                <w:szCs w:val="24"/>
                <w:color w:val="auto"/>
              </w:rPr>
              <w:t>FIGURA</w:t>
            </w:r>
          </w:p>
        </w:tc>
        <w:tc>
          <w:tcPr>
            <w:tcW w:w="360" w:type="dxa"/>
            <w:vAlign w:val="bottom"/>
          </w:tcPr>
          <w:p>
            <w:pPr>
              <w:jc w:val="right"/>
              <w:spacing w:after="0"/>
              <w:rPr>
                <w:sz w:val="20"/>
                <w:szCs w:val="20"/>
                <w:color w:val="auto"/>
              </w:rPr>
            </w:pPr>
            <w:r>
              <w:rPr>
                <w:rFonts w:ascii="Arial" w:cs="Arial" w:eastAsia="Arial" w:hAnsi="Arial"/>
                <w:sz w:val="24"/>
                <w:szCs w:val="24"/>
                <w:color w:val="auto"/>
              </w:rPr>
              <w:t>16</w:t>
            </w:r>
          </w:p>
        </w:tc>
        <w:tc>
          <w:tcPr>
            <w:tcW w:w="7320" w:type="dxa"/>
            <w:vAlign w:val="bottom"/>
          </w:tcPr>
          <w:p>
            <w:pPr>
              <w:ind w:left="40"/>
              <w:spacing w:after="0"/>
              <w:rPr>
                <w:sz w:val="20"/>
                <w:szCs w:val="20"/>
                <w:color w:val="auto"/>
              </w:rPr>
            </w:pPr>
            <w:r>
              <w:rPr>
                <w:rFonts w:ascii="Arial" w:cs="Arial" w:eastAsia="Arial" w:hAnsi="Arial"/>
                <w:sz w:val="24"/>
                <w:szCs w:val="24"/>
                <w:color w:val="auto"/>
              </w:rPr>
              <w:t>– Diagrama de ilustração da perspectiva de dimensão spread  . . .</w:t>
            </w:r>
          </w:p>
        </w:tc>
        <w:tc>
          <w:tcPr>
            <w:tcW w:w="440" w:type="dxa"/>
            <w:vAlign w:val="bottom"/>
          </w:tcPr>
          <w:p>
            <w:pPr>
              <w:jc w:val="right"/>
              <w:spacing w:after="0"/>
              <w:rPr>
                <w:sz w:val="20"/>
                <w:szCs w:val="20"/>
                <w:color w:val="auto"/>
              </w:rPr>
            </w:pPr>
            <w:r>
              <w:rPr>
                <w:rFonts w:ascii="Arial" w:cs="Arial" w:eastAsia="Arial" w:hAnsi="Arial"/>
                <w:sz w:val="24"/>
                <w:szCs w:val="24"/>
                <w:color w:val="auto"/>
              </w:rPr>
              <w:t>40</w:t>
            </w:r>
          </w:p>
        </w:tc>
      </w:tr>
      <w:tr>
        <w:trPr>
          <w:trHeight w:val="359"/>
        </w:trPr>
        <w:tc>
          <w:tcPr>
            <w:tcW w:w="960" w:type="dxa"/>
            <w:vAlign w:val="bottom"/>
          </w:tcPr>
          <w:p>
            <w:pPr>
              <w:spacing w:after="0"/>
              <w:rPr>
                <w:sz w:val="20"/>
                <w:szCs w:val="20"/>
                <w:color w:val="auto"/>
              </w:rPr>
            </w:pPr>
            <w:r>
              <w:rPr>
                <w:rFonts w:ascii="Arial" w:cs="Arial" w:eastAsia="Arial" w:hAnsi="Arial"/>
                <w:sz w:val="24"/>
                <w:szCs w:val="24"/>
                <w:color w:val="auto"/>
              </w:rPr>
              <w:t>FIGURA</w:t>
            </w:r>
          </w:p>
        </w:tc>
        <w:tc>
          <w:tcPr>
            <w:tcW w:w="360" w:type="dxa"/>
            <w:vAlign w:val="bottom"/>
          </w:tcPr>
          <w:p>
            <w:pPr>
              <w:jc w:val="right"/>
              <w:spacing w:after="0"/>
              <w:rPr>
                <w:sz w:val="20"/>
                <w:szCs w:val="20"/>
                <w:color w:val="auto"/>
              </w:rPr>
            </w:pPr>
            <w:r>
              <w:rPr>
                <w:rFonts w:ascii="Arial" w:cs="Arial" w:eastAsia="Arial" w:hAnsi="Arial"/>
                <w:sz w:val="24"/>
                <w:szCs w:val="24"/>
                <w:color w:val="auto"/>
              </w:rPr>
              <w:t>17</w:t>
            </w:r>
          </w:p>
        </w:tc>
        <w:tc>
          <w:tcPr>
            <w:tcW w:w="7320" w:type="dxa"/>
            <w:vAlign w:val="bottom"/>
          </w:tcPr>
          <w:p>
            <w:pPr>
              <w:ind w:left="40"/>
              <w:spacing w:after="0"/>
              <w:rPr>
                <w:sz w:val="20"/>
                <w:szCs w:val="20"/>
                <w:color w:val="auto"/>
              </w:rPr>
            </w:pPr>
            <w:r>
              <w:rPr>
                <w:rFonts w:ascii="Arial" w:cs="Arial" w:eastAsia="Arial" w:hAnsi="Arial"/>
                <w:sz w:val="24"/>
                <w:szCs w:val="24"/>
                <w:color w:val="auto"/>
              </w:rPr>
              <w:t>– Evolução do Indicador de Custo de Crédito (ICC)  . . . . . . . . .</w:t>
            </w:r>
          </w:p>
        </w:tc>
        <w:tc>
          <w:tcPr>
            <w:tcW w:w="440" w:type="dxa"/>
            <w:vAlign w:val="bottom"/>
          </w:tcPr>
          <w:p>
            <w:pPr>
              <w:jc w:val="right"/>
              <w:spacing w:after="0"/>
              <w:rPr>
                <w:sz w:val="20"/>
                <w:szCs w:val="20"/>
                <w:color w:val="auto"/>
              </w:rPr>
            </w:pPr>
            <w:r>
              <w:rPr>
                <w:rFonts w:ascii="Arial" w:cs="Arial" w:eastAsia="Arial" w:hAnsi="Arial"/>
                <w:sz w:val="24"/>
                <w:szCs w:val="24"/>
                <w:color w:val="auto"/>
              </w:rPr>
              <w:t>40</w:t>
            </w:r>
          </w:p>
        </w:tc>
      </w:tr>
    </w:tbl>
    <w:p>
      <w:pPr>
        <w:sectPr>
          <w:pgSz w:w="11900" w:h="16838" w:orient="portrait"/>
          <w:cols w:equalWidth="0" w:num="1">
            <w:col w:w="9340"/>
          </w:cols>
          <w:pgMar w:left="1440" w:top="1440" w:right="1126" w:bottom="1440" w:gutter="0" w:footer="0" w:header="0"/>
        </w:sectPr>
      </w:pPr>
    </w:p>
    <w:p>
      <w:pPr>
        <w:spacing w:after="0" w:line="273" w:lineRule="exact"/>
        <w:rPr>
          <w:sz w:val="20"/>
          <w:szCs w:val="20"/>
          <w:color w:val="auto"/>
        </w:rPr>
      </w:pPr>
    </w:p>
    <w:p>
      <w:pPr>
        <w:jc w:val="center"/>
        <w:ind w:right="-179"/>
        <w:spacing w:after="0"/>
        <w:rPr>
          <w:sz w:val="20"/>
          <w:szCs w:val="20"/>
          <w:color w:val="auto"/>
        </w:rPr>
      </w:pPr>
      <w:r>
        <w:rPr>
          <w:rFonts w:ascii="Arial" w:cs="Arial" w:eastAsia="Arial" w:hAnsi="Arial"/>
          <w:sz w:val="24"/>
          <w:szCs w:val="24"/>
          <w:b w:val="1"/>
          <w:bCs w:val="1"/>
          <w:color w:val="auto"/>
        </w:rPr>
        <w:t>LISTA DE TABELAS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tbl>
      <w:tblPr>
        <w:tblLayout w:type="fixed"/>
        <w:tblInd w:w="260" w:type="dxa"/>
        <w:tblCellMar>
          <w:top w:w="0" w:type="dxa"/>
          <w:left w:w="0" w:type="dxa"/>
          <w:bottom w:w="0" w:type="dxa"/>
          <w:right w:w="0" w:type="dxa"/>
        </w:tblCellMar>
      </w:tblPr>
      <w:tr>
        <w:trPr>
          <w:trHeight w:val="294"/>
        </w:trPr>
        <w:tc>
          <w:tcPr>
            <w:tcW w:w="1200" w:type="dxa"/>
            <w:vAlign w:val="bottom"/>
          </w:tcPr>
          <w:p>
            <w:pPr>
              <w:spacing w:after="0"/>
              <w:rPr>
                <w:sz w:val="20"/>
                <w:szCs w:val="20"/>
                <w:color w:val="auto"/>
              </w:rPr>
            </w:pPr>
            <w:r>
              <w:rPr>
                <w:rFonts w:ascii="Arial" w:cs="Arial" w:eastAsia="Arial" w:hAnsi="Arial"/>
                <w:sz w:val="24"/>
                <w:szCs w:val="24"/>
                <w:color w:val="auto"/>
              </w:rPr>
              <w:t>TABELA 1</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160" w:type="dxa"/>
            <w:vAlign w:val="bottom"/>
          </w:tcPr>
          <w:p>
            <w:pPr>
              <w:ind w:left="60"/>
              <w:spacing w:after="0"/>
              <w:rPr>
                <w:sz w:val="20"/>
                <w:szCs w:val="20"/>
                <w:color w:val="auto"/>
              </w:rPr>
            </w:pPr>
            <w:r>
              <w:rPr>
                <w:rFonts w:ascii="Arial" w:cs="Arial" w:eastAsia="Arial" w:hAnsi="Arial"/>
                <w:sz w:val="24"/>
                <w:szCs w:val="24"/>
                <w:color w:val="auto"/>
              </w:rPr>
              <w:t>Composição do setor bancário brasileiro por tipo de iniciativa —</w:t>
            </w:r>
          </w:p>
        </w:tc>
        <w:tc>
          <w:tcPr>
            <w:tcW w:w="460" w:type="dxa"/>
            <w:vAlign w:val="bottom"/>
          </w:tcPr>
          <w:p>
            <w:pPr>
              <w:spacing w:after="0"/>
              <w:rPr>
                <w:sz w:val="24"/>
                <w:szCs w:val="24"/>
                <w:color w:val="auto"/>
              </w:rPr>
            </w:pPr>
          </w:p>
        </w:tc>
      </w:tr>
      <w:tr>
        <w:trPr>
          <w:trHeight w:val="359"/>
        </w:trPr>
        <w:tc>
          <w:tcPr>
            <w:tcW w:w="1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160" w:type="dxa"/>
            <w:vAlign w:val="bottom"/>
          </w:tcPr>
          <w:p>
            <w:pPr>
              <w:ind w:left="60"/>
              <w:spacing w:after="0"/>
              <w:rPr>
                <w:sz w:val="20"/>
                <w:szCs w:val="20"/>
                <w:color w:val="auto"/>
              </w:rPr>
            </w:pPr>
            <w:r>
              <w:rPr>
                <w:rFonts w:ascii="Arial" w:cs="Arial" w:eastAsia="Arial" w:hAnsi="Arial"/>
                <w:sz w:val="24"/>
                <w:szCs w:val="24"/>
                <w:color w:val="auto"/>
              </w:rPr>
              <w:t>Dezembro 2019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13</w:t>
            </w:r>
          </w:p>
        </w:tc>
      </w:tr>
      <w:tr>
        <w:trPr>
          <w:trHeight w:val="359"/>
        </w:trPr>
        <w:tc>
          <w:tcPr>
            <w:tcW w:w="1200" w:type="dxa"/>
            <w:vAlign w:val="bottom"/>
          </w:tcPr>
          <w:p>
            <w:pPr>
              <w:spacing w:after="0"/>
              <w:rPr>
                <w:sz w:val="20"/>
                <w:szCs w:val="20"/>
                <w:color w:val="auto"/>
              </w:rPr>
            </w:pPr>
            <w:r>
              <w:rPr>
                <w:rFonts w:ascii="Arial" w:cs="Arial" w:eastAsia="Arial" w:hAnsi="Arial"/>
                <w:sz w:val="24"/>
                <w:szCs w:val="24"/>
                <w:color w:val="auto"/>
              </w:rPr>
              <w:t>TABELA 2</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160" w:type="dxa"/>
            <w:vAlign w:val="bottom"/>
          </w:tcPr>
          <w:p>
            <w:pPr>
              <w:ind w:left="60"/>
              <w:spacing w:after="0"/>
              <w:rPr>
                <w:sz w:val="20"/>
                <w:szCs w:val="20"/>
                <w:color w:val="auto"/>
              </w:rPr>
            </w:pPr>
            <w:r>
              <w:rPr>
                <w:rFonts w:ascii="Arial" w:cs="Arial" w:eastAsia="Arial" w:hAnsi="Arial"/>
                <w:sz w:val="24"/>
                <w:szCs w:val="24"/>
                <w:color w:val="auto"/>
                <w:w w:val="99"/>
              </w:rPr>
              <w:t>Composição do setor bancário brasileiro por segmento em dezem-</w:t>
            </w:r>
          </w:p>
        </w:tc>
        <w:tc>
          <w:tcPr>
            <w:tcW w:w="460" w:type="dxa"/>
            <w:vAlign w:val="bottom"/>
          </w:tcPr>
          <w:p>
            <w:pPr>
              <w:spacing w:after="0"/>
              <w:rPr>
                <w:sz w:val="24"/>
                <w:szCs w:val="24"/>
                <w:color w:val="auto"/>
              </w:rPr>
            </w:pPr>
          </w:p>
        </w:tc>
      </w:tr>
      <w:tr>
        <w:trPr>
          <w:trHeight w:val="359"/>
        </w:trPr>
        <w:tc>
          <w:tcPr>
            <w:tcW w:w="1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160" w:type="dxa"/>
            <w:vAlign w:val="bottom"/>
          </w:tcPr>
          <w:p>
            <w:pPr>
              <w:ind w:left="60"/>
              <w:spacing w:after="0"/>
              <w:rPr>
                <w:sz w:val="20"/>
                <w:szCs w:val="20"/>
                <w:color w:val="auto"/>
              </w:rPr>
            </w:pPr>
            <w:r>
              <w:rPr>
                <w:rFonts w:ascii="Arial" w:cs="Arial" w:eastAsia="Arial" w:hAnsi="Arial"/>
                <w:sz w:val="24"/>
                <w:szCs w:val="24"/>
                <w:color w:val="auto"/>
              </w:rPr>
              <w:t>bro de 2019  . .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14</w:t>
            </w:r>
          </w:p>
        </w:tc>
      </w:tr>
      <w:tr>
        <w:trPr>
          <w:trHeight w:val="359"/>
        </w:trPr>
        <w:tc>
          <w:tcPr>
            <w:tcW w:w="1200" w:type="dxa"/>
            <w:vAlign w:val="bottom"/>
          </w:tcPr>
          <w:p>
            <w:pPr>
              <w:spacing w:after="0"/>
              <w:rPr>
                <w:sz w:val="20"/>
                <w:szCs w:val="20"/>
                <w:color w:val="auto"/>
              </w:rPr>
            </w:pPr>
            <w:r>
              <w:rPr>
                <w:rFonts w:ascii="Arial" w:cs="Arial" w:eastAsia="Arial" w:hAnsi="Arial"/>
                <w:sz w:val="24"/>
                <w:szCs w:val="24"/>
                <w:color w:val="auto"/>
              </w:rPr>
              <w:t>TABELA 3</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600" w:type="dxa"/>
            <w:vAlign w:val="bottom"/>
            <w:gridSpan w:val="2"/>
          </w:tcPr>
          <w:p>
            <w:pPr>
              <w:ind w:left="60"/>
              <w:spacing w:after="0"/>
              <w:rPr>
                <w:sz w:val="20"/>
                <w:szCs w:val="20"/>
                <w:color w:val="auto"/>
              </w:rPr>
            </w:pPr>
            <w:r>
              <w:rPr>
                <w:rFonts w:ascii="Arial" w:cs="Arial" w:eastAsia="Arial" w:hAnsi="Arial"/>
                <w:sz w:val="24"/>
                <w:szCs w:val="24"/>
                <w:color w:val="auto"/>
                <w:w w:val="98"/>
              </w:rPr>
              <w:t>Setor bancário brasileiro por origem de capital — Dezembro de 2019 18</w:t>
            </w:r>
          </w:p>
        </w:tc>
      </w:tr>
      <w:tr>
        <w:trPr>
          <w:trHeight w:val="359"/>
        </w:trPr>
        <w:tc>
          <w:tcPr>
            <w:tcW w:w="1200" w:type="dxa"/>
            <w:vAlign w:val="bottom"/>
          </w:tcPr>
          <w:p>
            <w:pPr>
              <w:spacing w:after="0"/>
              <w:rPr>
                <w:sz w:val="20"/>
                <w:szCs w:val="20"/>
                <w:color w:val="auto"/>
              </w:rPr>
            </w:pPr>
            <w:r>
              <w:rPr>
                <w:rFonts w:ascii="Arial" w:cs="Arial" w:eastAsia="Arial" w:hAnsi="Arial"/>
                <w:sz w:val="24"/>
                <w:szCs w:val="24"/>
                <w:color w:val="auto"/>
              </w:rPr>
              <w:t>TABELA 4</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160" w:type="dxa"/>
            <w:vAlign w:val="bottom"/>
          </w:tcPr>
          <w:p>
            <w:pPr>
              <w:ind w:left="60"/>
              <w:spacing w:after="0"/>
              <w:rPr>
                <w:sz w:val="20"/>
                <w:szCs w:val="20"/>
                <w:color w:val="auto"/>
              </w:rPr>
            </w:pPr>
            <w:r>
              <w:rPr>
                <w:rFonts w:ascii="Arial" w:cs="Arial" w:eastAsia="Arial" w:hAnsi="Arial"/>
                <w:sz w:val="24"/>
                <w:szCs w:val="24"/>
                <w:color w:val="auto"/>
              </w:rPr>
              <w:t>Tabela indicativa das Demonstrações Contábeis Padronizadas . .</w:t>
            </w:r>
          </w:p>
        </w:tc>
        <w:tc>
          <w:tcPr>
            <w:tcW w:w="460" w:type="dxa"/>
            <w:vAlign w:val="bottom"/>
          </w:tcPr>
          <w:p>
            <w:pPr>
              <w:jc w:val="right"/>
              <w:spacing w:after="0"/>
              <w:rPr>
                <w:sz w:val="20"/>
                <w:szCs w:val="20"/>
                <w:color w:val="auto"/>
              </w:rPr>
            </w:pPr>
            <w:r>
              <w:rPr>
                <w:rFonts w:ascii="Arial" w:cs="Arial" w:eastAsia="Arial" w:hAnsi="Arial"/>
                <w:sz w:val="24"/>
                <w:szCs w:val="24"/>
                <w:color w:val="auto"/>
              </w:rPr>
              <w:t>27</w:t>
            </w:r>
          </w:p>
        </w:tc>
      </w:tr>
      <w:tr>
        <w:trPr>
          <w:trHeight w:val="359"/>
        </w:trPr>
        <w:tc>
          <w:tcPr>
            <w:tcW w:w="8640" w:type="dxa"/>
            <w:vAlign w:val="bottom"/>
            <w:gridSpan w:val="3"/>
          </w:tcPr>
          <w:p>
            <w:pPr>
              <w:spacing w:after="0"/>
              <w:rPr>
                <w:sz w:val="20"/>
                <w:szCs w:val="20"/>
                <w:color w:val="auto"/>
              </w:rPr>
            </w:pPr>
            <w:r>
              <w:rPr>
                <w:rFonts w:ascii="Arial" w:cs="Arial" w:eastAsia="Arial" w:hAnsi="Arial"/>
                <w:sz w:val="24"/>
                <w:szCs w:val="24"/>
                <w:color w:val="auto"/>
              </w:rPr>
              <w:t>TABELA 5 – Esquema de obtenção do Spread mais adotado no mercado . . .</w:t>
            </w:r>
          </w:p>
        </w:tc>
        <w:tc>
          <w:tcPr>
            <w:tcW w:w="460" w:type="dxa"/>
            <w:vAlign w:val="bottom"/>
          </w:tcPr>
          <w:p>
            <w:pPr>
              <w:jc w:val="right"/>
              <w:spacing w:after="0"/>
              <w:rPr>
                <w:sz w:val="20"/>
                <w:szCs w:val="20"/>
                <w:color w:val="auto"/>
              </w:rPr>
            </w:pPr>
            <w:r>
              <w:rPr>
                <w:rFonts w:ascii="Arial" w:cs="Arial" w:eastAsia="Arial" w:hAnsi="Arial"/>
                <w:sz w:val="24"/>
                <w:szCs w:val="24"/>
                <w:color w:val="auto"/>
              </w:rPr>
              <w:t>36</w:t>
            </w:r>
          </w:p>
        </w:tc>
      </w:tr>
      <w:tr>
        <w:trPr>
          <w:trHeight w:val="359"/>
        </w:trPr>
        <w:tc>
          <w:tcPr>
            <w:tcW w:w="1200" w:type="dxa"/>
            <w:vAlign w:val="bottom"/>
          </w:tcPr>
          <w:p>
            <w:pPr>
              <w:spacing w:after="0"/>
              <w:rPr>
                <w:sz w:val="20"/>
                <w:szCs w:val="20"/>
                <w:color w:val="auto"/>
              </w:rPr>
            </w:pPr>
            <w:r>
              <w:rPr>
                <w:rFonts w:ascii="Arial" w:cs="Arial" w:eastAsia="Arial" w:hAnsi="Arial"/>
                <w:sz w:val="24"/>
                <w:szCs w:val="24"/>
                <w:color w:val="auto"/>
              </w:rPr>
              <w:t>TABELA 6</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160" w:type="dxa"/>
            <w:vAlign w:val="bottom"/>
          </w:tcPr>
          <w:p>
            <w:pPr>
              <w:ind w:left="60"/>
              <w:spacing w:after="0"/>
              <w:rPr>
                <w:sz w:val="20"/>
                <w:szCs w:val="20"/>
                <w:color w:val="auto"/>
              </w:rPr>
            </w:pPr>
            <w:r>
              <w:rPr>
                <w:rFonts w:ascii="Arial" w:cs="Arial" w:eastAsia="Arial" w:hAnsi="Arial"/>
                <w:sz w:val="24"/>
                <w:szCs w:val="24"/>
                <w:color w:val="auto"/>
              </w:rPr>
              <w:t>Resumo das séries de Spread Ex-Ante e suas subdivisões . . . .</w:t>
            </w:r>
          </w:p>
        </w:tc>
        <w:tc>
          <w:tcPr>
            <w:tcW w:w="460" w:type="dxa"/>
            <w:vAlign w:val="bottom"/>
          </w:tcPr>
          <w:p>
            <w:pPr>
              <w:jc w:val="right"/>
              <w:spacing w:after="0"/>
              <w:rPr>
                <w:sz w:val="20"/>
                <w:szCs w:val="20"/>
                <w:color w:val="auto"/>
              </w:rPr>
            </w:pPr>
            <w:r>
              <w:rPr>
                <w:rFonts w:ascii="Arial" w:cs="Arial" w:eastAsia="Arial" w:hAnsi="Arial"/>
                <w:sz w:val="24"/>
                <w:szCs w:val="24"/>
                <w:color w:val="auto"/>
              </w:rPr>
              <w:t>37</w:t>
            </w:r>
          </w:p>
        </w:tc>
      </w:tr>
      <w:tr>
        <w:trPr>
          <w:trHeight w:val="359"/>
        </w:trPr>
        <w:tc>
          <w:tcPr>
            <w:tcW w:w="8640" w:type="dxa"/>
            <w:vAlign w:val="bottom"/>
            <w:gridSpan w:val="3"/>
          </w:tcPr>
          <w:p>
            <w:pPr>
              <w:spacing w:after="0"/>
              <w:rPr>
                <w:sz w:val="20"/>
                <w:szCs w:val="20"/>
                <w:color w:val="auto"/>
              </w:rPr>
            </w:pPr>
            <w:r>
              <w:rPr>
                <w:rFonts w:ascii="Arial" w:cs="Arial" w:eastAsia="Arial" w:hAnsi="Arial"/>
                <w:sz w:val="24"/>
                <w:szCs w:val="24"/>
                <w:color w:val="auto"/>
              </w:rPr>
              <w:t>TABELA 7 – Resumo de estudos sobre o spread ex-ante no Brasil — Parte 1 .</w:t>
            </w:r>
          </w:p>
        </w:tc>
        <w:tc>
          <w:tcPr>
            <w:tcW w:w="460" w:type="dxa"/>
            <w:vAlign w:val="bottom"/>
          </w:tcPr>
          <w:p>
            <w:pPr>
              <w:jc w:val="right"/>
              <w:spacing w:after="0"/>
              <w:rPr>
                <w:sz w:val="20"/>
                <w:szCs w:val="20"/>
                <w:color w:val="auto"/>
              </w:rPr>
            </w:pPr>
            <w:r>
              <w:rPr>
                <w:rFonts w:ascii="Arial" w:cs="Arial" w:eastAsia="Arial" w:hAnsi="Arial"/>
                <w:sz w:val="24"/>
                <w:szCs w:val="24"/>
                <w:color w:val="auto"/>
              </w:rPr>
              <w:t>44</w:t>
            </w:r>
          </w:p>
        </w:tc>
      </w:tr>
      <w:tr>
        <w:trPr>
          <w:trHeight w:val="359"/>
        </w:trPr>
        <w:tc>
          <w:tcPr>
            <w:tcW w:w="8640" w:type="dxa"/>
            <w:vAlign w:val="bottom"/>
            <w:gridSpan w:val="3"/>
          </w:tcPr>
          <w:p>
            <w:pPr>
              <w:spacing w:after="0"/>
              <w:rPr>
                <w:sz w:val="20"/>
                <w:szCs w:val="20"/>
                <w:color w:val="auto"/>
              </w:rPr>
            </w:pPr>
            <w:r>
              <w:rPr>
                <w:rFonts w:ascii="Arial" w:cs="Arial" w:eastAsia="Arial" w:hAnsi="Arial"/>
                <w:sz w:val="24"/>
                <w:szCs w:val="24"/>
                <w:color w:val="auto"/>
              </w:rPr>
              <w:t>TABELA 8 – Resumo de estudos sobre o spread ex-ante no Brasil — Parte 2 .</w:t>
            </w:r>
          </w:p>
        </w:tc>
        <w:tc>
          <w:tcPr>
            <w:tcW w:w="460" w:type="dxa"/>
            <w:vAlign w:val="bottom"/>
          </w:tcPr>
          <w:p>
            <w:pPr>
              <w:jc w:val="right"/>
              <w:spacing w:after="0"/>
              <w:rPr>
                <w:sz w:val="20"/>
                <w:szCs w:val="20"/>
                <w:color w:val="auto"/>
              </w:rPr>
            </w:pPr>
            <w:r>
              <w:rPr>
                <w:rFonts w:ascii="Arial" w:cs="Arial" w:eastAsia="Arial" w:hAnsi="Arial"/>
                <w:sz w:val="24"/>
                <w:szCs w:val="24"/>
                <w:color w:val="auto"/>
              </w:rPr>
              <w:t>45</w:t>
            </w:r>
          </w:p>
        </w:tc>
      </w:tr>
      <w:tr>
        <w:trPr>
          <w:trHeight w:val="359"/>
        </w:trPr>
        <w:tc>
          <w:tcPr>
            <w:tcW w:w="1200" w:type="dxa"/>
            <w:vAlign w:val="bottom"/>
          </w:tcPr>
          <w:p>
            <w:pPr>
              <w:spacing w:after="0"/>
              <w:rPr>
                <w:sz w:val="20"/>
                <w:szCs w:val="20"/>
                <w:color w:val="auto"/>
              </w:rPr>
            </w:pPr>
            <w:r>
              <w:rPr>
                <w:rFonts w:ascii="Arial" w:cs="Arial" w:eastAsia="Arial" w:hAnsi="Arial"/>
                <w:sz w:val="24"/>
                <w:szCs w:val="24"/>
                <w:color w:val="auto"/>
              </w:rPr>
              <w:t>TABELA 9</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160" w:type="dxa"/>
            <w:vAlign w:val="bottom"/>
          </w:tcPr>
          <w:p>
            <w:pPr>
              <w:ind w:left="60"/>
              <w:spacing w:after="0"/>
              <w:rPr>
                <w:sz w:val="20"/>
                <w:szCs w:val="20"/>
                <w:color w:val="auto"/>
              </w:rPr>
            </w:pPr>
            <w:r>
              <w:rPr>
                <w:rFonts w:ascii="Arial" w:cs="Arial" w:eastAsia="Arial" w:hAnsi="Arial"/>
                <w:sz w:val="24"/>
                <w:szCs w:val="24"/>
                <w:color w:val="auto"/>
              </w:rPr>
              <w:t>Resumo de estudos sobre o spread ex-post no Brasil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45</w:t>
            </w:r>
          </w:p>
        </w:tc>
      </w:tr>
      <w:tr>
        <w:trPr>
          <w:trHeight w:val="558"/>
        </w:trPr>
        <w:tc>
          <w:tcPr>
            <w:tcW w:w="8640" w:type="dxa"/>
            <w:vAlign w:val="bottom"/>
            <w:gridSpan w:val="3"/>
          </w:tcPr>
          <w:p>
            <w:pPr>
              <w:spacing w:after="0"/>
              <w:rPr>
                <w:sz w:val="20"/>
                <w:szCs w:val="20"/>
                <w:color w:val="auto"/>
              </w:rPr>
            </w:pPr>
            <w:r>
              <w:rPr>
                <w:rFonts w:ascii="Arial" w:cs="Arial" w:eastAsia="Arial" w:hAnsi="Arial"/>
                <w:sz w:val="24"/>
                <w:szCs w:val="24"/>
                <w:color w:val="auto"/>
              </w:rPr>
              <w:t>TABELA 10 – Descrição e origens dos dados para construção dos modelos  . .</w:t>
            </w:r>
          </w:p>
        </w:tc>
        <w:tc>
          <w:tcPr>
            <w:tcW w:w="460" w:type="dxa"/>
            <w:vAlign w:val="bottom"/>
          </w:tcPr>
          <w:p>
            <w:pPr>
              <w:jc w:val="right"/>
              <w:spacing w:after="0"/>
              <w:rPr>
                <w:sz w:val="20"/>
                <w:szCs w:val="20"/>
                <w:color w:val="auto"/>
              </w:rPr>
            </w:pPr>
            <w:r>
              <w:rPr>
                <w:rFonts w:ascii="Arial" w:cs="Arial" w:eastAsia="Arial" w:hAnsi="Arial"/>
                <w:sz w:val="24"/>
                <w:szCs w:val="24"/>
                <w:color w:val="auto"/>
              </w:rPr>
              <w:t>61</w:t>
            </w:r>
          </w:p>
        </w:tc>
      </w:tr>
    </w:tbl>
    <w:p>
      <w:pPr>
        <w:sectPr>
          <w:pgSz w:w="11900" w:h="16838" w:orient="portrait"/>
          <w:cols w:equalWidth="0" w:num="1">
            <w:col w:w="9340"/>
          </w:cols>
          <w:pgMar w:left="1440" w:top="1440" w:right="1126" w:bottom="1440" w:gutter="0" w:footer="0" w:header="0"/>
        </w:sectPr>
      </w:pPr>
    </w:p>
    <w:p>
      <w:pPr>
        <w:ind w:left="9220"/>
        <w:spacing w:after="0"/>
        <w:rPr>
          <w:sz w:val="20"/>
          <w:szCs w:val="20"/>
          <w:color w:val="auto"/>
        </w:rPr>
      </w:pPr>
      <w:r>
        <w:rPr>
          <w:rFonts w:ascii="Arial" w:cs="Arial" w:eastAsia="Arial" w:hAnsi="Arial"/>
          <w:sz w:val="20"/>
          <w:szCs w:val="20"/>
          <w:color w:val="auto"/>
        </w:rPr>
        <w:t>4</w:t>
      </w:r>
    </w:p>
    <w:p>
      <w:pPr>
        <w:spacing w:after="0" w:line="200" w:lineRule="exact"/>
        <w:rPr>
          <w:sz w:val="20"/>
          <w:szCs w:val="20"/>
          <w:color w:val="auto"/>
        </w:rPr>
      </w:pPr>
    </w:p>
    <w:p>
      <w:pPr>
        <w:spacing w:after="0" w:line="255" w:lineRule="exact"/>
        <w:rPr>
          <w:sz w:val="20"/>
          <w:szCs w:val="20"/>
          <w:color w:val="auto"/>
        </w:rPr>
      </w:pPr>
    </w:p>
    <w:p>
      <w:pPr>
        <w:jc w:val="center"/>
        <w:ind w:right="-179"/>
        <w:spacing w:after="0"/>
        <w:rPr>
          <w:sz w:val="20"/>
          <w:szCs w:val="20"/>
          <w:color w:val="auto"/>
        </w:rPr>
      </w:pPr>
      <w:r>
        <w:rPr>
          <w:rFonts w:ascii="Arial" w:cs="Arial" w:eastAsia="Arial" w:hAnsi="Arial"/>
          <w:sz w:val="24"/>
          <w:szCs w:val="24"/>
          <w:b w:val="1"/>
          <w:bCs w:val="1"/>
          <w:color w:val="auto"/>
        </w:rPr>
        <w:t>SUMÁRIO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tbl>
      <w:tblPr>
        <w:tblLayout w:type="fixed"/>
        <w:tblInd w:w="260" w:type="dxa"/>
        <w:tblCellMar>
          <w:top w:w="0" w:type="dxa"/>
          <w:left w:w="0" w:type="dxa"/>
          <w:bottom w:w="0" w:type="dxa"/>
          <w:right w:w="0" w:type="dxa"/>
        </w:tblCellMar>
      </w:tblPr>
      <w:tr>
        <w:trPr>
          <w:trHeight w:val="299"/>
        </w:trPr>
        <w:tc>
          <w:tcPr>
            <w:tcW w:w="840" w:type="dxa"/>
            <w:vAlign w:val="bottom"/>
          </w:tcPr>
          <w:p>
            <w:pPr>
              <w:spacing w:after="0"/>
              <w:rPr>
                <w:sz w:val="20"/>
                <w:szCs w:val="20"/>
                <w:color w:val="auto"/>
              </w:rPr>
            </w:pPr>
            <w:r>
              <w:rPr>
                <w:rFonts w:ascii="Arial" w:cs="Arial" w:eastAsia="Arial" w:hAnsi="Arial"/>
                <w:sz w:val="24"/>
                <w:szCs w:val="24"/>
                <w:b w:val="1"/>
                <w:bCs w:val="1"/>
                <w:color w:val="auto"/>
              </w:rPr>
              <w:t>1</w:t>
            </w:r>
          </w:p>
        </w:tc>
        <w:tc>
          <w:tcPr>
            <w:tcW w:w="7880" w:type="dxa"/>
            <w:vAlign w:val="bottom"/>
          </w:tcPr>
          <w:p>
            <w:pPr>
              <w:ind w:left="320"/>
              <w:spacing w:after="0"/>
              <w:rPr>
                <w:sz w:val="20"/>
                <w:szCs w:val="20"/>
                <w:color w:val="auto"/>
              </w:rPr>
            </w:pPr>
            <w:r>
              <w:rPr>
                <w:rFonts w:ascii="Arial" w:cs="Arial" w:eastAsia="Arial" w:hAnsi="Arial"/>
                <w:sz w:val="24"/>
                <w:szCs w:val="24"/>
                <w:b w:val="1"/>
                <w:bCs w:val="1"/>
                <w:color w:val="auto"/>
              </w:rPr>
              <w:t>INTRODUÇÃO...............................</w:t>
            </w:r>
          </w:p>
        </w:tc>
        <w:tc>
          <w:tcPr>
            <w:tcW w:w="380" w:type="dxa"/>
            <w:vAlign w:val="bottom"/>
          </w:tcPr>
          <w:p>
            <w:pPr>
              <w:jc w:val="right"/>
              <w:spacing w:after="0"/>
              <w:rPr>
                <w:sz w:val="20"/>
                <w:szCs w:val="20"/>
                <w:color w:val="auto"/>
              </w:rPr>
            </w:pPr>
            <w:r>
              <w:rPr>
                <w:rFonts w:ascii="Arial" w:cs="Arial" w:eastAsia="Arial" w:hAnsi="Arial"/>
                <w:sz w:val="24"/>
                <w:szCs w:val="24"/>
                <w:b w:val="1"/>
                <w:bCs w:val="1"/>
                <w:color w:val="auto"/>
              </w:rPr>
              <w:t>5</w:t>
            </w:r>
          </w:p>
        </w:tc>
      </w:tr>
      <w:tr>
        <w:trPr>
          <w:trHeight w:val="394"/>
        </w:trPr>
        <w:tc>
          <w:tcPr>
            <w:tcW w:w="840" w:type="dxa"/>
            <w:vAlign w:val="bottom"/>
          </w:tcPr>
          <w:p>
            <w:pPr>
              <w:spacing w:after="0"/>
              <w:rPr>
                <w:sz w:val="20"/>
                <w:szCs w:val="20"/>
                <w:color w:val="auto"/>
              </w:rPr>
            </w:pPr>
            <w:r>
              <w:rPr>
                <w:rFonts w:ascii="Arial" w:cs="Arial" w:eastAsia="Arial" w:hAnsi="Arial"/>
                <w:sz w:val="24"/>
                <w:szCs w:val="24"/>
                <w:color w:val="auto"/>
              </w:rPr>
              <w:t>1.1</w:t>
            </w:r>
          </w:p>
        </w:tc>
        <w:tc>
          <w:tcPr>
            <w:tcW w:w="7880" w:type="dxa"/>
            <w:vAlign w:val="bottom"/>
          </w:tcPr>
          <w:p>
            <w:pPr>
              <w:ind w:left="320"/>
              <w:spacing w:after="0"/>
              <w:rPr>
                <w:sz w:val="20"/>
                <w:szCs w:val="20"/>
                <w:color w:val="auto"/>
              </w:rPr>
            </w:pPr>
            <w:r>
              <w:rPr>
                <w:rFonts w:ascii="Arial" w:cs="Arial" w:eastAsia="Arial" w:hAnsi="Arial"/>
                <w:sz w:val="24"/>
                <w:szCs w:val="24"/>
                <w:color w:val="auto"/>
              </w:rPr>
              <w:t>CONTEXTUALIZAÇÃO..........................</w:t>
            </w:r>
          </w:p>
        </w:tc>
        <w:tc>
          <w:tcPr>
            <w:tcW w:w="38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398"/>
        </w:trPr>
        <w:tc>
          <w:tcPr>
            <w:tcW w:w="840" w:type="dxa"/>
            <w:vAlign w:val="bottom"/>
          </w:tcPr>
          <w:p>
            <w:pPr>
              <w:spacing w:after="0"/>
              <w:rPr>
                <w:sz w:val="20"/>
                <w:szCs w:val="20"/>
                <w:color w:val="auto"/>
              </w:rPr>
            </w:pPr>
            <w:r>
              <w:rPr>
                <w:rFonts w:ascii="Arial" w:cs="Arial" w:eastAsia="Arial" w:hAnsi="Arial"/>
                <w:sz w:val="24"/>
                <w:szCs w:val="24"/>
                <w:color w:val="auto"/>
              </w:rPr>
              <w:t>1.2</w:t>
            </w:r>
          </w:p>
        </w:tc>
        <w:tc>
          <w:tcPr>
            <w:tcW w:w="7880" w:type="dxa"/>
            <w:vAlign w:val="bottom"/>
          </w:tcPr>
          <w:p>
            <w:pPr>
              <w:ind w:left="320"/>
              <w:spacing w:after="0"/>
              <w:rPr>
                <w:sz w:val="20"/>
                <w:szCs w:val="20"/>
                <w:color w:val="auto"/>
              </w:rPr>
            </w:pPr>
            <w:r>
              <w:rPr>
                <w:rFonts w:ascii="Arial" w:cs="Arial" w:eastAsia="Arial" w:hAnsi="Arial"/>
                <w:sz w:val="24"/>
                <w:szCs w:val="24"/>
                <w:color w:val="auto"/>
              </w:rPr>
              <w:t>OBJETIVOS ................................</w:t>
            </w:r>
          </w:p>
        </w:tc>
        <w:tc>
          <w:tcPr>
            <w:tcW w:w="38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359"/>
        </w:trPr>
        <w:tc>
          <w:tcPr>
            <w:tcW w:w="840" w:type="dxa"/>
            <w:vAlign w:val="bottom"/>
          </w:tcPr>
          <w:p>
            <w:pPr>
              <w:spacing w:after="0"/>
              <w:rPr>
                <w:sz w:val="20"/>
                <w:szCs w:val="20"/>
                <w:color w:val="auto"/>
              </w:rPr>
            </w:pPr>
            <w:r>
              <w:rPr>
                <w:rFonts w:ascii="Arial" w:cs="Arial" w:eastAsia="Arial" w:hAnsi="Arial"/>
                <w:sz w:val="24"/>
                <w:szCs w:val="24"/>
                <w:color w:val="auto"/>
              </w:rPr>
              <w:t>1.2.1</w:t>
            </w:r>
          </w:p>
        </w:tc>
        <w:tc>
          <w:tcPr>
            <w:tcW w:w="7880" w:type="dxa"/>
            <w:vAlign w:val="bottom"/>
          </w:tcPr>
          <w:p>
            <w:pPr>
              <w:ind w:left="320"/>
              <w:spacing w:after="0"/>
              <w:rPr>
                <w:sz w:val="20"/>
                <w:szCs w:val="20"/>
                <w:color w:val="auto"/>
              </w:rPr>
            </w:pPr>
            <w:r>
              <w:rPr>
                <w:rFonts w:ascii="Arial" w:cs="Arial" w:eastAsia="Arial" w:hAnsi="Arial"/>
                <w:sz w:val="24"/>
                <w:szCs w:val="24"/>
                <w:color w:val="auto"/>
              </w:rPr>
              <w:t>Objetivo Geral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359"/>
        </w:trPr>
        <w:tc>
          <w:tcPr>
            <w:tcW w:w="840" w:type="dxa"/>
            <w:vAlign w:val="bottom"/>
          </w:tcPr>
          <w:p>
            <w:pPr>
              <w:spacing w:after="0"/>
              <w:rPr>
                <w:sz w:val="20"/>
                <w:szCs w:val="20"/>
                <w:color w:val="auto"/>
              </w:rPr>
            </w:pPr>
            <w:r>
              <w:rPr>
                <w:rFonts w:ascii="Arial" w:cs="Arial" w:eastAsia="Arial" w:hAnsi="Arial"/>
                <w:sz w:val="24"/>
                <w:szCs w:val="24"/>
                <w:color w:val="auto"/>
              </w:rPr>
              <w:t>1.2.2</w:t>
            </w:r>
          </w:p>
        </w:tc>
        <w:tc>
          <w:tcPr>
            <w:tcW w:w="7880" w:type="dxa"/>
            <w:vAlign w:val="bottom"/>
          </w:tcPr>
          <w:p>
            <w:pPr>
              <w:ind w:left="320"/>
              <w:spacing w:after="0"/>
              <w:rPr>
                <w:sz w:val="20"/>
                <w:szCs w:val="20"/>
                <w:color w:val="auto"/>
              </w:rPr>
            </w:pPr>
            <w:r>
              <w:rPr>
                <w:rFonts w:ascii="Arial" w:cs="Arial" w:eastAsia="Arial" w:hAnsi="Arial"/>
                <w:sz w:val="24"/>
                <w:szCs w:val="24"/>
                <w:color w:val="auto"/>
              </w:rPr>
              <w:t>Objetivos Específicos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398"/>
        </w:trPr>
        <w:tc>
          <w:tcPr>
            <w:tcW w:w="840" w:type="dxa"/>
            <w:vAlign w:val="bottom"/>
          </w:tcPr>
          <w:p>
            <w:pPr>
              <w:spacing w:after="0"/>
              <w:rPr>
                <w:sz w:val="20"/>
                <w:szCs w:val="20"/>
                <w:color w:val="auto"/>
              </w:rPr>
            </w:pPr>
            <w:r>
              <w:rPr>
                <w:rFonts w:ascii="Arial" w:cs="Arial" w:eastAsia="Arial" w:hAnsi="Arial"/>
                <w:sz w:val="24"/>
                <w:szCs w:val="24"/>
                <w:color w:val="auto"/>
              </w:rPr>
              <w:t>1.3</w:t>
            </w:r>
          </w:p>
        </w:tc>
        <w:tc>
          <w:tcPr>
            <w:tcW w:w="7880" w:type="dxa"/>
            <w:vAlign w:val="bottom"/>
          </w:tcPr>
          <w:p>
            <w:pPr>
              <w:ind w:left="320"/>
              <w:spacing w:after="0"/>
              <w:rPr>
                <w:sz w:val="20"/>
                <w:szCs w:val="20"/>
                <w:color w:val="auto"/>
              </w:rPr>
            </w:pPr>
            <w:r>
              <w:rPr>
                <w:rFonts w:ascii="Arial" w:cs="Arial" w:eastAsia="Arial" w:hAnsi="Arial"/>
                <w:sz w:val="24"/>
                <w:szCs w:val="24"/>
                <w:color w:val="auto"/>
              </w:rPr>
              <w:t>JUSTIFICATIVA TEÓRICA E PRÁTICA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398"/>
        </w:trPr>
        <w:tc>
          <w:tcPr>
            <w:tcW w:w="840" w:type="dxa"/>
            <w:vAlign w:val="bottom"/>
          </w:tcPr>
          <w:p>
            <w:pPr>
              <w:spacing w:after="0"/>
              <w:rPr>
                <w:sz w:val="20"/>
                <w:szCs w:val="20"/>
                <w:color w:val="auto"/>
              </w:rPr>
            </w:pPr>
            <w:r>
              <w:rPr>
                <w:rFonts w:ascii="Arial" w:cs="Arial" w:eastAsia="Arial" w:hAnsi="Arial"/>
                <w:sz w:val="24"/>
                <w:szCs w:val="24"/>
                <w:color w:val="auto"/>
              </w:rPr>
              <w:t>1.4</w:t>
            </w:r>
          </w:p>
        </w:tc>
        <w:tc>
          <w:tcPr>
            <w:tcW w:w="7880" w:type="dxa"/>
            <w:vAlign w:val="bottom"/>
          </w:tcPr>
          <w:p>
            <w:pPr>
              <w:ind w:left="320"/>
              <w:spacing w:after="0"/>
              <w:rPr>
                <w:sz w:val="20"/>
                <w:szCs w:val="20"/>
                <w:color w:val="auto"/>
              </w:rPr>
            </w:pPr>
            <w:r>
              <w:rPr>
                <w:rFonts w:ascii="Arial" w:cs="Arial" w:eastAsia="Arial" w:hAnsi="Arial"/>
                <w:sz w:val="24"/>
                <w:szCs w:val="24"/>
                <w:color w:val="auto"/>
              </w:rPr>
              <w:t>ESTRUTURADADISSERTAÇÃO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8</w:t>
            </w:r>
          </w:p>
        </w:tc>
      </w:tr>
    </w:tbl>
    <w:p>
      <w:pPr>
        <w:spacing w:after="0" w:line="253" w:lineRule="exact"/>
        <w:rPr>
          <w:sz w:val="20"/>
          <w:szCs w:val="20"/>
          <w:color w:val="auto"/>
        </w:rPr>
      </w:pPr>
    </w:p>
    <w:p>
      <w:pPr>
        <w:ind w:left="1420" w:hanging="1161"/>
        <w:spacing w:after="0"/>
        <w:tabs>
          <w:tab w:leader="none" w:pos="1420" w:val="left"/>
        </w:tabs>
        <w:numPr>
          <w:ilvl w:val="0"/>
          <w:numId w:val="1"/>
        </w:numPr>
        <w:rPr>
          <w:rFonts w:ascii="Arial" w:cs="Arial" w:eastAsia="Arial" w:hAnsi="Arial"/>
          <w:sz w:val="24"/>
          <w:szCs w:val="24"/>
          <w:b w:val="1"/>
          <w:bCs w:val="1"/>
          <w:color w:val="auto"/>
        </w:rPr>
      </w:pPr>
      <w:r>
        <w:rPr>
          <w:rFonts w:ascii="Arial" w:cs="Arial" w:eastAsia="Arial" w:hAnsi="Arial"/>
          <w:sz w:val="24"/>
          <w:szCs w:val="24"/>
          <w:b w:val="1"/>
          <w:bCs w:val="1"/>
          <w:color w:val="auto"/>
        </w:rPr>
        <w:t>REFERENCIALTEÓRICO........................  10</w:t>
      </w:r>
    </w:p>
    <w:p>
      <w:pPr>
        <w:spacing w:after="0" w:line="123" w:lineRule="exact"/>
        <w:rPr>
          <w:sz w:val="20"/>
          <w:szCs w:val="20"/>
          <w:color w:val="auto"/>
        </w:rPr>
      </w:pPr>
    </w:p>
    <w:tbl>
      <w:tblPr>
        <w:tblLayout w:type="fixed"/>
        <w:tblInd w:w="260" w:type="dxa"/>
        <w:tblCellMar>
          <w:top w:w="0" w:type="dxa"/>
          <w:left w:w="0" w:type="dxa"/>
          <w:bottom w:w="0" w:type="dxa"/>
          <w:right w:w="0" w:type="dxa"/>
        </w:tblCellMar>
      </w:tblPr>
      <w:tr>
        <w:trPr>
          <w:trHeight w:val="294"/>
        </w:trPr>
        <w:tc>
          <w:tcPr>
            <w:tcW w:w="840" w:type="dxa"/>
            <w:vAlign w:val="bottom"/>
          </w:tcPr>
          <w:p>
            <w:pPr>
              <w:spacing w:after="0"/>
              <w:rPr>
                <w:sz w:val="20"/>
                <w:szCs w:val="20"/>
                <w:color w:val="auto"/>
              </w:rPr>
            </w:pPr>
            <w:r>
              <w:rPr>
                <w:rFonts w:ascii="Arial" w:cs="Arial" w:eastAsia="Arial" w:hAnsi="Arial"/>
                <w:sz w:val="24"/>
                <w:szCs w:val="24"/>
                <w:color w:val="auto"/>
              </w:rPr>
              <w:t>2.1</w:t>
            </w:r>
          </w:p>
        </w:tc>
        <w:tc>
          <w:tcPr>
            <w:tcW w:w="7800" w:type="dxa"/>
            <w:vAlign w:val="bottom"/>
          </w:tcPr>
          <w:p>
            <w:pPr>
              <w:ind w:left="320"/>
              <w:spacing w:after="0"/>
              <w:rPr>
                <w:sz w:val="20"/>
                <w:szCs w:val="20"/>
                <w:color w:val="auto"/>
              </w:rPr>
            </w:pPr>
            <w:r>
              <w:rPr>
                <w:rFonts w:ascii="Arial" w:cs="Arial" w:eastAsia="Arial" w:hAnsi="Arial"/>
                <w:sz w:val="24"/>
                <w:szCs w:val="24"/>
                <w:color w:val="auto"/>
              </w:rPr>
              <w:t>SETORBANCÁRIONOBRASIL.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10</w:t>
            </w:r>
          </w:p>
        </w:tc>
      </w:tr>
      <w:tr>
        <w:trPr>
          <w:trHeight w:val="398"/>
        </w:trPr>
        <w:tc>
          <w:tcPr>
            <w:tcW w:w="840" w:type="dxa"/>
            <w:vAlign w:val="bottom"/>
          </w:tcPr>
          <w:p>
            <w:pPr>
              <w:spacing w:after="0"/>
              <w:rPr>
                <w:sz w:val="20"/>
                <w:szCs w:val="20"/>
                <w:color w:val="auto"/>
              </w:rPr>
            </w:pPr>
            <w:r>
              <w:rPr>
                <w:rFonts w:ascii="Arial" w:cs="Arial" w:eastAsia="Arial" w:hAnsi="Arial"/>
                <w:sz w:val="24"/>
                <w:szCs w:val="24"/>
                <w:color w:val="auto"/>
              </w:rPr>
              <w:t>2.2</w:t>
            </w:r>
          </w:p>
        </w:tc>
        <w:tc>
          <w:tcPr>
            <w:tcW w:w="7800" w:type="dxa"/>
            <w:vAlign w:val="bottom"/>
          </w:tcPr>
          <w:p>
            <w:pPr>
              <w:ind w:left="320"/>
              <w:spacing w:after="0"/>
              <w:rPr>
                <w:sz w:val="20"/>
                <w:szCs w:val="20"/>
                <w:color w:val="auto"/>
              </w:rPr>
            </w:pPr>
            <w:r>
              <w:rPr>
                <w:rFonts w:ascii="Arial" w:cs="Arial" w:eastAsia="Arial" w:hAnsi="Arial"/>
                <w:sz w:val="24"/>
                <w:szCs w:val="24"/>
                <w:color w:val="auto"/>
              </w:rPr>
              <w:t>SPREADBANCÁRIO...........................</w:t>
            </w:r>
          </w:p>
        </w:tc>
        <w:tc>
          <w:tcPr>
            <w:tcW w:w="460" w:type="dxa"/>
            <w:vAlign w:val="bottom"/>
          </w:tcPr>
          <w:p>
            <w:pPr>
              <w:jc w:val="right"/>
              <w:spacing w:after="0"/>
              <w:rPr>
                <w:sz w:val="20"/>
                <w:szCs w:val="20"/>
                <w:color w:val="auto"/>
              </w:rPr>
            </w:pPr>
            <w:r>
              <w:rPr>
                <w:rFonts w:ascii="Arial" w:cs="Arial" w:eastAsia="Arial" w:hAnsi="Arial"/>
                <w:sz w:val="24"/>
                <w:szCs w:val="24"/>
                <w:color w:val="auto"/>
              </w:rPr>
              <w:t>31</w:t>
            </w:r>
          </w:p>
        </w:tc>
      </w:tr>
      <w:tr>
        <w:trPr>
          <w:trHeight w:val="359"/>
        </w:trPr>
        <w:tc>
          <w:tcPr>
            <w:tcW w:w="840" w:type="dxa"/>
            <w:vAlign w:val="bottom"/>
          </w:tcPr>
          <w:p>
            <w:pPr>
              <w:spacing w:after="0"/>
              <w:rPr>
                <w:sz w:val="20"/>
                <w:szCs w:val="20"/>
                <w:color w:val="auto"/>
              </w:rPr>
            </w:pPr>
            <w:r>
              <w:rPr>
                <w:rFonts w:ascii="Arial" w:cs="Arial" w:eastAsia="Arial" w:hAnsi="Arial"/>
                <w:sz w:val="24"/>
                <w:szCs w:val="24"/>
                <w:color w:val="auto"/>
              </w:rPr>
              <w:t>2.2.1</w:t>
            </w:r>
          </w:p>
        </w:tc>
        <w:tc>
          <w:tcPr>
            <w:tcW w:w="7800" w:type="dxa"/>
            <w:vAlign w:val="bottom"/>
          </w:tcPr>
          <w:p>
            <w:pPr>
              <w:ind w:left="320"/>
              <w:spacing w:after="0"/>
              <w:rPr>
                <w:sz w:val="20"/>
                <w:szCs w:val="20"/>
                <w:color w:val="auto"/>
              </w:rPr>
            </w:pPr>
            <w:r>
              <w:rPr>
                <w:rFonts w:ascii="Arial" w:cs="Arial" w:eastAsia="Arial" w:hAnsi="Arial"/>
                <w:sz w:val="24"/>
                <w:szCs w:val="24"/>
                <w:color w:val="auto"/>
              </w:rPr>
              <w:t>Conceitos e Definições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32</w:t>
            </w:r>
          </w:p>
        </w:tc>
      </w:tr>
      <w:tr>
        <w:trPr>
          <w:trHeight w:val="359"/>
        </w:trPr>
        <w:tc>
          <w:tcPr>
            <w:tcW w:w="840" w:type="dxa"/>
            <w:vAlign w:val="bottom"/>
          </w:tcPr>
          <w:p>
            <w:pPr>
              <w:spacing w:after="0"/>
              <w:rPr>
                <w:sz w:val="20"/>
                <w:szCs w:val="20"/>
                <w:color w:val="auto"/>
              </w:rPr>
            </w:pPr>
            <w:r>
              <w:rPr>
                <w:rFonts w:ascii="Arial" w:cs="Arial" w:eastAsia="Arial" w:hAnsi="Arial"/>
                <w:sz w:val="24"/>
                <w:szCs w:val="24"/>
                <w:color w:val="auto"/>
              </w:rPr>
              <w:t>2.2.2</w:t>
            </w:r>
          </w:p>
        </w:tc>
        <w:tc>
          <w:tcPr>
            <w:tcW w:w="7800" w:type="dxa"/>
            <w:vAlign w:val="bottom"/>
          </w:tcPr>
          <w:p>
            <w:pPr>
              <w:ind w:left="320"/>
              <w:spacing w:after="0"/>
              <w:rPr>
                <w:sz w:val="20"/>
                <w:szCs w:val="20"/>
                <w:color w:val="auto"/>
              </w:rPr>
            </w:pPr>
            <w:r>
              <w:rPr>
                <w:rFonts w:ascii="Arial" w:cs="Arial" w:eastAsia="Arial" w:hAnsi="Arial"/>
                <w:sz w:val="24"/>
                <w:szCs w:val="24"/>
                <w:color w:val="auto"/>
              </w:rPr>
              <w:t>Spread Bancário no Brasil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35</w:t>
            </w:r>
          </w:p>
        </w:tc>
      </w:tr>
      <w:tr>
        <w:trPr>
          <w:trHeight w:val="398"/>
        </w:trPr>
        <w:tc>
          <w:tcPr>
            <w:tcW w:w="840" w:type="dxa"/>
            <w:vAlign w:val="bottom"/>
          </w:tcPr>
          <w:p>
            <w:pPr>
              <w:spacing w:after="0"/>
              <w:rPr>
                <w:sz w:val="20"/>
                <w:szCs w:val="20"/>
                <w:color w:val="auto"/>
              </w:rPr>
            </w:pPr>
            <w:r>
              <w:rPr>
                <w:rFonts w:ascii="Arial" w:cs="Arial" w:eastAsia="Arial" w:hAnsi="Arial"/>
                <w:sz w:val="24"/>
                <w:szCs w:val="24"/>
                <w:color w:val="auto"/>
              </w:rPr>
              <w:t>2.3</w:t>
            </w:r>
          </w:p>
        </w:tc>
        <w:tc>
          <w:tcPr>
            <w:tcW w:w="7800" w:type="dxa"/>
            <w:vAlign w:val="bottom"/>
          </w:tcPr>
          <w:p>
            <w:pPr>
              <w:ind w:left="320"/>
              <w:spacing w:after="0"/>
              <w:rPr>
                <w:sz w:val="20"/>
                <w:szCs w:val="20"/>
                <w:color w:val="auto"/>
              </w:rPr>
            </w:pPr>
            <w:r>
              <w:rPr>
                <w:rFonts w:ascii="Arial" w:cs="Arial" w:eastAsia="Arial" w:hAnsi="Arial"/>
                <w:sz w:val="24"/>
                <w:szCs w:val="24"/>
                <w:color w:val="auto"/>
              </w:rPr>
              <w:t>ESTUDOSANTERIORES ........................</w:t>
            </w:r>
          </w:p>
        </w:tc>
        <w:tc>
          <w:tcPr>
            <w:tcW w:w="460" w:type="dxa"/>
            <w:vAlign w:val="bottom"/>
          </w:tcPr>
          <w:p>
            <w:pPr>
              <w:jc w:val="right"/>
              <w:spacing w:after="0"/>
              <w:rPr>
                <w:sz w:val="20"/>
                <w:szCs w:val="20"/>
                <w:color w:val="auto"/>
              </w:rPr>
            </w:pPr>
            <w:r>
              <w:rPr>
                <w:rFonts w:ascii="Arial" w:cs="Arial" w:eastAsia="Arial" w:hAnsi="Arial"/>
                <w:sz w:val="24"/>
                <w:szCs w:val="24"/>
                <w:color w:val="auto"/>
              </w:rPr>
              <w:t>41</w:t>
            </w:r>
          </w:p>
        </w:tc>
      </w:tr>
    </w:tbl>
    <w:p>
      <w:pPr>
        <w:spacing w:after="0" w:line="253" w:lineRule="exact"/>
        <w:rPr>
          <w:sz w:val="20"/>
          <w:szCs w:val="20"/>
          <w:color w:val="auto"/>
        </w:rPr>
      </w:pPr>
    </w:p>
    <w:p>
      <w:pPr>
        <w:ind w:left="1420" w:hanging="1161"/>
        <w:spacing w:after="0"/>
        <w:tabs>
          <w:tab w:leader="none" w:pos="1420"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color w:val="auto"/>
        </w:rPr>
        <w:t>PROCEDIMENTOS METODOLÓGICOS  . . . . . . . . . . . . . . . .   47</w:t>
      </w:r>
    </w:p>
    <w:p>
      <w:pPr>
        <w:spacing w:after="0" w:line="272" w:lineRule="exact"/>
        <w:rPr>
          <w:sz w:val="20"/>
          <w:szCs w:val="20"/>
          <w:color w:val="auto"/>
        </w:rPr>
      </w:pPr>
    </w:p>
    <w:p>
      <w:pPr>
        <w:ind w:left="1420" w:hanging="1161"/>
        <w:spacing w:after="0"/>
        <w:tabs>
          <w:tab w:leader="none" w:pos="1420" w:val="left"/>
        </w:tabs>
        <w:numPr>
          <w:ilvl w:val="0"/>
          <w:numId w:val="3"/>
        </w:numPr>
        <w:rPr>
          <w:rFonts w:ascii="Arial" w:cs="Arial" w:eastAsia="Arial" w:hAnsi="Arial"/>
          <w:sz w:val="24"/>
          <w:szCs w:val="24"/>
          <w:b w:val="1"/>
          <w:bCs w:val="1"/>
          <w:color w:val="auto"/>
        </w:rPr>
      </w:pPr>
      <w:r>
        <w:rPr>
          <w:rFonts w:ascii="Arial" w:cs="Arial" w:eastAsia="Arial" w:hAnsi="Arial"/>
          <w:sz w:val="24"/>
          <w:szCs w:val="24"/>
          <w:b w:val="1"/>
          <w:bCs w:val="1"/>
          <w:color w:val="auto"/>
        </w:rPr>
        <w:t>APRESENTAÇÃO E ANÁLISE DOS RESULTADOS  . . . . . . . . .   63</w:t>
      </w:r>
    </w:p>
    <w:p>
      <w:pPr>
        <w:spacing w:after="0" w:line="271" w:lineRule="exact"/>
        <w:rPr>
          <w:rFonts w:ascii="Arial" w:cs="Arial" w:eastAsia="Arial" w:hAnsi="Arial"/>
          <w:sz w:val="24"/>
          <w:szCs w:val="24"/>
          <w:b w:val="1"/>
          <w:bCs w:val="1"/>
          <w:color w:val="auto"/>
        </w:rPr>
      </w:pPr>
    </w:p>
    <w:p>
      <w:pPr>
        <w:ind w:left="260"/>
        <w:spacing w:after="0"/>
        <w:rPr>
          <w:rFonts w:ascii="Arial" w:cs="Arial" w:eastAsia="Arial" w:hAnsi="Arial"/>
          <w:sz w:val="24"/>
          <w:szCs w:val="24"/>
          <w:b w:val="1"/>
          <w:bCs w:val="1"/>
          <w:color w:val="auto"/>
        </w:rPr>
      </w:pPr>
      <w:r>
        <w:rPr>
          <w:rFonts w:ascii="Arial" w:cs="Arial" w:eastAsia="Arial" w:hAnsi="Arial"/>
          <w:sz w:val="24"/>
          <w:szCs w:val="24"/>
          <w:b w:val="1"/>
          <w:bCs w:val="1"/>
          <w:color w:val="auto"/>
        </w:rPr>
        <w:t>5RESULTADOS...............................  64</w:t>
      </w: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260"/>
        <w:spacing w:after="0"/>
        <w:tabs>
          <w:tab w:leader="none" w:pos="9040" w:val="left"/>
        </w:tabs>
        <w:rPr>
          <w:sz w:val="20"/>
          <w:szCs w:val="20"/>
          <w:color w:val="auto"/>
        </w:rPr>
      </w:pPr>
      <w:r>
        <w:rPr>
          <w:rFonts w:ascii="Arial" w:cs="Arial" w:eastAsia="Arial" w:hAnsi="Arial"/>
          <w:sz w:val="24"/>
          <w:szCs w:val="24"/>
          <w:b w:val="1"/>
          <w:bCs w:val="1"/>
          <w:color w:val="auto"/>
        </w:rPr>
        <w:t>CONSIDERAÇÕESFINAIS..............................</w:t>
      </w:r>
      <w:r>
        <w:rPr>
          <w:sz w:val="20"/>
          <w:szCs w:val="20"/>
          <w:color w:val="auto"/>
        </w:rPr>
        <w:tab/>
      </w:r>
      <w:r>
        <w:rPr>
          <w:rFonts w:ascii="Arial" w:cs="Arial" w:eastAsia="Arial" w:hAnsi="Arial"/>
          <w:sz w:val="23"/>
          <w:szCs w:val="23"/>
          <w:b w:val="1"/>
          <w:bCs w:val="1"/>
          <w:color w:val="auto"/>
        </w:rPr>
        <w:t>65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260"/>
        <w:spacing w:after="0"/>
        <w:tabs>
          <w:tab w:leader="none" w:pos="9040" w:val="left"/>
        </w:tabs>
        <w:rPr>
          <w:sz w:val="20"/>
          <w:szCs w:val="20"/>
          <w:color w:val="auto"/>
        </w:rPr>
      </w:pPr>
      <w:r>
        <w:rPr>
          <w:rFonts w:ascii="Arial" w:cs="Arial" w:eastAsia="Arial" w:hAnsi="Arial"/>
          <w:sz w:val="24"/>
          <w:szCs w:val="24"/>
          <w:b w:val="1"/>
          <w:bCs w:val="1"/>
          <w:color w:val="auto"/>
        </w:rPr>
        <w:t>Referências  . . . . . . . . . . . . . . . . . . . . . . . . . . . . . . . . . . . . . .</w:t>
      </w:r>
      <w:r>
        <w:rPr>
          <w:sz w:val="20"/>
          <w:szCs w:val="20"/>
          <w:color w:val="auto"/>
        </w:rPr>
        <w:tab/>
      </w:r>
      <w:r>
        <w:rPr>
          <w:rFonts w:ascii="Arial" w:cs="Arial" w:eastAsia="Arial" w:hAnsi="Arial"/>
          <w:sz w:val="23"/>
          <w:szCs w:val="23"/>
          <w:b w:val="1"/>
          <w:bCs w:val="1"/>
          <w:color w:val="auto"/>
        </w:rPr>
        <w:t>66</w:t>
      </w:r>
    </w:p>
    <w:p>
      <w:pPr>
        <w:sectPr>
          <w:pgSz w:w="11900" w:h="16838" w:orient="portrait"/>
          <w:cols w:equalWidth="0" w:num="1">
            <w:col w:w="9340"/>
          </w:cols>
          <w:pgMar w:left="1440" w:top="1028" w:right="1126" w:bottom="1440" w:gutter="0" w:footer="0" w:header="0"/>
        </w:sectPr>
      </w:pPr>
    </w:p>
    <w:p>
      <w:pPr>
        <w:ind w:left="9220"/>
        <w:spacing w:after="0"/>
        <w:rPr>
          <w:sz w:val="20"/>
          <w:szCs w:val="20"/>
          <w:color w:val="auto"/>
        </w:rPr>
      </w:pPr>
      <w:r>
        <w:rPr>
          <w:rFonts w:ascii="Arial" w:cs="Arial" w:eastAsia="Arial" w:hAnsi="Arial"/>
          <w:sz w:val="20"/>
          <w:szCs w:val="20"/>
          <w:color w:val="auto"/>
        </w:rPr>
        <w:t>5</w:t>
      </w: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1 INTRODUÇÃO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260"/>
        <w:spacing w:after="0"/>
        <w:tabs>
          <w:tab w:leader="none" w:pos="800" w:val="left"/>
        </w:tabs>
        <w:rPr>
          <w:sz w:val="20"/>
          <w:szCs w:val="20"/>
          <w:color w:val="auto"/>
        </w:rPr>
      </w:pPr>
      <w:r>
        <w:rPr>
          <w:rFonts w:ascii="Arial" w:cs="Arial" w:eastAsia="Arial" w:hAnsi="Arial"/>
          <w:sz w:val="24"/>
          <w:szCs w:val="24"/>
          <w:color w:val="auto"/>
        </w:rPr>
        <w:t>1.1</w:t>
      </w:r>
      <w:r>
        <w:rPr>
          <w:sz w:val="20"/>
          <w:szCs w:val="20"/>
          <w:color w:val="auto"/>
        </w:rPr>
        <w:tab/>
      </w:r>
      <w:r>
        <w:rPr>
          <w:rFonts w:ascii="Arial" w:cs="Arial" w:eastAsia="Arial" w:hAnsi="Arial"/>
          <w:sz w:val="23"/>
          <w:szCs w:val="23"/>
          <w:color w:val="auto"/>
        </w:rPr>
        <w:t>CONTEXTUALIZAÇÃO</w:t>
      </w:r>
    </w:p>
    <w:p>
      <w:pPr>
        <w:spacing w:after="0" w:line="200" w:lineRule="exact"/>
        <w:rPr>
          <w:sz w:val="20"/>
          <w:szCs w:val="20"/>
          <w:color w:val="auto"/>
        </w:rPr>
      </w:pPr>
    </w:p>
    <w:p>
      <w:pPr>
        <w:spacing w:after="0" w:line="239"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No processo histórico, ao longo dos séculos, os instrumentos financeiros passaram por profundas modificações e evoluções, assumindo papel determinante na geração e acúmulo de riqueza para as famílias e nações. Nesse contexto surgiram e se consolidaram as instituições bancárias, atuando essencialmente na segurança de depósitos e na oferta de crédito.</w:t>
      </w:r>
    </w:p>
    <w:p>
      <w:pPr>
        <w:spacing w:after="0" w:line="101" w:lineRule="exact"/>
        <w:rPr>
          <w:sz w:val="20"/>
          <w:szCs w:val="20"/>
          <w:color w:val="auto"/>
        </w:rPr>
      </w:pPr>
    </w:p>
    <w:p>
      <w:pPr>
        <w:jc w:val="both"/>
        <w:ind w:left="260" w:right="40" w:firstLine="858"/>
        <w:spacing w:after="0" w:line="439" w:lineRule="auto"/>
        <w:rPr>
          <w:sz w:val="20"/>
          <w:szCs w:val="20"/>
          <w:color w:val="auto"/>
        </w:rPr>
      </w:pPr>
      <w:r>
        <w:rPr>
          <w:rFonts w:ascii="Arial" w:cs="Arial" w:eastAsia="Arial" w:hAnsi="Arial"/>
          <w:sz w:val="23"/>
          <w:szCs w:val="23"/>
          <w:color w:val="auto"/>
        </w:rPr>
        <w:t>Na contrapartida destas atividades, as instituições bancárias são remuneradas basicamente de duas formas. A primeira delas é através de taxas sobre os serviços envolvendo a custódia. A segunda se dá pelo resultado da diferença entre a taxa cobrada no oferecimento de crédito e a taxa que remunera os recursos captados e utilizados para empréstimo, caracterizada como o spread bancário (LEITE, 1996) (CAMPELLO; BRUNSTEIN, 2005) (NEVES JÚNIOR et al., 2007).</w:t>
      </w:r>
    </w:p>
    <w:p>
      <w:pPr>
        <w:spacing w:after="0" w:line="86"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A medida que a oferta de crédito desponta como um fator fundamental para o desenvolvimento econômico de longo prazo, incentivando empreendimentos produtivos, contribuindo com a geração de emprego, renda e lucros, o spread bancário passa a ser um indicador estratégico para determinação do nível de desenvolvimento dos países e regiões (BANK; IMF, 2005) (LEVINE, 1997).</w:t>
      </w:r>
    </w:p>
    <w:p>
      <w:pPr>
        <w:spacing w:after="0" w:line="101"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A primeira via da importância do spread bancário está relacionada com a solidez do sistema financeiro. O nível deste indicador deve ser suficiente para garantir lucros atrativos, fazendo que as instituições mantenham suas atividades e que novas tenham interesse em entrar no mercado, resultando em um setor forte, com segurança e liquidez (LEVINE, 1997) (DANTAS, 2012) (LEAL, 2006).</w:t>
      </w:r>
    </w:p>
    <w:p>
      <w:pPr>
        <w:spacing w:after="0" w:line="101" w:lineRule="exact"/>
        <w:rPr>
          <w:sz w:val="20"/>
          <w:szCs w:val="20"/>
          <w:color w:val="auto"/>
        </w:rPr>
      </w:pPr>
    </w:p>
    <w:p>
      <w:pPr>
        <w:jc w:val="both"/>
        <w:ind w:left="260" w:firstLine="850"/>
        <w:spacing w:after="0" w:line="473" w:lineRule="auto"/>
        <w:rPr>
          <w:sz w:val="20"/>
          <w:szCs w:val="20"/>
          <w:color w:val="auto"/>
        </w:rPr>
      </w:pPr>
      <w:r>
        <w:rPr>
          <w:rFonts w:ascii="Arial" w:cs="Arial" w:eastAsia="Arial" w:hAnsi="Arial"/>
          <w:sz w:val="22"/>
          <w:szCs w:val="22"/>
          <w:color w:val="auto"/>
        </w:rPr>
        <w:t>A segunda via remete a relação entre o spread e o nível de atividade econômica. Segundo estudos recentes, um elevado nível de spread bancário desfavoreceria o crédito produtivo e consequentemente o nível de atividade econômica, impactando no</w:t>
      </w:r>
    </w:p>
    <w:p>
      <w:pPr>
        <w:sectPr>
          <w:pgSz w:w="11900" w:h="16838" w:orient="portrait"/>
          <w:cols w:equalWidth="0" w:num="1">
            <w:col w:w="9380"/>
          </w:cols>
          <w:pgMar w:left="1440" w:top="1028" w:right="1086" w:bottom="435" w:gutter="0" w:footer="0" w:header="0"/>
        </w:sectPr>
      </w:pPr>
    </w:p>
    <w:p>
      <w:pPr>
        <w:ind w:left="9200"/>
        <w:spacing w:after="0"/>
        <w:rPr>
          <w:sz w:val="20"/>
          <w:szCs w:val="20"/>
          <w:color w:val="auto"/>
        </w:rPr>
      </w:pPr>
      <w:r>
        <w:rPr>
          <w:rFonts w:ascii="Arial" w:cs="Arial" w:eastAsia="Arial" w:hAnsi="Arial"/>
          <w:sz w:val="24"/>
          <w:szCs w:val="24"/>
          <w:color w:val="auto"/>
        </w:rPr>
        <w:t>6</w:t>
      </w:r>
    </w:p>
    <w:p>
      <w:pPr>
        <w:spacing w:after="0" w:line="200" w:lineRule="exact"/>
        <w:rPr>
          <w:sz w:val="20"/>
          <w:szCs w:val="20"/>
          <w:color w:val="auto"/>
        </w:rPr>
      </w:pPr>
    </w:p>
    <w:p>
      <w:pPr>
        <w:spacing w:after="0" w:line="246" w:lineRule="exact"/>
        <w:rPr>
          <w:sz w:val="20"/>
          <w:szCs w:val="20"/>
          <w:color w:val="auto"/>
        </w:rPr>
      </w:pPr>
    </w:p>
    <w:p>
      <w:pPr>
        <w:jc w:val="both"/>
        <w:ind w:left="260" w:right="20" w:firstLine="8"/>
        <w:spacing w:after="0" w:line="431" w:lineRule="auto"/>
        <w:rPr>
          <w:sz w:val="20"/>
          <w:szCs w:val="20"/>
          <w:color w:val="auto"/>
        </w:rPr>
      </w:pPr>
      <w:r>
        <w:rPr>
          <w:rFonts w:ascii="Arial" w:cs="Arial" w:eastAsia="Arial" w:hAnsi="Arial"/>
          <w:sz w:val="24"/>
          <w:szCs w:val="24"/>
          <w:color w:val="auto"/>
        </w:rPr>
        <w:t>crescimento e desenvolvimento do país ou região (BANK; IMF, 2005) (DANTAS, 2012) (LEAL, 2006).</w:t>
      </w:r>
    </w:p>
    <w:p>
      <w:pPr>
        <w:spacing w:after="0" w:line="85"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Tais premissas são sustentadas pelo Fundo Monetário Internacional (FMI) e Banco Mundial (BM), que realizam e incentivam estudos sobre o indicador a nível mundial. A grande maioria dos estudos demonstram a relação inversa entre a taxa de spread bancário e os indicadores de desenvolvimento dos países e regiões (BANK; IMF, 2005).</w:t>
      </w:r>
    </w:p>
    <w:p>
      <w:pPr>
        <w:spacing w:after="0" w:line="101"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Estudos constataram que a América Latina possui as maiores taxas de juros, bancos mais ineficientes, implicando assim em níveis de spread elevados (DANTAS, 2012). O caso brasileiro é destacado historicamente como um cenário ainda mais crítico, com níveis de lucro considerados elevados, afetando principalmente o setor produtivo (DANTAS, 2012).</w:t>
      </w:r>
    </w:p>
    <w:p>
      <w:pPr>
        <w:spacing w:after="0" w:line="101" w:lineRule="exact"/>
        <w:rPr>
          <w:sz w:val="20"/>
          <w:szCs w:val="20"/>
          <w:color w:val="auto"/>
        </w:rPr>
      </w:pPr>
    </w:p>
    <w:p>
      <w:pPr>
        <w:jc w:val="both"/>
        <w:ind w:left="260" w:firstLine="857"/>
        <w:spacing w:after="0" w:line="419" w:lineRule="auto"/>
        <w:rPr>
          <w:sz w:val="20"/>
          <w:szCs w:val="20"/>
          <w:color w:val="auto"/>
        </w:rPr>
      </w:pPr>
      <w:r>
        <w:rPr>
          <w:rFonts w:ascii="Arial" w:cs="Arial" w:eastAsia="Arial" w:hAnsi="Arial"/>
          <w:sz w:val="24"/>
          <w:szCs w:val="24"/>
          <w:color w:val="auto"/>
        </w:rPr>
        <w:t>Entre diversos países estudados, desde a década de 1990, é evidenciado o caso brasileiro com elevados níveis de spread bancário, baixa relação entre crédito e PIB e cenários de crescimento econômicos instáveis e considerados baixos (LEVINE, 1997; MATOS, 2003). Mesmo com recentes modificações no cenário, o caso brasileiro desperta constantes iniciativas de estudos.</w:t>
      </w:r>
    </w:p>
    <w:p>
      <w:pPr>
        <w:spacing w:after="0" w:line="101"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Durante a década de 1990, o spread 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 (CAMARGO, 2009; SINGH et al., 2005).</w:t>
      </w:r>
    </w:p>
    <w:p>
      <w:pPr>
        <w:spacing w:after="0" w:line="98" w:lineRule="exact"/>
        <w:rPr>
          <w:sz w:val="20"/>
          <w:szCs w:val="20"/>
          <w:color w:val="auto"/>
        </w:rPr>
      </w:pPr>
    </w:p>
    <w:p>
      <w:pPr>
        <w:jc w:val="both"/>
        <w:ind w:left="260" w:firstLine="850"/>
        <w:spacing w:after="0" w:line="433" w:lineRule="auto"/>
        <w:rPr>
          <w:sz w:val="20"/>
          <w:szCs w:val="20"/>
          <w:color w:val="auto"/>
        </w:rPr>
      </w:pPr>
      <w:r>
        <w:rPr>
          <w:rFonts w:ascii="Arial" w:cs="Arial" w:eastAsia="Arial" w:hAnsi="Arial"/>
          <w:sz w:val="23"/>
          <w:szCs w:val="23"/>
          <w:color w:val="auto"/>
        </w:rPr>
        <w:t>Observa-se assim, a relevância do estudo acerca das variáveis que influenciam o spread bancário ex-post no Brasil. Sendo assim, esta pesquisa parte das indagações:</w:t>
      </w:r>
    </w:p>
    <w:p>
      <w:pPr>
        <w:spacing w:after="0" w:line="2" w:lineRule="exact"/>
        <w:rPr>
          <w:sz w:val="20"/>
          <w:szCs w:val="20"/>
          <w:color w:val="auto"/>
        </w:rPr>
      </w:pPr>
    </w:p>
    <w:p>
      <w:pPr>
        <w:jc w:val="both"/>
        <w:ind w:left="260" w:right="40" w:hanging="7"/>
        <w:spacing w:after="0" w:line="423" w:lineRule="auto"/>
        <w:rPr>
          <w:sz w:val="20"/>
          <w:szCs w:val="20"/>
          <w:color w:val="auto"/>
        </w:rPr>
      </w:pPr>
      <w:r>
        <w:rPr>
          <w:rFonts w:ascii="Arial" w:cs="Arial" w:eastAsia="Arial" w:hAnsi="Arial"/>
          <w:sz w:val="24"/>
          <w:szCs w:val="24"/>
          <w:color w:val="auto"/>
        </w:rPr>
        <w:t>(1) Quais variáveis endógenas e exógenas exercem influência siginificativa no spread bancário ex-post e (2) como a variação dos componentes do spread ex-post afetam a rentabilidade dos bancos no Brasil?</w:t>
      </w:r>
    </w:p>
    <w:p>
      <w:pPr>
        <w:sectPr>
          <w:pgSz w:w="11900" w:h="16838" w:orient="portrait"/>
          <w:cols w:equalWidth="0" w:num="1">
            <w:col w:w="9360"/>
          </w:cols>
          <w:pgMar w:left="1440" w:top="991" w:right="1106" w:bottom="549" w:gutter="0" w:footer="0" w:header="0"/>
        </w:sectPr>
      </w:pPr>
    </w:p>
    <w:p>
      <w:pPr>
        <w:ind w:left="9200"/>
        <w:spacing w:after="0"/>
        <w:rPr>
          <w:sz w:val="20"/>
          <w:szCs w:val="20"/>
          <w:color w:val="auto"/>
        </w:rPr>
      </w:pPr>
      <w:r>
        <w:rPr>
          <w:rFonts w:ascii="Arial" w:cs="Arial" w:eastAsia="Arial" w:hAnsi="Arial"/>
          <w:sz w:val="24"/>
          <w:szCs w:val="24"/>
          <w:color w:val="auto"/>
        </w:rPr>
        <w:t>7</w:t>
      </w:r>
    </w:p>
    <w:p>
      <w:pPr>
        <w:spacing w:after="0" w:line="200" w:lineRule="exact"/>
        <w:rPr>
          <w:sz w:val="20"/>
          <w:szCs w:val="20"/>
          <w:color w:val="auto"/>
        </w:rPr>
      </w:pPr>
    </w:p>
    <w:p>
      <w:pPr>
        <w:spacing w:after="0" w:line="246" w:lineRule="exact"/>
        <w:rPr>
          <w:sz w:val="20"/>
          <w:szCs w:val="20"/>
          <w:color w:val="auto"/>
        </w:rPr>
      </w:pPr>
    </w:p>
    <w:p>
      <w:pPr>
        <w:ind w:left="260"/>
        <w:spacing w:after="0"/>
        <w:tabs>
          <w:tab w:leader="none" w:pos="800" w:val="left"/>
        </w:tabs>
        <w:rPr>
          <w:sz w:val="20"/>
          <w:szCs w:val="20"/>
          <w:color w:val="auto"/>
        </w:rPr>
      </w:pPr>
      <w:r>
        <w:rPr>
          <w:rFonts w:ascii="Arial" w:cs="Arial" w:eastAsia="Arial" w:hAnsi="Arial"/>
          <w:sz w:val="24"/>
          <w:szCs w:val="24"/>
          <w:color w:val="auto"/>
        </w:rPr>
        <w:t>1.2</w:t>
      </w:r>
      <w:r>
        <w:rPr>
          <w:sz w:val="20"/>
          <w:szCs w:val="20"/>
          <w:color w:val="auto"/>
        </w:rPr>
        <w:tab/>
      </w:r>
      <w:r>
        <w:rPr>
          <w:rFonts w:ascii="Arial" w:cs="Arial" w:eastAsia="Arial" w:hAnsi="Arial"/>
          <w:sz w:val="23"/>
          <w:szCs w:val="23"/>
          <w:color w:val="auto"/>
        </w:rPr>
        <w:t>OBJETIVOS</w:t>
      </w:r>
    </w:p>
    <w:p>
      <w:pPr>
        <w:spacing w:after="0" w:line="200" w:lineRule="exact"/>
        <w:rPr>
          <w:sz w:val="20"/>
          <w:szCs w:val="20"/>
          <w:color w:val="auto"/>
        </w:rPr>
      </w:pPr>
    </w:p>
    <w:p>
      <w:pPr>
        <w:spacing w:after="0" w:line="239" w:lineRule="exact"/>
        <w:rPr>
          <w:sz w:val="20"/>
          <w:szCs w:val="20"/>
          <w:color w:val="auto"/>
        </w:rPr>
      </w:pPr>
    </w:p>
    <w:p>
      <w:pPr>
        <w:ind w:left="260"/>
        <w:spacing w:after="0"/>
        <w:tabs>
          <w:tab w:leader="none" w:pos="1000" w:val="left"/>
        </w:tabs>
        <w:rPr>
          <w:sz w:val="20"/>
          <w:szCs w:val="20"/>
          <w:color w:val="auto"/>
        </w:rPr>
      </w:pPr>
      <w:r>
        <w:rPr>
          <w:rFonts w:ascii="Arial" w:cs="Arial" w:eastAsia="Arial" w:hAnsi="Arial"/>
          <w:sz w:val="24"/>
          <w:szCs w:val="24"/>
          <w:color w:val="auto"/>
        </w:rPr>
        <w:t>1.2.1</w:t>
      </w:r>
      <w:r>
        <w:rPr>
          <w:sz w:val="20"/>
          <w:szCs w:val="20"/>
          <w:color w:val="auto"/>
        </w:rPr>
        <w:tab/>
      </w:r>
      <w:r>
        <w:rPr>
          <w:rFonts w:ascii="Arial" w:cs="Arial" w:eastAsia="Arial" w:hAnsi="Arial"/>
          <w:sz w:val="23"/>
          <w:szCs w:val="23"/>
          <w:color w:val="auto"/>
        </w:rPr>
        <w:t>OBJETIVO GERAL</w:t>
      </w:r>
    </w:p>
    <w:p>
      <w:pPr>
        <w:spacing w:after="0" w:line="357" w:lineRule="exact"/>
        <w:rPr>
          <w:sz w:val="20"/>
          <w:szCs w:val="20"/>
          <w:color w:val="auto"/>
        </w:rPr>
      </w:pPr>
    </w:p>
    <w:p>
      <w:pPr>
        <w:jc w:val="both"/>
        <w:ind w:left="260" w:firstLine="850"/>
        <w:spacing w:after="0" w:line="447" w:lineRule="auto"/>
        <w:rPr>
          <w:sz w:val="20"/>
          <w:szCs w:val="20"/>
          <w:color w:val="auto"/>
        </w:rPr>
      </w:pPr>
      <w:r>
        <w:rPr>
          <w:rFonts w:ascii="Arial" w:cs="Arial" w:eastAsia="Arial" w:hAnsi="Arial"/>
          <w:sz w:val="23"/>
          <w:szCs w:val="23"/>
          <w:color w:val="auto"/>
        </w:rPr>
        <w:t>Este estudo buscará verificar quais variáveis microeconômicas e macroeconô-micas exercem influência significativa sobre o spread ex-post e como estas afetaram a rentabilidade das instituições bancárias brasileiras, entre os anos de 2001 e 2020.</w:t>
      </w:r>
    </w:p>
    <w:p>
      <w:pPr>
        <w:spacing w:after="0" w:line="272" w:lineRule="exact"/>
        <w:rPr>
          <w:sz w:val="20"/>
          <w:szCs w:val="20"/>
          <w:color w:val="auto"/>
        </w:rPr>
      </w:pPr>
    </w:p>
    <w:p>
      <w:pPr>
        <w:ind w:left="260"/>
        <w:spacing w:after="0"/>
        <w:tabs>
          <w:tab w:leader="none" w:pos="1000" w:val="left"/>
        </w:tabs>
        <w:rPr>
          <w:sz w:val="20"/>
          <w:szCs w:val="20"/>
          <w:color w:val="auto"/>
        </w:rPr>
      </w:pPr>
      <w:r>
        <w:rPr>
          <w:rFonts w:ascii="Arial" w:cs="Arial" w:eastAsia="Arial" w:hAnsi="Arial"/>
          <w:sz w:val="24"/>
          <w:szCs w:val="24"/>
          <w:color w:val="auto"/>
        </w:rPr>
        <w:t>1.2.2</w:t>
      </w:r>
      <w:r>
        <w:rPr>
          <w:sz w:val="20"/>
          <w:szCs w:val="20"/>
          <w:color w:val="auto"/>
        </w:rPr>
        <w:tab/>
      </w:r>
      <w:r>
        <w:rPr>
          <w:rFonts w:ascii="Arial" w:cs="Arial" w:eastAsia="Arial" w:hAnsi="Arial"/>
          <w:sz w:val="23"/>
          <w:szCs w:val="23"/>
          <w:color w:val="auto"/>
        </w:rPr>
        <w:t>OBJETIVOS ESPECÍFICOS</w:t>
      </w:r>
    </w:p>
    <w:p>
      <w:pPr>
        <w:spacing w:after="0" w:line="200" w:lineRule="exact"/>
        <w:rPr>
          <w:sz w:val="20"/>
          <w:szCs w:val="20"/>
          <w:color w:val="auto"/>
        </w:rPr>
      </w:pPr>
    </w:p>
    <w:p>
      <w:pPr>
        <w:spacing w:after="0" w:line="258" w:lineRule="exact"/>
        <w:rPr>
          <w:sz w:val="20"/>
          <w:szCs w:val="20"/>
          <w:color w:val="auto"/>
        </w:rPr>
      </w:pPr>
    </w:p>
    <w:p>
      <w:pPr>
        <w:ind w:left="840" w:right="40" w:hanging="312"/>
        <w:spacing w:after="0" w:line="415" w:lineRule="auto"/>
        <w:tabs>
          <w:tab w:leader="none" w:pos="840" w:val="left"/>
        </w:tabs>
        <w:numPr>
          <w:ilvl w:val="0"/>
          <w:numId w:val="4"/>
        </w:numPr>
        <w:rPr>
          <w:rFonts w:ascii="Arial" w:cs="Arial" w:eastAsia="Arial" w:hAnsi="Arial"/>
          <w:sz w:val="24"/>
          <w:szCs w:val="24"/>
          <w:color w:val="auto"/>
        </w:rPr>
      </w:pPr>
      <w:r>
        <w:rPr>
          <w:rFonts w:ascii="Arial" w:cs="Arial" w:eastAsia="Arial" w:hAnsi="Arial"/>
          <w:sz w:val="24"/>
          <w:szCs w:val="24"/>
          <w:color w:val="auto"/>
        </w:rPr>
        <w:t>Realizar levantamento teórico e bibliográfico sobre setor bancário e estudos sobre o Spread bancário no Brasil;</w:t>
      </w:r>
    </w:p>
    <w:p>
      <w:pPr>
        <w:spacing w:after="0" w:line="1" w:lineRule="exact"/>
        <w:rPr>
          <w:rFonts w:ascii="Arial" w:cs="Arial" w:eastAsia="Arial" w:hAnsi="Arial"/>
          <w:sz w:val="24"/>
          <w:szCs w:val="24"/>
          <w:color w:val="auto"/>
        </w:rPr>
      </w:pPr>
    </w:p>
    <w:p>
      <w:pPr>
        <w:jc w:val="both"/>
        <w:ind w:left="840" w:right="20" w:hanging="312"/>
        <w:spacing w:after="0" w:line="433" w:lineRule="auto"/>
        <w:tabs>
          <w:tab w:leader="none" w:pos="840" w:val="left"/>
        </w:tabs>
        <w:numPr>
          <w:ilvl w:val="0"/>
          <w:numId w:val="4"/>
        </w:numPr>
        <w:rPr>
          <w:rFonts w:ascii="Arial" w:cs="Arial" w:eastAsia="Arial" w:hAnsi="Arial"/>
          <w:sz w:val="23"/>
          <w:szCs w:val="23"/>
          <w:color w:val="auto"/>
        </w:rPr>
      </w:pPr>
      <w:r>
        <w:rPr>
          <w:rFonts w:ascii="Arial" w:cs="Arial" w:eastAsia="Arial" w:hAnsi="Arial"/>
          <w:sz w:val="23"/>
          <w:szCs w:val="23"/>
          <w:color w:val="auto"/>
        </w:rPr>
        <w:t>Identificar e testar variáveis macroeconômicas e microeconômicas enquanto componentes implícitos e explícitos de determinação do spread bancário ex-post;</w:t>
      </w:r>
    </w:p>
    <w:p>
      <w:pPr>
        <w:spacing w:after="0" w:line="1" w:lineRule="exact"/>
        <w:rPr>
          <w:rFonts w:ascii="Arial" w:cs="Arial" w:eastAsia="Arial" w:hAnsi="Arial"/>
          <w:sz w:val="23"/>
          <w:szCs w:val="23"/>
          <w:color w:val="auto"/>
        </w:rPr>
      </w:pPr>
    </w:p>
    <w:p>
      <w:pPr>
        <w:ind w:left="840" w:right="40" w:hanging="312"/>
        <w:spacing w:after="0" w:line="431" w:lineRule="auto"/>
        <w:tabs>
          <w:tab w:leader="none" w:pos="840" w:val="left"/>
        </w:tabs>
        <w:numPr>
          <w:ilvl w:val="0"/>
          <w:numId w:val="4"/>
        </w:numPr>
        <w:rPr>
          <w:rFonts w:ascii="Arial" w:cs="Arial" w:eastAsia="Arial" w:hAnsi="Arial"/>
          <w:sz w:val="24"/>
          <w:szCs w:val="24"/>
          <w:color w:val="auto"/>
        </w:rPr>
      </w:pPr>
      <w:r>
        <w:rPr>
          <w:rFonts w:ascii="Arial" w:cs="Arial" w:eastAsia="Arial" w:hAnsi="Arial"/>
          <w:sz w:val="24"/>
          <w:szCs w:val="24"/>
          <w:color w:val="auto"/>
        </w:rPr>
        <w:t>Analisar como as variações dos componentes do spread bancário afetaram a rentabilidade dos bancos, no período de 2001 a 2020.</w:t>
      </w:r>
    </w:p>
    <w:p>
      <w:pPr>
        <w:spacing w:after="0" w:line="200" w:lineRule="exact"/>
        <w:rPr>
          <w:sz w:val="20"/>
          <w:szCs w:val="20"/>
          <w:color w:val="auto"/>
        </w:rPr>
      </w:pPr>
    </w:p>
    <w:p>
      <w:pPr>
        <w:spacing w:after="0" w:line="277" w:lineRule="exact"/>
        <w:rPr>
          <w:sz w:val="20"/>
          <w:szCs w:val="20"/>
          <w:color w:val="auto"/>
        </w:rPr>
      </w:pPr>
    </w:p>
    <w:p>
      <w:pPr>
        <w:ind w:left="260"/>
        <w:spacing w:after="0"/>
        <w:tabs>
          <w:tab w:leader="none" w:pos="800" w:val="left"/>
        </w:tabs>
        <w:rPr>
          <w:sz w:val="20"/>
          <w:szCs w:val="20"/>
          <w:color w:val="auto"/>
        </w:rPr>
      </w:pPr>
      <w:r>
        <w:rPr>
          <w:rFonts w:ascii="Arial" w:cs="Arial" w:eastAsia="Arial" w:hAnsi="Arial"/>
          <w:sz w:val="24"/>
          <w:szCs w:val="24"/>
          <w:color w:val="auto"/>
        </w:rPr>
        <w:t>1.3</w:t>
      </w:r>
      <w:r>
        <w:rPr>
          <w:sz w:val="20"/>
          <w:szCs w:val="20"/>
          <w:color w:val="auto"/>
        </w:rPr>
        <w:tab/>
      </w:r>
      <w:r>
        <w:rPr>
          <w:rFonts w:ascii="Arial" w:cs="Arial" w:eastAsia="Arial" w:hAnsi="Arial"/>
          <w:sz w:val="23"/>
          <w:szCs w:val="23"/>
          <w:color w:val="auto"/>
        </w:rPr>
        <w:t>JUSTIFICATIVA TEÓRICA E PRÁTICA</w:t>
      </w:r>
    </w:p>
    <w:p>
      <w:pPr>
        <w:spacing w:after="0" w:line="200" w:lineRule="exact"/>
        <w:rPr>
          <w:sz w:val="20"/>
          <w:szCs w:val="20"/>
          <w:color w:val="auto"/>
        </w:rPr>
      </w:pPr>
    </w:p>
    <w:p>
      <w:pPr>
        <w:spacing w:after="0" w:line="239"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A medida que o nível de dinamismo da economia se eleva, ocorrendo evoluções e modificações estruturais em espaços de tempos mais curtos, o setor financeiro deve acompanhar tais perspectivas, devido sua importância no processo, principalmente no que se refere ao oferecimento de novos produtos, ampliação de crédito, oportunidades para investidores, solidez e liquidez ao sistema.</w:t>
      </w:r>
    </w:p>
    <w:p>
      <w:pPr>
        <w:spacing w:after="0" w:line="83"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E nesse cenário dinâmico e evolutivo, o spread bancário desponta como o indicador que capta o nível de desenvolvimento do sistema financeiro, no sentido de equacionar a relação entre a remuneração dos superavitários e os juros cobrados dos deficitários de capital, englobando os custos de intermediação, com maior relevância aos créditos destinados a empreendimentos produtivos.</w:t>
      </w:r>
    </w:p>
    <w:p>
      <w:pPr>
        <w:spacing w:after="0" w:line="83" w:lineRule="exact"/>
        <w:rPr>
          <w:sz w:val="20"/>
          <w:szCs w:val="20"/>
          <w:color w:val="auto"/>
        </w:rPr>
      </w:pPr>
    </w:p>
    <w:p>
      <w:pPr>
        <w:jc w:val="both"/>
        <w:ind w:left="260" w:firstLine="850"/>
        <w:spacing w:after="0" w:line="447" w:lineRule="auto"/>
        <w:rPr>
          <w:sz w:val="20"/>
          <w:szCs w:val="20"/>
          <w:color w:val="auto"/>
        </w:rPr>
      </w:pPr>
      <w:r>
        <w:rPr>
          <w:rFonts w:ascii="Arial" w:cs="Arial" w:eastAsia="Arial" w:hAnsi="Arial"/>
          <w:sz w:val="23"/>
          <w:szCs w:val="23"/>
          <w:color w:val="auto"/>
        </w:rPr>
        <w:t>Nesse sentido, os estudos acerca do spread bancário se tornam necessários e importantes, diante da perspectiva do dinamismo e constantes transformações na eco-nomia. O caso brasileiro demonstra ser ainda mais relevante, por se colocar em posição</w:t>
      </w:r>
    </w:p>
    <w:p>
      <w:pPr>
        <w:sectPr>
          <w:pgSz w:w="11900" w:h="16838" w:orient="portrait"/>
          <w:cols w:equalWidth="0" w:num="1">
            <w:col w:w="9360"/>
          </w:cols>
          <w:pgMar w:left="1440" w:top="991" w:right="1106" w:bottom="170" w:gutter="0" w:footer="0" w:header="0"/>
        </w:sectPr>
      </w:pPr>
    </w:p>
    <w:p>
      <w:pPr>
        <w:ind w:left="9200"/>
        <w:spacing w:after="0"/>
        <w:rPr>
          <w:sz w:val="20"/>
          <w:szCs w:val="20"/>
          <w:color w:val="auto"/>
        </w:rPr>
      </w:pPr>
      <w:r>
        <w:rPr>
          <w:rFonts w:ascii="Arial" w:cs="Arial" w:eastAsia="Arial" w:hAnsi="Arial"/>
          <w:sz w:val="24"/>
          <w:szCs w:val="24"/>
          <w:color w:val="auto"/>
        </w:rPr>
        <w:t>8</w:t>
      </w:r>
    </w:p>
    <w:p>
      <w:pPr>
        <w:spacing w:after="0" w:line="200" w:lineRule="exact"/>
        <w:rPr>
          <w:sz w:val="20"/>
          <w:szCs w:val="20"/>
          <w:color w:val="auto"/>
        </w:rPr>
      </w:pPr>
    </w:p>
    <w:p>
      <w:pPr>
        <w:spacing w:after="0" w:line="246" w:lineRule="exact"/>
        <w:rPr>
          <w:sz w:val="20"/>
          <w:szCs w:val="20"/>
          <w:color w:val="auto"/>
        </w:rPr>
      </w:pPr>
    </w:p>
    <w:p>
      <w:pPr>
        <w:ind w:left="260" w:right="60"/>
        <w:spacing w:after="0" w:line="431" w:lineRule="auto"/>
        <w:rPr>
          <w:sz w:val="20"/>
          <w:szCs w:val="20"/>
          <w:color w:val="auto"/>
        </w:rPr>
      </w:pPr>
      <w:r>
        <w:rPr>
          <w:rFonts w:ascii="Arial" w:cs="Arial" w:eastAsia="Arial" w:hAnsi="Arial"/>
          <w:sz w:val="24"/>
          <w:szCs w:val="24"/>
          <w:color w:val="auto"/>
        </w:rPr>
        <w:t>considerada peculiar, diante os históricos de baixo crescimento e desenvolvimento e um setor bancário concentrado com elevados níveis de spread.</w:t>
      </w:r>
    </w:p>
    <w:p>
      <w:pPr>
        <w:spacing w:after="0" w:line="85" w:lineRule="exact"/>
        <w:rPr>
          <w:sz w:val="20"/>
          <w:szCs w:val="20"/>
          <w:color w:val="auto"/>
        </w:rPr>
      </w:pPr>
    </w:p>
    <w:p>
      <w:pPr>
        <w:jc w:val="both"/>
        <w:ind w:left="260" w:right="20" w:firstLine="850"/>
        <w:spacing w:after="0" w:line="406" w:lineRule="auto"/>
        <w:rPr>
          <w:sz w:val="20"/>
          <w:szCs w:val="20"/>
          <w:color w:val="auto"/>
        </w:rPr>
      </w:pPr>
      <w:r>
        <w:rPr>
          <w:rFonts w:ascii="Arial" w:cs="Arial" w:eastAsia="Arial" w:hAnsi="Arial"/>
          <w:sz w:val="23"/>
          <w:szCs w:val="23"/>
          <w:color w:val="auto"/>
        </w:rPr>
        <w:t>Foi verificado o panorama das publicações de pesquisas relacionadas ao setor bancário no brasil, através da plataforma Capes, entre os anos 2000 e 2020</w:t>
      </w:r>
      <w:r>
        <w:rPr>
          <w:rFonts w:ascii="Arial" w:cs="Arial" w:eastAsia="Arial" w:hAnsi="Arial"/>
          <w:sz w:val="30"/>
          <w:szCs w:val="30"/>
          <w:color w:val="auto"/>
        </w:rPr>
        <w:t xml:space="preserve"> </w:t>
      </w:r>
      <w:r>
        <w:rPr>
          <w:rFonts w:ascii="Arial" w:cs="Arial" w:eastAsia="Arial" w:hAnsi="Arial"/>
          <w:sz w:val="30"/>
          <w:szCs w:val="30"/>
          <w:color w:val="auto"/>
          <w:vertAlign w:val="superscript"/>
        </w:rPr>
        <w:t>1</w:t>
      </w:r>
      <w:r>
        <w:rPr>
          <w:rFonts w:ascii="Arial" w:cs="Arial" w:eastAsia="Arial" w:hAnsi="Arial"/>
          <w:sz w:val="23"/>
          <w:szCs w:val="23"/>
          <w:color w:val="auto"/>
        </w:rPr>
        <w:t>, remontando um total de 4.512 publicações, indicando a relevância do tema. Enquanto as pesquisas relacionadas especificamente com o spread bancário brasileiro, através da plataforma Capes foram identificados 3.435 estudos entre os anos de 2000 e 2020</w:t>
      </w:r>
    </w:p>
    <w:p>
      <w:pPr>
        <w:spacing w:after="0" w:line="1" w:lineRule="exact"/>
        <w:rPr>
          <w:sz w:val="20"/>
          <w:szCs w:val="20"/>
          <w:color w:val="auto"/>
        </w:rPr>
      </w:pPr>
    </w:p>
    <w:p>
      <w:pPr>
        <w:ind w:left="360" w:hanging="101"/>
        <w:spacing w:after="0"/>
        <w:tabs>
          <w:tab w:leader="none" w:pos="360" w:val="left"/>
        </w:tabs>
        <w:numPr>
          <w:ilvl w:val="0"/>
          <w:numId w:val="5"/>
        </w:numPr>
        <w:rPr>
          <w:rFonts w:ascii="Arial" w:cs="Arial" w:eastAsia="Arial" w:hAnsi="Arial"/>
          <w:sz w:val="27"/>
          <w:szCs w:val="27"/>
          <w:color w:val="auto"/>
          <w:vertAlign w:val="superscript"/>
        </w:rPr>
      </w:pPr>
      <w:r>
        <w:rPr>
          <w:rFonts w:ascii="Arial" w:cs="Arial" w:eastAsia="Arial" w:hAnsi="Arial"/>
          <w:sz w:val="20"/>
          <w:szCs w:val="20"/>
          <w:color w:val="auto"/>
        </w:rPr>
        <w:t>, o que também vem destacar a importância da temática na literatura acadêmica.</w:t>
      </w:r>
    </w:p>
    <w:p>
      <w:pPr>
        <w:spacing w:after="0" w:line="303"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Mesmo com um número considerado de estudos sobre o setor bancário brasi-leiro e outros diversos citando o spread bancário, ainda se fazem necessárias novas iniciativas, diante a importância deste indicador na solidez do setor financeiro e seu papel no desenvolvimento econômico, e principalmente por ainda existirem incongruên-cias, divergências e lacunas a serem explanadas.</w:t>
      </w:r>
    </w:p>
    <w:p>
      <w:pPr>
        <w:spacing w:after="0" w:line="101" w:lineRule="exact"/>
        <w:rPr>
          <w:sz w:val="20"/>
          <w:szCs w:val="20"/>
          <w:color w:val="auto"/>
        </w:rPr>
      </w:pPr>
    </w:p>
    <w:p>
      <w:pPr>
        <w:jc w:val="both"/>
        <w:ind w:left="260" w:right="60" w:firstLine="850"/>
        <w:spacing w:after="0" w:line="440" w:lineRule="auto"/>
        <w:rPr>
          <w:sz w:val="20"/>
          <w:szCs w:val="20"/>
          <w:color w:val="auto"/>
        </w:rPr>
      </w:pPr>
      <w:r>
        <w:rPr>
          <w:rFonts w:ascii="Arial" w:cs="Arial" w:eastAsia="Arial" w:hAnsi="Arial"/>
          <w:sz w:val="23"/>
          <w:szCs w:val="23"/>
          <w:color w:val="auto"/>
        </w:rPr>
        <w:t>Este trabalho atuará em duas perspectivas que tangem os estudos acerca do spread bancário. A primeira está moldada na consensual importância do spread no processo de desenvolvimento econômico via concessão de crédito, o que traz a importância de verificar suas variáveis determinantes. A segunda parte da importância de um nível de rentabilidade bancária proporcione um sistema financeiro sustentável.</w:t>
      </w:r>
    </w:p>
    <w:p>
      <w:pPr>
        <w:spacing w:after="0" w:line="327" w:lineRule="exact"/>
        <w:rPr>
          <w:sz w:val="20"/>
          <w:szCs w:val="20"/>
          <w:color w:val="auto"/>
        </w:rPr>
      </w:pPr>
    </w:p>
    <w:p>
      <w:pPr>
        <w:ind w:left="260"/>
        <w:spacing w:after="0"/>
        <w:tabs>
          <w:tab w:leader="none" w:pos="800" w:val="left"/>
        </w:tabs>
        <w:rPr>
          <w:sz w:val="20"/>
          <w:szCs w:val="20"/>
          <w:color w:val="auto"/>
        </w:rPr>
      </w:pPr>
      <w:r>
        <w:rPr>
          <w:rFonts w:ascii="Arial" w:cs="Arial" w:eastAsia="Arial" w:hAnsi="Arial"/>
          <w:sz w:val="24"/>
          <w:szCs w:val="24"/>
          <w:color w:val="auto"/>
        </w:rPr>
        <w:t>1.4</w:t>
      </w:r>
      <w:r>
        <w:rPr>
          <w:sz w:val="20"/>
          <w:szCs w:val="20"/>
          <w:color w:val="auto"/>
        </w:rPr>
        <w:tab/>
      </w:r>
      <w:r>
        <w:rPr>
          <w:rFonts w:ascii="Arial" w:cs="Arial" w:eastAsia="Arial" w:hAnsi="Arial"/>
          <w:sz w:val="23"/>
          <w:szCs w:val="23"/>
          <w:color w:val="auto"/>
        </w:rPr>
        <w:t>ESTRUTURA DA DISSERTAÇÃO</w:t>
      </w:r>
    </w:p>
    <w:p>
      <w:pPr>
        <w:spacing w:after="0" w:line="200" w:lineRule="exact"/>
        <w:rPr>
          <w:sz w:val="20"/>
          <w:szCs w:val="20"/>
          <w:color w:val="auto"/>
        </w:rPr>
      </w:pPr>
    </w:p>
    <w:p>
      <w:pPr>
        <w:spacing w:after="0" w:line="239" w:lineRule="exact"/>
        <w:rPr>
          <w:sz w:val="20"/>
          <w:szCs w:val="20"/>
          <w:color w:val="auto"/>
        </w:rPr>
      </w:pPr>
    </w:p>
    <w:p>
      <w:pPr>
        <w:jc w:val="both"/>
        <w:ind w:left="260" w:firstLine="858"/>
        <w:spacing w:after="0" w:line="419" w:lineRule="auto"/>
        <w:rPr>
          <w:sz w:val="20"/>
          <w:szCs w:val="20"/>
          <w:color w:val="auto"/>
        </w:rPr>
      </w:pPr>
      <w:r>
        <w:rPr>
          <w:rFonts w:ascii="Arial" w:cs="Arial" w:eastAsia="Arial" w:hAnsi="Arial"/>
          <w:sz w:val="24"/>
          <w:szCs w:val="24"/>
          <w:color w:val="auto"/>
        </w:rPr>
        <w:t>A presente dissertação estará estruturada em cinco capítulos. Este primeiro apresenta a contextualização, objetivos, justificativa e a presente estrutura do trabalho. A estrutura proposta visa sintetizar as principais questões sobre o tema proposto com ótica direcionada para a proposição e objetivos, bem como nortear o andamento da pesquisa.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152400</wp:posOffset>
                </wp:positionV>
                <wp:extent cx="230251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pt" to="194.25pt,12pt" o:allowincell="f" strokecolor="#000000" strokeweight="0.398pt"/>
            </w:pict>
          </mc:Fallback>
        </mc:AlternateContent>
      </w:r>
    </w:p>
    <w:p>
      <w:pPr>
        <w:spacing w:after="0" w:line="259" w:lineRule="exact"/>
        <w:rPr>
          <w:sz w:val="20"/>
          <w:szCs w:val="20"/>
          <w:color w:val="auto"/>
        </w:rPr>
      </w:pPr>
    </w:p>
    <w:p>
      <w:pPr>
        <w:ind w:left="540" w:right="40" w:hanging="281"/>
        <w:spacing w:after="0" w:line="210" w:lineRule="auto"/>
        <w:tabs>
          <w:tab w:leader="none" w:pos="540" w:val="left"/>
        </w:tabs>
        <w:numPr>
          <w:ilvl w:val="0"/>
          <w:numId w:val="6"/>
        </w:numPr>
        <w:rPr>
          <w:rFonts w:ascii="Arial" w:cs="Arial" w:eastAsia="Arial" w:hAnsi="Arial"/>
          <w:sz w:val="28"/>
          <w:szCs w:val="28"/>
          <w:color w:val="auto"/>
          <w:vertAlign w:val="superscript"/>
        </w:rPr>
      </w:pPr>
      <w:r>
        <w:rPr>
          <w:rFonts w:ascii="Arial" w:cs="Arial" w:eastAsia="Arial" w:hAnsi="Arial"/>
          <w:sz w:val="20"/>
          <w:szCs w:val="20"/>
          <w:color w:val="auto"/>
        </w:rPr>
        <w:t>Foram utilizados operadores booleanos em inglês: banking(structure or market or sector or industry) and brazil* e revisados por pares.</w:t>
      </w:r>
    </w:p>
    <w:p>
      <w:pPr>
        <w:spacing w:after="0" w:line="2" w:lineRule="exact"/>
        <w:rPr>
          <w:sz w:val="20"/>
          <w:szCs w:val="20"/>
          <w:color w:val="auto"/>
        </w:rPr>
      </w:pPr>
    </w:p>
    <w:p>
      <w:pPr>
        <w:ind w:left="540" w:right="60" w:hanging="281"/>
        <w:spacing w:after="0" w:line="209" w:lineRule="auto"/>
        <w:tabs>
          <w:tab w:leader="none" w:pos="540" w:val="left"/>
        </w:tabs>
        <w:numPr>
          <w:ilvl w:val="0"/>
          <w:numId w:val="7"/>
        </w:numPr>
        <w:rPr>
          <w:rFonts w:ascii="Arial" w:cs="Arial" w:eastAsia="Arial" w:hAnsi="Arial"/>
          <w:sz w:val="28"/>
          <w:szCs w:val="28"/>
          <w:color w:val="auto"/>
          <w:vertAlign w:val="superscript"/>
        </w:rPr>
      </w:pPr>
      <w:r>
        <w:rPr>
          <w:rFonts w:ascii="Arial" w:cs="Arial" w:eastAsia="Arial" w:hAnsi="Arial"/>
          <w:sz w:val="20"/>
          <w:szCs w:val="20"/>
          <w:color w:val="auto"/>
        </w:rPr>
        <w:t>Foram utilizados os operadores boleanos em inglês (bank or banking) and spread and brazil, revisados por pares.</w:t>
      </w:r>
    </w:p>
    <w:p>
      <w:pPr>
        <w:sectPr>
          <w:pgSz w:w="11900" w:h="16838" w:orient="portrait"/>
          <w:cols w:equalWidth="0" w:num="1">
            <w:col w:w="9380"/>
          </w:cols>
          <w:pgMar w:left="1440" w:top="991" w:right="1086" w:bottom="866" w:gutter="0" w:footer="0" w:header="0"/>
        </w:sectPr>
      </w:pPr>
    </w:p>
    <w:p>
      <w:pPr>
        <w:ind w:left="9200"/>
        <w:spacing w:after="0"/>
        <w:rPr>
          <w:sz w:val="20"/>
          <w:szCs w:val="20"/>
          <w:color w:val="auto"/>
        </w:rPr>
      </w:pPr>
      <w:r>
        <w:rPr>
          <w:rFonts w:ascii="Arial" w:cs="Arial" w:eastAsia="Arial" w:hAnsi="Arial"/>
          <w:sz w:val="24"/>
          <w:szCs w:val="24"/>
          <w:color w:val="auto"/>
        </w:rPr>
        <w:t>9</w:t>
      </w:r>
    </w:p>
    <w:p>
      <w:pPr>
        <w:spacing w:after="0" w:line="200" w:lineRule="exact"/>
        <w:rPr>
          <w:sz w:val="20"/>
          <w:szCs w:val="20"/>
          <w:color w:val="auto"/>
        </w:rPr>
      </w:pPr>
    </w:p>
    <w:p>
      <w:pPr>
        <w:spacing w:after="0" w:line="246" w:lineRule="exact"/>
        <w:rPr>
          <w:sz w:val="20"/>
          <w:szCs w:val="20"/>
          <w:color w:val="auto"/>
        </w:rPr>
      </w:pPr>
    </w:p>
    <w:p>
      <w:pPr>
        <w:jc w:val="both"/>
        <w:ind w:left="260" w:right="40" w:firstLine="850"/>
        <w:spacing w:after="0" w:line="423" w:lineRule="auto"/>
        <w:rPr>
          <w:sz w:val="20"/>
          <w:szCs w:val="20"/>
          <w:color w:val="auto"/>
        </w:rPr>
      </w:pPr>
      <w:r>
        <w:rPr>
          <w:rFonts w:ascii="Arial" w:cs="Arial" w:eastAsia="Arial" w:hAnsi="Arial"/>
          <w:sz w:val="24"/>
          <w:szCs w:val="24"/>
          <w:color w:val="auto"/>
        </w:rPr>
        <w:t>No segundo capítulo serão realizados os levantamentos teóricos a respeito dos conceitos, aspectos fundamentais e dados amplos do setor bancário e spread no Brasil, por meio de pesquisa bibliográfica e busca em bancos de dados.</w:t>
      </w:r>
    </w:p>
    <w:p>
      <w:pPr>
        <w:spacing w:after="0" w:line="95"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O terceiro capítulo terá como anseio, identificar e testar a variáveis macroe-conômicas e microeconômicas que se configuram como componentes implícitos e explícitos do spread bancário ex-post, e como a variação destes componentes afetam a rentabilidade dos bancos.</w:t>
      </w:r>
    </w:p>
    <w:p>
      <w:pPr>
        <w:spacing w:after="0" w:line="96" w:lineRule="exact"/>
        <w:rPr>
          <w:sz w:val="20"/>
          <w:szCs w:val="20"/>
          <w:color w:val="auto"/>
        </w:rPr>
      </w:pPr>
    </w:p>
    <w:p>
      <w:pPr>
        <w:jc w:val="both"/>
        <w:ind w:left="260" w:firstLine="856"/>
        <w:spacing w:after="0" w:line="440" w:lineRule="auto"/>
        <w:rPr>
          <w:sz w:val="20"/>
          <w:szCs w:val="20"/>
          <w:color w:val="auto"/>
        </w:rPr>
      </w:pPr>
      <w:r>
        <w:rPr>
          <w:rFonts w:ascii="Arial" w:cs="Arial" w:eastAsia="Arial" w:hAnsi="Arial"/>
          <w:sz w:val="23"/>
          <w:szCs w:val="23"/>
          <w:color w:val="auto"/>
        </w:rPr>
        <w:t>O quarto capítulo almeja explanar e analisar, diante as premissas empregadas, os resultados obtidos na pesquisa, visando descrever e embasar as relações entre as variáveis, confrontando com as pesquisas identificadas. Por fim serão realizadas as considerações finais, buscando contextualizar os resultados obtidos com o cenário e os estudos identificados e sugerindo estudos complementares.</w:t>
      </w:r>
    </w:p>
    <w:p>
      <w:pPr>
        <w:spacing w:after="0" w:line="86"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O próximo capítulo irá abordar sobre aspectos conceituais, teóricos, técnicos e históricos do setor e spread bancário brasileiro, buscando demonstrar as principais características deste mercado, através da descrição e demonstração da evolução da estrutura e seus principais indicadores.</w:t>
      </w:r>
    </w:p>
    <w:p>
      <w:pPr>
        <w:sectPr>
          <w:pgSz w:w="11900" w:h="16838" w:orient="portrait"/>
          <w:cols w:equalWidth="0" w:num="1">
            <w:col w:w="9360"/>
          </w:cols>
          <w:pgMar w:left="1440" w:top="991" w:right="1106" w:bottom="1440" w:gutter="0" w:footer="0" w:header="0"/>
        </w:sectPr>
      </w:pPr>
    </w:p>
    <w:p>
      <w:pPr>
        <w:ind w:left="9100"/>
        <w:spacing w:after="0"/>
        <w:rPr>
          <w:sz w:val="20"/>
          <w:szCs w:val="20"/>
          <w:color w:val="auto"/>
        </w:rPr>
      </w:pPr>
      <w:r>
        <w:rPr>
          <w:rFonts w:ascii="Arial" w:cs="Arial" w:eastAsia="Arial" w:hAnsi="Arial"/>
          <w:sz w:val="20"/>
          <w:szCs w:val="20"/>
          <w:color w:val="auto"/>
        </w:rPr>
        <w:t>10</w:t>
      </w: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2 REFERENCIAL TEÓRICO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260"/>
        <w:spacing w:after="0"/>
        <w:tabs>
          <w:tab w:leader="none" w:pos="820" w:val="left"/>
        </w:tabs>
        <w:rPr>
          <w:sz w:val="20"/>
          <w:szCs w:val="20"/>
          <w:color w:val="auto"/>
        </w:rPr>
      </w:pPr>
      <w:r>
        <w:rPr>
          <w:rFonts w:ascii="Arial" w:cs="Arial" w:eastAsia="Arial" w:hAnsi="Arial"/>
          <w:sz w:val="24"/>
          <w:szCs w:val="24"/>
          <w:color w:val="auto"/>
        </w:rPr>
        <w:t>2.1</w:t>
      </w:r>
      <w:r>
        <w:rPr>
          <w:sz w:val="20"/>
          <w:szCs w:val="20"/>
          <w:color w:val="auto"/>
        </w:rPr>
        <w:tab/>
      </w:r>
      <w:r>
        <w:rPr>
          <w:rFonts w:ascii="Arial" w:cs="Arial" w:eastAsia="Arial" w:hAnsi="Arial"/>
          <w:sz w:val="23"/>
          <w:szCs w:val="23"/>
          <w:color w:val="auto"/>
        </w:rPr>
        <w:t>SETOR BANCÁRIO NO BRASIL</w:t>
      </w:r>
    </w:p>
    <w:p>
      <w:pPr>
        <w:spacing w:after="0" w:line="200" w:lineRule="exact"/>
        <w:rPr>
          <w:sz w:val="20"/>
          <w:szCs w:val="20"/>
          <w:color w:val="auto"/>
        </w:rPr>
      </w:pPr>
    </w:p>
    <w:p>
      <w:pPr>
        <w:spacing w:after="0" w:line="239"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Neste capítulo serão abordados os conceitos, características, composição e evolução do setor bancário brasileiro, com objetivo de identificar variáveis quantitativas e qualitativas relevantes para as análises dos componentes e determinantes do spread bancário. A primeira parte trará um breve histórico do mercado bancário, e a segunda parte sobre conceitos e evolução de dados.</w:t>
      </w:r>
    </w:p>
    <w:p>
      <w:pPr>
        <w:spacing w:after="0" w:line="101"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O sistema financeiro exerce papel socioeconômico fundamental, atuando na intermediação, promoção da circulação do fluxo de crédito, disponibilização de meios de pagamentos e opções para alocação de recursos, investimentos, seguros, transa-ções cambiais, operações de proteção de capital, guardando relação com grau de desenvolvimento econômico de um país ou região (MAFFILI et al., 2009).</w:t>
      </w:r>
    </w:p>
    <w:p>
      <w:pPr>
        <w:spacing w:after="0" w:line="101"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Devido a importância de um sistema financeiro sólido no desenvolvimento econômico, o lucros auferidos no setor despertam constantes atenções, girando em torno dos riscos que envolvem descontinuidade e insolvência (COUTO, 2002). De acordo com Freitas e Khöler (2009) apud Dantas (2012), o Brasil apresenta uma conjuntura bancária peculiar em comparação a outros países, principalmente no que se refere aos lucros.</w:t>
      </w:r>
    </w:p>
    <w:p>
      <w:pPr>
        <w:spacing w:after="0" w:line="98"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Esta observação remete ao conceito que o desenvolvimento do setor bancá-rio em cada país e região pode ser influenciado por diversos fatores endógenos — relacionados com a gestão, tecnologia e eficiência de cada instituição — e exóge-nos — envolvendo a regulação e as conjunturas econômica e social (ROVER et al., 2011). Nesse sentido os aspectos políticos, econômicos, sociais e culturais se tornam determinantes para essa avaliação.</w:t>
      </w:r>
    </w:p>
    <w:p>
      <w:pPr>
        <w:spacing w:after="0" w:line="98" w:lineRule="exact"/>
        <w:rPr>
          <w:sz w:val="20"/>
          <w:szCs w:val="20"/>
          <w:color w:val="auto"/>
        </w:rPr>
      </w:pPr>
    </w:p>
    <w:p>
      <w:pPr>
        <w:jc w:val="both"/>
        <w:ind w:left="260" w:firstLine="850"/>
        <w:spacing w:after="0" w:line="460" w:lineRule="auto"/>
        <w:rPr>
          <w:sz w:val="20"/>
          <w:szCs w:val="20"/>
          <w:color w:val="auto"/>
        </w:rPr>
      </w:pPr>
      <w:r>
        <w:rPr>
          <w:rFonts w:ascii="Arial" w:cs="Arial" w:eastAsia="Arial" w:hAnsi="Arial"/>
          <w:sz w:val="23"/>
          <w:szCs w:val="23"/>
          <w:color w:val="auto"/>
        </w:rPr>
        <w:t>A história bancária no Brasil tem sua “pedra fundamental” com a instituição, em 1808, do Banco do Brasil, em consequência da chegada da família real portuguesa</w:t>
      </w:r>
    </w:p>
    <w:p>
      <w:pPr>
        <w:sectPr>
          <w:pgSz w:w="11900" w:h="16838" w:orient="portrait"/>
          <w:cols w:equalWidth="0" w:num="1">
            <w:col w:w="9360"/>
          </w:cols>
          <w:pgMar w:left="1440" w:top="1028" w:right="1106" w:bottom="439" w:gutter="0" w:footer="0" w:header="0"/>
        </w:sectPr>
      </w:pPr>
    </w:p>
    <w:p>
      <w:pPr>
        <w:ind w:left="9060"/>
        <w:spacing w:after="0"/>
        <w:rPr>
          <w:sz w:val="20"/>
          <w:szCs w:val="20"/>
          <w:color w:val="auto"/>
        </w:rPr>
      </w:pPr>
      <w:r>
        <w:rPr>
          <w:rFonts w:ascii="Arial" w:cs="Arial" w:eastAsia="Arial" w:hAnsi="Arial"/>
          <w:sz w:val="24"/>
          <w:szCs w:val="24"/>
          <w:color w:val="auto"/>
        </w:rPr>
        <w:t>11</w:t>
      </w:r>
    </w:p>
    <w:p>
      <w:pPr>
        <w:spacing w:after="0" w:line="200" w:lineRule="exact"/>
        <w:rPr>
          <w:sz w:val="20"/>
          <w:szCs w:val="20"/>
          <w:color w:val="auto"/>
        </w:rPr>
      </w:pPr>
    </w:p>
    <w:p>
      <w:pPr>
        <w:spacing w:after="0" w:line="246" w:lineRule="exact"/>
        <w:rPr>
          <w:sz w:val="20"/>
          <w:szCs w:val="20"/>
          <w:color w:val="auto"/>
        </w:rPr>
      </w:pPr>
    </w:p>
    <w:p>
      <w:pPr>
        <w:jc w:val="both"/>
        <w:ind w:left="260" w:right="20"/>
        <w:spacing w:after="0" w:line="421" w:lineRule="auto"/>
        <w:rPr>
          <w:sz w:val="20"/>
          <w:szCs w:val="20"/>
          <w:color w:val="auto"/>
        </w:rPr>
      </w:pPr>
      <w:r>
        <w:rPr>
          <w:rFonts w:ascii="Arial" w:cs="Arial" w:eastAsia="Arial" w:hAnsi="Arial"/>
          <w:sz w:val="24"/>
          <w:szCs w:val="24"/>
          <w:color w:val="auto"/>
        </w:rPr>
        <w:t>e as medidas de aberturas dos portos e acordos comercias. A instituição teve suas atividade encerradas em 1829, devido a uma série de prejuízos com exportações e o retorno de D. João VI à Portugal, levando maior parte do lastro metálico (CAMARGO, 2009).</w:t>
      </w:r>
    </w:p>
    <w:p>
      <w:pPr>
        <w:spacing w:after="0" w:line="96"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No ano de 1833 o Banco do Brasil foi recriado, porém não ocorreram os aportes de capital necessários para instalação e operação. O ano de 1836 foi marcado pela fundação do Banco do Ceará, o primeiro banco comercial privado, que operou até 1839. O Banco do Brasil foi constituído pela terceira vez, agora sob controle privado, no ano de 1851 (CAMARGO, 2009).</w:t>
      </w:r>
    </w:p>
    <w:p>
      <w:pPr>
        <w:spacing w:after="0" w:line="101" w:lineRule="exact"/>
        <w:rPr>
          <w:sz w:val="20"/>
          <w:szCs w:val="20"/>
          <w:color w:val="auto"/>
        </w:rPr>
      </w:pPr>
    </w:p>
    <w:p>
      <w:pPr>
        <w:jc w:val="both"/>
        <w:ind w:left="260" w:right="20" w:firstLine="857"/>
        <w:spacing w:after="0" w:line="419" w:lineRule="auto"/>
        <w:rPr>
          <w:sz w:val="20"/>
          <w:szCs w:val="20"/>
          <w:color w:val="auto"/>
        </w:rPr>
      </w:pPr>
      <w:r>
        <w:rPr>
          <w:rFonts w:ascii="Arial" w:cs="Arial" w:eastAsia="Arial" w:hAnsi="Arial"/>
          <w:sz w:val="24"/>
          <w:szCs w:val="24"/>
          <w:color w:val="auto"/>
        </w:rPr>
        <w:t>Em 1853 o Banco do Brasil realizou a primeira operação fusão do país, com o Banco Comercial do Rio de Janeiro, criado em 1838, considerada a quarta versão deste instituição (CAMARGO, 2009). O Banco do Brasil da atualidade tem sua origem em 1906, resultante do decreto nº 1.455 de 30/12/1905, que autorizou a fusão do Banco do Brasil de 1853 com o Banco da República do Brasil (CAMARGO, 2009) (BRASIL, 2012).</w:t>
      </w:r>
    </w:p>
    <w:p>
      <w:pPr>
        <w:spacing w:after="0" w:line="98"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No ano de 1863 forma instalados o primeiros bancos estrangeiros, sendo eles o London &amp; Brazilian Bank e The Brazilian and Portuguese Bank, ambos com sede no Rio de Janeiro. Posteriormente os bancos estrangeiros passaram a dominar o mercado. A conjuntura nesse momento ainda não se configurava como sistema bancário desenvolvido, em termos de integração entre as instituições (CAMARGO, 2009).</w:t>
      </w:r>
    </w:p>
    <w:p>
      <w:pPr>
        <w:spacing w:after="0" w:line="98"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A Lei Bancária de 1921 trouxe um grande movimento para nacionalização bancária e construção de um efetivo sistema financeiro. O bancos estrangeiros tiveram suas atividades limitadas, passando a sererem proibidas pelas Constituições de 1934 e 1937, voltando a serem autorizadas a funcionar pela Constituição de 1946, posição reitarada pela Constituição de 1964 (CAMARGO, 2009).</w:t>
      </w:r>
    </w:p>
    <w:p>
      <w:pPr>
        <w:spacing w:after="0" w:line="101" w:lineRule="exact"/>
        <w:rPr>
          <w:sz w:val="20"/>
          <w:szCs w:val="20"/>
          <w:color w:val="auto"/>
        </w:rPr>
      </w:pPr>
    </w:p>
    <w:p>
      <w:pPr>
        <w:jc w:val="both"/>
        <w:ind w:left="260" w:right="60" w:firstLine="850"/>
        <w:spacing w:after="0" w:line="460" w:lineRule="auto"/>
        <w:rPr>
          <w:sz w:val="20"/>
          <w:szCs w:val="20"/>
          <w:color w:val="auto"/>
        </w:rPr>
      </w:pPr>
      <w:r>
        <w:rPr>
          <w:rFonts w:ascii="Arial" w:cs="Arial" w:eastAsia="Arial" w:hAnsi="Arial"/>
          <w:sz w:val="23"/>
          <w:szCs w:val="23"/>
          <w:color w:val="auto"/>
        </w:rPr>
        <w:t>O movimento para criação e fortalecimento do sistema bancário nacional iniciado na década de 1920 perdurou até o ano de 1964 com a reforma financeira que</w:t>
      </w:r>
    </w:p>
    <w:p>
      <w:pPr>
        <w:sectPr>
          <w:pgSz w:w="11900" w:h="16838" w:orient="portrait"/>
          <w:cols w:equalWidth="0" w:num="1">
            <w:col w:w="9380"/>
          </w:cols>
          <w:pgMar w:left="1440" w:top="991" w:right="1086" w:bottom="516" w:gutter="0" w:footer="0" w:header="0"/>
        </w:sectPr>
      </w:pPr>
    </w:p>
    <w:p>
      <w:pPr>
        <w:ind w:left="9060"/>
        <w:spacing w:after="0"/>
        <w:rPr>
          <w:sz w:val="20"/>
          <w:szCs w:val="20"/>
          <w:color w:val="auto"/>
        </w:rPr>
      </w:pPr>
      <w:r>
        <w:rPr>
          <w:rFonts w:ascii="Arial" w:cs="Arial" w:eastAsia="Arial" w:hAnsi="Arial"/>
          <w:sz w:val="24"/>
          <w:szCs w:val="24"/>
          <w:color w:val="auto"/>
        </w:rPr>
        <w:t>12</w:t>
      </w:r>
    </w:p>
    <w:p>
      <w:pPr>
        <w:spacing w:after="0" w:line="200" w:lineRule="exact"/>
        <w:rPr>
          <w:sz w:val="20"/>
          <w:szCs w:val="20"/>
          <w:color w:val="auto"/>
        </w:rPr>
      </w:pPr>
    </w:p>
    <w:p>
      <w:pPr>
        <w:spacing w:after="0" w:line="246" w:lineRule="exact"/>
        <w:rPr>
          <w:sz w:val="20"/>
          <w:szCs w:val="20"/>
          <w:color w:val="auto"/>
        </w:rPr>
      </w:pPr>
    </w:p>
    <w:p>
      <w:pPr>
        <w:jc w:val="both"/>
        <w:ind w:left="260" w:right="40"/>
        <w:spacing w:after="0" w:line="423" w:lineRule="auto"/>
        <w:rPr>
          <w:sz w:val="20"/>
          <w:szCs w:val="20"/>
          <w:color w:val="auto"/>
        </w:rPr>
      </w:pPr>
      <w:r>
        <w:rPr>
          <w:rFonts w:ascii="Arial" w:cs="Arial" w:eastAsia="Arial" w:hAnsi="Arial"/>
          <w:sz w:val="24"/>
          <w:szCs w:val="24"/>
          <w:color w:val="auto"/>
        </w:rPr>
        <w:t>resultou no Sistema Financeiro Nacional (SFN), inserido na Constituição de 1964. Esse período foi marcado pela criação de mecanismos de controle e fiscalização, fomento e expansão da rede bancária (CAMARGO, 2009).</w:t>
      </w:r>
    </w:p>
    <w:p>
      <w:pPr>
        <w:spacing w:after="0" w:line="95"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Entre o período de 1964 a 1980 foram implementadas diversas reformas, criações de mecanismos, instituições e subsistemas. Foram definidas modalidades e atividades, onde os Bancos Comerciais se limitariam a operações de créditos de curto prazo, enquanto os bancos de investimento e desenvolvimento atuariam na concessão de crédito de longo prazo (CAMARGO, 2009).</w:t>
      </w:r>
    </w:p>
    <w:p>
      <w:pPr>
        <w:spacing w:after="0" w:line="101"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O setor bancário brasileiro passou por significativas transformações em sua estrutura no final da década de 1980 e ao longo da década de 1990. Estas modificações ocorreram em grande parte como reflexo às mudanças internacionais, ao processo de abertura comercial e financeira que se iniciou no Brasil, e das próprias modificações das conjunturas econômica e social (CAMARGO, 2009).</w:t>
      </w:r>
    </w:p>
    <w:p>
      <w:pPr>
        <w:spacing w:after="0" w:line="101"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Alguns dos efeitos da abertura comercial-financeira e das modificações na estrutura bancária provenientes das medidas governamentais foram o aumento da participação de instituições estrangeiras no país e, um consistente processo de fusões e aquisições, de ambas as origens de capital, que resultou em considerável elevação do grau de concentração (CAMARGO, 2009).</w:t>
      </w:r>
    </w:p>
    <w:p>
      <w:pPr>
        <w:spacing w:after="0" w:line="101" w:lineRule="exact"/>
        <w:rPr>
          <w:sz w:val="20"/>
          <w:szCs w:val="20"/>
          <w:color w:val="auto"/>
        </w:rPr>
      </w:pPr>
    </w:p>
    <w:p>
      <w:pPr>
        <w:jc w:val="both"/>
        <w:ind w:left="260" w:firstLine="857"/>
        <w:spacing w:after="0" w:line="419" w:lineRule="auto"/>
        <w:rPr>
          <w:sz w:val="20"/>
          <w:szCs w:val="20"/>
          <w:color w:val="auto"/>
        </w:rPr>
      </w:pPr>
      <w:r>
        <w:rPr>
          <w:rFonts w:ascii="Arial" w:cs="Arial" w:eastAsia="Arial" w:hAnsi="Arial"/>
          <w:sz w:val="24"/>
          <w:szCs w:val="24"/>
          <w:color w:val="auto"/>
        </w:rPr>
        <w:t>Entre as principais mudanças iniciadas na década de 1980 está a reforma bancária ocorrida em 1988, advindas da Constituição e principalmente através da Resolução nº 1.524, que instituiu diversas medidas de desregulamentação, entre elas a extinção da necessidade de carta-patente para constituição de Bancos Múltiplos (CMN, 1988).</w:t>
      </w:r>
    </w:p>
    <w:p>
      <w:pPr>
        <w:spacing w:after="0" w:line="101"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Mesmo com as limitações impostas pela Constituição de 1988 (BRASIL, 1988) para instalação de bancos estrangeiros, não houveram restrições para que ocorressem aumentos na participação de capital estrangeiro em bancos nacionais, comportamento esse que se tornou até os dias atuais a principal forma de participação desta instituições no Brasil (CAMARGO, 2009).</w:t>
      </w:r>
    </w:p>
    <w:p>
      <w:pPr>
        <w:sectPr>
          <w:pgSz w:w="11900" w:h="16838" w:orient="portrait"/>
          <w:cols w:equalWidth="0" w:num="1">
            <w:col w:w="9360"/>
          </w:cols>
          <w:pgMar w:left="1440" w:top="991" w:right="1106" w:bottom="555" w:gutter="0" w:footer="0" w:header="0"/>
        </w:sectPr>
      </w:pPr>
    </w:p>
    <w:p>
      <w:pPr>
        <w:ind w:left="9060"/>
        <w:spacing w:after="0"/>
        <w:rPr>
          <w:sz w:val="20"/>
          <w:szCs w:val="20"/>
          <w:color w:val="auto"/>
        </w:rPr>
      </w:pPr>
      <w:r>
        <w:rPr>
          <w:rFonts w:ascii="Arial" w:cs="Arial" w:eastAsia="Arial" w:hAnsi="Arial"/>
          <w:sz w:val="24"/>
          <w:szCs w:val="24"/>
          <w:color w:val="auto"/>
        </w:rPr>
        <w:t>13</w:t>
      </w:r>
    </w:p>
    <w:p>
      <w:pPr>
        <w:spacing w:after="0" w:line="200" w:lineRule="exact"/>
        <w:rPr>
          <w:sz w:val="20"/>
          <w:szCs w:val="20"/>
          <w:color w:val="auto"/>
        </w:rPr>
      </w:pPr>
    </w:p>
    <w:p>
      <w:pPr>
        <w:spacing w:after="0" w:line="215" w:lineRule="exact"/>
        <w:rPr>
          <w:sz w:val="20"/>
          <w:szCs w:val="20"/>
          <w:color w:val="auto"/>
        </w:rPr>
      </w:pPr>
    </w:p>
    <w:p>
      <w:pPr>
        <w:ind w:left="360"/>
        <w:spacing w:after="0"/>
        <w:rPr>
          <w:sz w:val="20"/>
          <w:szCs w:val="20"/>
          <w:color w:val="auto"/>
        </w:rPr>
      </w:pPr>
      <w:r>
        <w:rPr>
          <w:rFonts w:ascii="Arial" w:cs="Arial" w:eastAsia="Arial" w:hAnsi="Arial"/>
          <w:sz w:val="22"/>
          <w:szCs w:val="22"/>
          <w:color w:val="auto"/>
        </w:rPr>
        <w:t>Tabela 1 – Composição do setor bancário brasileiro por tipo de iniciativa — Dezembro 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154940</wp:posOffset>
                </wp:positionV>
                <wp:extent cx="570357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0357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462.05pt,12.2pt" o:allowincell="f" strokecolor="#000000" strokeweight="0.936pt"/>
            </w:pict>
          </mc:Fallback>
        </mc:AlternateContent>
      </w:r>
    </w:p>
    <w:p>
      <w:pPr>
        <w:spacing w:after="0" w:line="278" w:lineRule="exact"/>
        <w:rPr>
          <w:sz w:val="20"/>
          <w:szCs w:val="20"/>
          <w:color w:val="auto"/>
        </w:rPr>
      </w:pPr>
    </w:p>
    <w:tbl>
      <w:tblPr>
        <w:tblLayout w:type="fixed"/>
        <w:tblInd w:w="260" w:type="dxa"/>
        <w:tblCellMar>
          <w:top w:w="0" w:type="dxa"/>
          <w:left w:w="0" w:type="dxa"/>
          <w:bottom w:w="0" w:type="dxa"/>
          <w:right w:w="0" w:type="dxa"/>
        </w:tblCellMar>
      </w:tblPr>
      <w:tr>
        <w:trPr>
          <w:trHeight w:val="246"/>
        </w:trPr>
        <w:tc>
          <w:tcPr>
            <w:tcW w:w="1280" w:type="dxa"/>
            <w:vAlign w:val="bottom"/>
          </w:tcPr>
          <w:p>
            <w:pPr>
              <w:ind w:left="120"/>
              <w:spacing w:after="0"/>
              <w:rPr>
                <w:sz w:val="20"/>
                <w:szCs w:val="20"/>
                <w:color w:val="auto"/>
              </w:rPr>
            </w:pPr>
            <w:r>
              <w:rPr>
                <w:rFonts w:ascii="Arial" w:cs="Arial" w:eastAsia="Arial" w:hAnsi="Arial"/>
                <w:sz w:val="20"/>
                <w:szCs w:val="20"/>
                <w:color w:val="auto"/>
              </w:rPr>
              <w:t>Tipo</w:t>
            </w:r>
          </w:p>
        </w:tc>
        <w:tc>
          <w:tcPr>
            <w:tcW w:w="7720" w:type="dxa"/>
            <w:vAlign w:val="bottom"/>
          </w:tcPr>
          <w:p>
            <w:pPr>
              <w:ind w:left="3620"/>
              <w:spacing w:after="0"/>
              <w:rPr>
                <w:sz w:val="20"/>
                <w:szCs w:val="20"/>
                <w:color w:val="auto"/>
              </w:rPr>
            </w:pPr>
            <w:r>
              <w:rPr>
                <w:rFonts w:ascii="Arial" w:cs="Arial" w:eastAsia="Arial" w:hAnsi="Arial"/>
                <w:sz w:val="20"/>
                <w:szCs w:val="20"/>
                <w:color w:val="auto"/>
              </w:rPr>
              <w:t>Participação</w:t>
            </w:r>
          </w:p>
        </w:tc>
      </w:tr>
      <w:tr>
        <w:trPr>
          <w:trHeight w:val="57"/>
        </w:trPr>
        <w:tc>
          <w:tcPr>
            <w:tcW w:w="1280" w:type="dxa"/>
            <w:vAlign w:val="bottom"/>
            <w:tcBorders>
              <w:bottom w:val="single" w:sz="8" w:color="auto"/>
            </w:tcBorders>
          </w:tcPr>
          <w:p>
            <w:pPr>
              <w:spacing w:after="0"/>
              <w:rPr>
                <w:sz w:val="4"/>
                <w:szCs w:val="4"/>
                <w:color w:val="auto"/>
              </w:rPr>
            </w:pPr>
          </w:p>
        </w:tc>
        <w:tc>
          <w:tcPr>
            <w:tcW w:w="7720" w:type="dxa"/>
            <w:vAlign w:val="bottom"/>
            <w:tcBorders>
              <w:bottom w:val="single" w:sz="8" w:color="auto"/>
            </w:tcBorders>
          </w:tcPr>
          <w:p>
            <w:pPr>
              <w:spacing w:after="0"/>
              <w:rPr>
                <w:sz w:val="4"/>
                <w:szCs w:val="4"/>
                <w:color w:val="auto"/>
              </w:rPr>
            </w:pPr>
          </w:p>
        </w:tc>
      </w:tr>
      <w:tr>
        <w:trPr>
          <w:trHeight w:val="275"/>
        </w:trPr>
        <w:tc>
          <w:tcPr>
            <w:tcW w:w="1280" w:type="dxa"/>
            <w:vAlign w:val="bottom"/>
          </w:tcPr>
          <w:p>
            <w:pPr>
              <w:ind w:left="120"/>
              <w:spacing w:after="0"/>
              <w:rPr>
                <w:sz w:val="20"/>
                <w:szCs w:val="20"/>
                <w:color w:val="auto"/>
              </w:rPr>
            </w:pPr>
            <w:r>
              <w:rPr>
                <w:rFonts w:ascii="Arial" w:cs="Arial" w:eastAsia="Arial" w:hAnsi="Arial"/>
                <w:sz w:val="20"/>
                <w:szCs w:val="20"/>
                <w:color w:val="auto"/>
              </w:rPr>
              <w:t>Privado</w:t>
            </w:r>
          </w:p>
        </w:tc>
        <w:tc>
          <w:tcPr>
            <w:tcW w:w="7720" w:type="dxa"/>
            <w:vAlign w:val="bottom"/>
          </w:tcPr>
          <w:p>
            <w:pPr>
              <w:ind w:left="3620"/>
              <w:spacing w:after="0"/>
              <w:rPr>
                <w:sz w:val="20"/>
                <w:szCs w:val="20"/>
                <w:color w:val="auto"/>
              </w:rPr>
            </w:pPr>
            <w:r>
              <w:rPr>
                <w:rFonts w:ascii="Arial" w:cs="Arial" w:eastAsia="Arial" w:hAnsi="Arial"/>
                <w:sz w:val="20"/>
                <w:szCs w:val="20"/>
                <w:color w:val="auto"/>
              </w:rPr>
              <w:t>93%</w:t>
            </w:r>
          </w:p>
        </w:tc>
      </w:tr>
      <w:tr>
        <w:trPr>
          <w:trHeight w:val="246"/>
        </w:trPr>
        <w:tc>
          <w:tcPr>
            <w:tcW w:w="1280" w:type="dxa"/>
            <w:vAlign w:val="bottom"/>
          </w:tcPr>
          <w:p>
            <w:pPr>
              <w:ind w:left="120"/>
              <w:spacing w:after="0"/>
              <w:rPr>
                <w:sz w:val="20"/>
                <w:szCs w:val="20"/>
                <w:color w:val="auto"/>
              </w:rPr>
            </w:pPr>
            <w:r>
              <w:rPr>
                <w:rFonts w:ascii="Arial" w:cs="Arial" w:eastAsia="Arial" w:hAnsi="Arial"/>
                <w:sz w:val="20"/>
                <w:szCs w:val="20"/>
                <w:color w:val="auto"/>
              </w:rPr>
              <w:t>Público</w:t>
            </w:r>
          </w:p>
        </w:tc>
        <w:tc>
          <w:tcPr>
            <w:tcW w:w="7720" w:type="dxa"/>
            <w:vAlign w:val="bottom"/>
          </w:tcPr>
          <w:p>
            <w:pPr>
              <w:ind w:left="3600"/>
              <w:spacing w:after="0"/>
              <w:rPr>
                <w:sz w:val="20"/>
                <w:szCs w:val="20"/>
                <w:color w:val="auto"/>
              </w:rPr>
            </w:pPr>
            <w:r>
              <w:rPr>
                <w:rFonts w:ascii="Arial" w:cs="Arial" w:eastAsia="Arial" w:hAnsi="Arial"/>
                <w:sz w:val="20"/>
                <w:szCs w:val="20"/>
                <w:color w:val="auto"/>
              </w:rPr>
              <w:t>7%</w:t>
            </w:r>
          </w:p>
        </w:tc>
      </w:tr>
      <w:tr>
        <w:trPr>
          <w:trHeight w:val="57"/>
        </w:trPr>
        <w:tc>
          <w:tcPr>
            <w:tcW w:w="1280" w:type="dxa"/>
            <w:vAlign w:val="bottom"/>
            <w:tcBorders>
              <w:bottom w:val="single" w:sz="8" w:color="auto"/>
            </w:tcBorders>
          </w:tcPr>
          <w:p>
            <w:pPr>
              <w:spacing w:after="0"/>
              <w:rPr>
                <w:sz w:val="4"/>
                <w:szCs w:val="4"/>
                <w:color w:val="auto"/>
              </w:rPr>
            </w:pPr>
          </w:p>
        </w:tc>
        <w:tc>
          <w:tcPr>
            <w:tcW w:w="7720" w:type="dxa"/>
            <w:vAlign w:val="bottom"/>
            <w:tcBorders>
              <w:bottom w:val="single" w:sz="8" w:color="auto"/>
            </w:tcBorders>
          </w:tcPr>
          <w:p>
            <w:pPr>
              <w:spacing w:after="0"/>
              <w:rPr>
                <w:sz w:val="4"/>
                <w:szCs w:val="4"/>
                <w:color w:val="auto"/>
              </w:rPr>
            </w:pPr>
          </w:p>
        </w:tc>
      </w:tr>
      <w:tr>
        <w:trPr>
          <w:trHeight w:val="320"/>
        </w:trPr>
        <w:tc>
          <w:tcPr>
            <w:tcW w:w="1280" w:type="dxa"/>
            <w:vAlign w:val="bottom"/>
          </w:tcPr>
          <w:p>
            <w:pPr>
              <w:spacing w:after="0"/>
              <w:rPr>
                <w:sz w:val="24"/>
                <w:szCs w:val="24"/>
                <w:color w:val="auto"/>
              </w:rPr>
            </w:pPr>
          </w:p>
        </w:tc>
        <w:tc>
          <w:tcPr>
            <w:tcW w:w="7720" w:type="dxa"/>
            <w:vAlign w:val="bottom"/>
          </w:tcPr>
          <w:p>
            <w:pPr>
              <w:ind w:left="48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pelo autor, com dados do Banco Central</w:t>
            </w:r>
          </w:p>
        </w:tc>
      </w:tr>
    </w:tbl>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No Brasil, o Sistema Financeiro Nacional (SFN) consolidado é composto por um conjunto de instituições e subsistemas com a divisão em Bancos e caixas econômi-cas, Corretoras de Câmbio, Fintechs, Administradora de consórcios, Cooperativa de crédito, Instituições de pagamento, Corretora e a distribuidora e outras instituições não bancárias (BRASIL, 1964).</w:t>
      </w:r>
    </w:p>
    <w:p>
      <w:pPr>
        <w:spacing w:after="0" w:line="101" w:lineRule="exact"/>
        <w:rPr>
          <w:sz w:val="20"/>
          <w:szCs w:val="20"/>
          <w:color w:val="auto"/>
        </w:rPr>
      </w:pPr>
    </w:p>
    <w:p>
      <w:pPr>
        <w:jc w:val="both"/>
        <w:ind w:left="260" w:right="40" w:firstLine="858"/>
        <w:spacing w:after="0" w:line="419" w:lineRule="auto"/>
        <w:rPr>
          <w:sz w:val="20"/>
          <w:szCs w:val="20"/>
          <w:color w:val="auto"/>
        </w:rPr>
      </w:pPr>
      <w:r>
        <w:rPr>
          <w:rFonts w:ascii="Arial" w:cs="Arial" w:eastAsia="Arial" w:hAnsi="Arial"/>
          <w:sz w:val="24"/>
          <w:szCs w:val="24"/>
          <w:color w:val="auto"/>
        </w:rPr>
        <w:t>O setor bancário está sob hierarquia normativa do Conselho Monetário Nacional (CMN) e supervisão do Banco Central do Brasil (BACEN). As instituições que formam o setor bancário assumem o papel de operadoras no mercado de crédito, atuando como intermediadoras financeiras junto às pessoas físicas e jurídicas, podendo ser de caráter público ou privado (BRASIL, 1964).</w:t>
      </w:r>
    </w:p>
    <w:p>
      <w:pPr>
        <w:spacing w:after="0" w:line="101" w:lineRule="exact"/>
        <w:rPr>
          <w:sz w:val="20"/>
          <w:szCs w:val="20"/>
          <w:color w:val="auto"/>
        </w:rPr>
      </w:pPr>
    </w:p>
    <w:p>
      <w:pPr>
        <w:jc w:val="both"/>
        <w:ind w:left="260" w:firstLine="858"/>
        <w:spacing w:after="0" w:line="440" w:lineRule="auto"/>
        <w:rPr>
          <w:sz w:val="20"/>
          <w:szCs w:val="20"/>
          <w:color w:val="auto"/>
        </w:rPr>
      </w:pPr>
      <w:r>
        <w:rPr>
          <w:rFonts w:ascii="Arial" w:cs="Arial" w:eastAsia="Arial" w:hAnsi="Arial"/>
          <w:sz w:val="23"/>
          <w:szCs w:val="23"/>
          <w:color w:val="auto"/>
        </w:rPr>
        <w:t>As modalidades de instituições no setor bancário brasileiro são os Bancos Comerciais, Bancos de Investimentos, Bancos de Desenvolvimento, Bancos de Câmbio, Bancos Múltiplos e Caixas Econômicas. Atualmente na modalidade de Caixas Econô-micas somente a Caixa Econômica Federal está em funcionamento (BRASIL, 1964) (CMN, 1994) (CMN, 1999) (CMN, 1976) (CMN, 2006) (BRASIL, 1969).</w:t>
      </w:r>
    </w:p>
    <w:p>
      <w:pPr>
        <w:spacing w:after="0" w:line="86"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Na Tabela 2 é possível verificar, no ano de 2019, a quantidade de instituições por modalidade com uma massiva concentração em bancos múltiplos, com 76%,3 de participação, onde apenas 11,5% das instituições bancárias operam exclusivamente com carteira comercial, 6,3% exclusivamente com investimento, 2,89% em câmbio, 2,31% em desenvolvimento, e a Caixa econômica Federal.</w:t>
      </w:r>
    </w:p>
    <w:p>
      <w:pPr>
        <w:spacing w:after="0" w:line="101" w:lineRule="exact"/>
        <w:rPr>
          <w:sz w:val="20"/>
          <w:szCs w:val="20"/>
          <w:color w:val="auto"/>
        </w:rPr>
      </w:pPr>
    </w:p>
    <w:p>
      <w:pPr>
        <w:jc w:val="both"/>
        <w:ind w:left="260" w:firstLine="850"/>
        <w:spacing w:after="0" w:line="423" w:lineRule="auto"/>
        <w:rPr>
          <w:sz w:val="20"/>
          <w:szCs w:val="20"/>
          <w:color w:val="auto"/>
        </w:rPr>
      </w:pPr>
      <w:r>
        <w:rPr>
          <w:rFonts w:ascii="Arial" w:cs="Arial" w:eastAsia="Arial" w:hAnsi="Arial"/>
          <w:sz w:val="24"/>
          <w:szCs w:val="24"/>
          <w:color w:val="auto"/>
        </w:rPr>
        <w:t>Entre as características gerais na formalização das instituições bancárias, estão a obrigatoriedade de serem instituídas como sociedades anônimas, possuirem em sua denominação as nomenclaturas: banco, banco de investimento, banco de</w:t>
      </w:r>
    </w:p>
    <w:p>
      <w:pPr>
        <w:sectPr>
          <w:pgSz w:w="11900" w:h="16838" w:orient="portrait"/>
          <w:cols w:equalWidth="0" w:num="1">
            <w:col w:w="9360"/>
          </w:cols>
          <w:pgMar w:left="1440" w:top="991" w:right="1106" w:bottom="678" w:gutter="0" w:footer="0" w:header="0"/>
        </w:sectPr>
      </w:pPr>
    </w:p>
    <w:p>
      <w:pPr>
        <w:ind w:left="9060"/>
        <w:spacing w:after="0"/>
        <w:rPr>
          <w:sz w:val="20"/>
          <w:szCs w:val="20"/>
          <w:color w:val="auto"/>
        </w:rPr>
      </w:pPr>
      <w:r>
        <w:rPr>
          <w:rFonts w:ascii="Arial" w:cs="Arial" w:eastAsia="Arial" w:hAnsi="Arial"/>
          <w:sz w:val="24"/>
          <w:szCs w:val="24"/>
          <w:color w:val="auto"/>
        </w:rPr>
        <w:t>14</w:t>
      </w:r>
    </w:p>
    <w:p>
      <w:pPr>
        <w:spacing w:after="0" w:line="200" w:lineRule="exact"/>
        <w:rPr>
          <w:sz w:val="20"/>
          <w:szCs w:val="20"/>
          <w:color w:val="auto"/>
        </w:rPr>
      </w:pPr>
    </w:p>
    <w:p>
      <w:pPr>
        <w:spacing w:after="0" w:line="215" w:lineRule="exact"/>
        <w:rPr>
          <w:sz w:val="20"/>
          <w:szCs w:val="20"/>
          <w:color w:val="auto"/>
        </w:rPr>
      </w:pPr>
    </w:p>
    <w:p>
      <w:pPr>
        <w:ind w:left="480"/>
        <w:spacing w:after="0"/>
        <w:rPr>
          <w:sz w:val="20"/>
          <w:szCs w:val="20"/>
          <w:color w:val="auto"/>
        </w:rPr>
      </w:pPr>
      <w:r>
        <w:rPr>
          <w:rFonts w:ascii="Arial" w:cs="Arial" w:eastAsia="Arial" w:hAnsi="Arial"/>
          <w:sz w:val="22"/>
          <w:szCs w:val="22"/>
          <w:color w:val="auto"/>
        </w:rPr>
        <w:t>Tabela 2 – Composição do setor bancário brasileiro por segmento em dezembro de 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154940</wp:posOffset>
                </wp:positionV>
                <wp:extent cx="549529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529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445.65pt,12.2pt" o:allowincell="f" strokecolor="#000000" strokeweight="0.936pt"/>
            </w:pict>
          </mc:Fallback>
        </mc:AlternateContent>
      </w:r>
    </w:p>
    <w:p>
      <w:pPr>
        <w:spacing w:after="0" w:line="278" w:lineRule="exact"/>
        <w:rPr>
          <w:sz w:val="20"/>
          <w:szCs w:val="20"/>
          <w:color w:val="auto"/>
        </w:rPr>
      </w:pPr>
    </w:p>
    <w:tbl>
      <w:tblPr>
        <w:tblLayout w:type="fixed"/>
        <w:tblInd w:w="260" w:type="dxa"/>
        <w:tblCellMar>
          <w:top w:w="0" w:type="dxa"/>
          <w:left w:w="0" w:type="dxa"/>
          <w:bottom w:w="0" w:type="dxa"/>
          <w:right w:w="0" w:type="dxa"/>
        </w:tblCellMar>
      </w:tblPr>
      <w:tr>
        <w:trPr>
          <w:trHeight w:val="246"/>
        </w:trPr>
        <w:tc>
          <w:tcPr>
            <w:tcW w:w="3480" w:type="dxa"/>
            <w:vAlign w:val="bottom"/>
          </w:tcPr>
          <w:p>
            <w:pPr>
              <w:ind w:left="120"/>
              <w:spacing w:after="0"/>
              <w:rPr>
                <w:sz w:val="20"/>
                <w:szCs w:val="20"/>
                <w:color w:val="auto"/>
              </w:rPr>
            </w:pPr>
            <w:r>
              <w:rPr>
                <w:rFonts w:ascii="Arial" w:cs="Arial" w:eastAsia="Arial" w:hAnsi="Arial"/>
                <w:sz w:val="20"/>
                <w:szCs w:val="20"/>
                <w:color w:val="auto"/>
              </w:rPr>
              <w:t>Segmento</w:t>
            </w:r>
          </w:p>
        </w:tc>
        <w:tc>
          <w:tcPr>
            <w:tcW w:w="2100" w:type="dxa"/>
            <w:vAlign w:val="bottom"/>
          </w:tcPr>
          <w:p>
            <w:pPr>
              <w:jc w:val="right"/>
              <w:ind w:right="20"/>
              <w:spacing w:after="0"/>
              <w:rPr>
                <w:sz w:val="20"/>
                <w:szCs w:val="20"/>
                <w:color w:val="auto"/>
              </w:rPr>
            </w:pPr>
            <w:r>
              <w:rPr>
                <w:rFonts w:ascii="Arial" w:cs="Arial" w:eastAsia="Arial" w:hAnsi="Arial"/>
                <w:sz w:val="20"/>
                <w:szCs w:val="20"/>
                <w:color w:val="auto"/>
              </w:rPr>
              <w:t>Quantidade</w:t>
            </w:r>
          </w:p>
        </w:tc>
        <w:tc>
          <w:tcPr>
            <w:tcW w:w="3100" w:type="dxa"/>
            <w:vAlign w:val="bottom"/>
          </w:tcPr>
          <w:p>
            <w:pPr>
              <w:ind w:left="120"/>
              <w:spacing w:after="0"/>
              <w:rPr>
                <w:sz w:val="20"/>
                <w:szCs w:val="20"/>
                <w:color w:val="auto"/>
              </w:rPr>
            </w:pPr>
            <w:r>
              <w:rPr>
                <w:rFonts w:ascii="Arial" w:cs="Arial" w:eastAsia="Arial" w:hAnsi="Arial"/>
                <w:sz w:val="20"/>
                <w:szCs w:val="20"/>
                <w:color w:val="auto"/>
              </w:rPr>
              <w:t>Participação</w:t>
            </w:r>
          </w:p>
        </w:tc>
      </w:tr>
      <w:tr>
        <w:trPr>
          <w:trHeight w:val="57"/>
        </w:trPr>
        <w:tc>
          <w:tcPr>
            <w:tcW w:w="3480" w:type="dxa"/>
            <w:vAlign w:val="bottom"/>
            <w:tcBorders>
              <w:bottom w:val="single" w:sz="8" w:color="auto"/>
            </w:tcBorders>
          </w:tcPr>
          <w:p>
            <w:pPr>
              <w:spacing w:after="0"/>
              <w:rPr>
                <w:sz w:val="4"/>
                <w:szCs w:val="4"/>
                <w:color w:val="auto"/>
              </w:rPr>
            </w:pPr>
          </w:p>
        </w:tc>
        <w:tc>
          <w:tcPr>
            <w:tcW w:w="2100" w:type="dxa"/>
            <w:vAlign w:val="bottom"/>
            <w:tcBorders>
              <w:bottom w:val="single" w:sz="8" w:color="auto"/>
            </w:tcBorders>
          </w:tcPr>
          <w:p>
            <w:pPr>
              <w:spacing w:after="0"/>
              <w:rPr>
                <w:sz w:val="4"/>
                <w:szCs w:val="4"/>
                <w:color w:val="auto"/>
              </w:rPr>
            </w:pPr>
          </w:p>
        </w:tc>
        <w:tc>
          <w:tcPr>
            <w:tcW w:w="3100" w:type="dxa"/>
            <w:vAlign w:val="bottom"/>
            <w:tcBorders>
              <w:bottom w:val="single" w:sz="8" w:color="auto"/>
            </w:tcBorders>
          </w:tcPr>
          <w:p>
            <w:pPr>
              <w:spacing w:after="0"/>
              <w:rPr>
                <w:sz w:val="4"/>
                <w:szCs w:val="4"/>
                <w:color w:val="auto"/>
              </w:rPr>
            </w:pPr>
          </w:p>
        </w:tc>
      </w:tr>
      <w:tr>
        <w:trPr>
          <w:trHeight w:val="275"/>
        </w:trPr>
        <w:tc>
          <w:tcPr>
            <w:tcW w:w="3480" w:type="dxa"/>
            <w:vAlign w:val="bottom"/>
          </w:tcPr>
          <w:p>
            <w:pPr>
              <w:ind w:left="120"/>
              <w:spacing w:after="0"/>
              <w:rPr>
                <w:sz w:val="20"/>
                <w:szCs w:val="20"/>
                <w:color w:val="auto"/>
              </w:rPr>
            </w:pPr>
            <w:r>
              <w:rPr>
                <w:rFonts w:ascii="Arial" w:cs="Arial" w:eastAsia="Arial" w:hAnsi="Arial"/>
                <w:sz w:val="20"/>
                <w:szCs w:val="20"/>
                <w:color w:val="auto"/>
              </w:rPr>
              <w:t>Banco Múltiplo</w:t>
            </w:r>
          </w:p>
        </w:tc>
        <w:tc>
          <w:tcPr>
            <w:tcW w:w="2100" w:type="dxa"/>
            <w:vAlign w:val="bottom"/>
          </w:tcPr>
          <w:p>
            <w:pPr>
              <w:jc w:val="right"/>
              <w:ind w:right="20"/>
              <w:spacing w:after="0"/>
              <w:rPr>
                <w:sz w:val="20"/>
                <w:szCs w:val="20"/>
                <w:color w:val="auto"/>
              </w:rPr>
            </w:pPr>
            <w:r>
              <w:rPr>
                <w:rFonts w:ascii="Arial" w:cs="Arial" w:eastAsia="Arial" w:hAnsi="Arial"/>
                <w:sz w:val="20"/>
                <w:szCs w:val="20"/>
                <w:color w:val="auto"/>
              </w:rPr>
              <w:t>132</w:t>
            </w:r>
          </w:p>
        </w:tc>
        <w:tc>
          <w:tcPr>
            <w:tcW w:w="3100" w:type="dxa"/>
            <w:vAlign w:val="bottom"/>
          </w:tcPr>
          <w:p>
            <w:pPr>
              <w:ind w:left="120"/>
              <w:spacing w:after="0"/>
              <w:rPr>
                <w:sz w:val="20"/>
                <w:szCs w:val="20"/>
                <w:color w:val="auto"/>
              </w:rPr>
            </w:pPr>
            <w:r>
              <w:rPr>
                <w:rFonts w:ascii="Arial" w:cs="Arial" w:eastAsia="Arial" w:hAnsi="Arial"/>
                <w:sz w:val="20"/>
                <w:szCs w:val="20"/>
                <w:color w:val="auto"/>
              </w:rPr>
              <w:t>76.30%</w:t>
            </w:r>
          </w:p>
        </w:tc>
      </w:tr>
      <w:tr>
        <w:trPr>
          <w:trHeight w:val="239"/>
        </w:trPr>
        <w:tc>
          <w:tcPr>
            <w:tcW w:w="3480" w:type="dxa"/>
            <w:vAlign w:val="bottom"/>
          </w:tcPr>
          <w:p>
            <w:pPr>
              <w:ind w:left="120"/>
              <w:spacing w:after="0"/>
              <w:rPr>
                <w:sz w:val="20"/>
                <w:szCs w:val="20"/>
                <w:color w:val="auto"/>
              </w:rPr>
            </w:pPr>
            <w:r>
              <w:rPr>
                <w:rFonts w:ascii="Arial" w:cs="Arial" w:eastAsia="Arial" w:hAnsi="Arial"/>
                <w:sz w:val="20"/>
                <w:szCs w:val="20"/>
                <w:color w:val="auto"/>
              </w:rPr>
              <w:t>Banco Comercial</w:t>
            </w:r>
          </w:p>
        </w:tc>
        <w:tc>
          <w:tcPr>
            <w:tcW w:w="2100" w:type="dxa"/>
            <w:vAlign w:val="bottom"/>
          </w:tcPr>
          <w:p>
            <w:pPr>
              <w:jc w:val="right"/>
              <w:ind w:right="20"/>
              <w:spacing w:after="0"/>
              <w:rPr>
                <w:sz w:val="20"/>
                <w:szCs w:val="20"/>
                <w:color w:val="auto"/>
              </w:rPr>
            </w:pPr>
            <w:r>
              <w:rPr>
                <w:rFonts w:ascii="Arial" w:cs="Arial" w:eastAsia="Arial" w:hAnsi="Arial"/>
                <w:sz w:val="20"/>
                <w:szCs w:val="20"/>
                <w:color w:val="auto"/>
              </w:rPr>
              <w:t>20</w:t>
            </w:r>
          </w:p>
        </w:tc>
        <w:tc>
          <w:tcPr>
            <w:tcW w:w="3100" w:type="dxa"/>
            <w:vAlign w:val="bottom"/>
          </w:tcPr>
          <w:p>
            <w:pPr>
              <w:ind w:left="120"/>
              <w:spacing w:after="0"/>
              <w:rPr>
                <w:sz w:val="20"/>
                <w:szCs w:val="20"/>
                <w:color w:val="auto"/>
              </w:rPr>
            </w:pPr>
            <w:r>
              <w:rPr>
                <w:rFonts w:ascii="Arial" w:cs="Arial" w:eastAsia="Arial" w:hAnsi="Arial"/>
                <w:sz w:val="20"/>
                <w:szCs w:val="20"/>
                <w:color w:val="auto"/>
              </w:rPr>
              <w:t>11.56%</w:t>
            </w:r>
          </w:p>
        </w:tc>
      </w:tr>
      <w:tr>
        <w:trPr>
          <w:trHeight w:val="239"/>
        </w:trPr>
        <w:tc>
          <w:tcPr>
            <w:tcW w:w="3480" w:type="dxa"/>
            <w:vAlign w:val="bottom"/>
          </w:tcPr>
          <w:p>
            <w:pPr>
              <w:ind w:left="120"/>
              <w:spacing w:after="0"/>
              <w:rPr>
                <w:sz w:val="20"/>
                <w:szCs w:val="20"/>
                <w:color w:val="auto"/>
              </w:rPr>
            </w:pPr>
            <w:r>
              <w:rPr>
                <w:rFonts w:ascii="Arial" w:cs="Arial" w:eastAsia="Arial" w:hAnsi="Arial"/>
                <w:sz w:val="20"/>
                <w:szCs w:val="20"/>
                <w:color w:val="auto"/>
              </w:rPr>
              <w:t>Banco de Investimento</w:t>
            </w:r>
          </w:p>
        </w:tc>
        <w:tc>
          <w:tcPr>
            <w:tcW w:w="2100" w:type="dxa"/>
            <w:vAlign w:val="bottom"/>
          </w:tcPr>
          <w:p>
            <w:pPr>
              <w:jc w:val="right"/>
              <w:ind w:right="20"/>
              <w:spacing w:after="0"/>
              <w:rPr>
                <w:sz w:val="20"/>
                <w:szCs w:val="20"/>
                <w:color w:val="auto"/>
              </w:rPr>
            </w:pPr>
            <w:r>
              <w:rPr>
                <w:rFonts w:ascii="Arial" w:cs="Arial" w:eastAsia="Arial" w:hAnsi="Arial"/>
                <w:sz w:val="20"/>
                <w:szCs w:val="20"/>
                <w:color w:val="auto"/>
              </w:rPr>
              <w:t>11</w:t>
            </w:r>
          </w:p>
        </w:tc>
        <w:tc>
          <w:tcPr>
            <w:tcW w:w="3100" w:type="dxa"/>
            <w:vAlign w:val="bottom"/>
          </w:tcPr>
          <w:p>
            <w:pPr>
              <w:ind w:left="120"/>
              <w:spacing w:after="0"/>
              <w:rPr>
                <w:sz w:val="20"/>
                <w:szCs w:val="20"/>
                <w:color w:val="auto"/>
              </w:rPr>
            </w:pPr>
            <w:r>
              <w:rPr>
                <w:rFonts w:ascii="Arial" w:cs="Arial" w:eastAsia="Arial" w:hAnsi="Arial"/>
                <w:sz w:val="20"/>
                <w:szCs w:val="20"/>
                <w:color w:val="auto"/>
              </w:rPr>
              <w:t>6.36%</w:t>
            </w:r>
          </w:p>
        </w:tc>
      </w:tr>
      <w:tr>
        <w:trPr>
          <w:trHeight w:val="239"/>
        </w:trPr>
        <w:tc>
          <w:tcPr>
            <w:tcW w:w="3480" w:type="dxa"/>
            <w:vAlign w:val="bottom"/>
          </w:tcPr>
          <w:p>
            <w:pPr>
              <w:ind w:left="120"/>
              <w:spacing w:after="0"/>
              <w:rPr>
                <w:sz w:val="20"/>
                <w:szCs w:val="20"/>
                <w:color w:val="auto"/>
              </w:rPr>
            </w:pPr>
            <w:r>
              <w:rPr>
                <w:rFonts w:ascii="Arial" w:cs="Arial" w:eastAsia="Arial" w:hAnsi="Arial"/>
                <w:sz w:val="20"/>
                <w:szCs w:val="20"/>
                <w:color w:val="auto"/>
              </w:rPr>
              <w:t>Banco de Câmbio</w:t>
            </w:r>
          </w:p>
        </w:tc>
        <w:tc>
          <w:tcPr>
            <w:tcW w:w="2100" w:type="dxa"/>
            <w:vAlign w:val="bottom"/>
          </w:tcPr>
          <w:p>
            <w:pPr>
              <w:jc w:val="right"/>
              <w:ind w:right="20"/>
              <w:spacing w:after="0"/>
              <w:rPr>
                <w:sz w:val="20"/>
                <w:szCs w:val="20"/>
                <w:color w:val="auto"/>
              </w:rPr>
            </w:pPr>
            <w:r>
              <w:rPr>
                <w:rFonts w:ascii="Arial" w:cs="Arial" w:eastAsia="Arial" w:hAnsi="Arial"/>
                <w:sz w:val="20"/>
                <w:szCs w:val="20"/>
                <w:color w:val="auto"/>
              </w:rPr>
              <w:t>5</w:t>
            </w:r>
          </w:p>
        </w:tc>
        <w:tc>
          <w:tcPr>
            <w:tcW w:w="3100" w:type="dxa"/>
            <w:vAlign w:val="bottom"/>
          </w:tcPr>
          <w:p>
            <w:pPr>
              <w:ind w:left="120"/>
              <w:spacing w:after="0"/>
              <w:rPr>
                <w:sz w:val="20"/>
                <w:szCs w:val="20"/>
                <w:color w:val="auto"/>
              </w:rPr>
            </w:pPr>
            <w:r>
              <w:rPr>
                <w:rFonts w:ascii="Arial" w:cs="Arial" w:eastAsia="Arial" w:hAnsi="Arial"/>
                <w:sz w:val="20"/>
                <w:szCs w:val="20"/>
                <w:color w:val="auto"/>
              </w:rPr>
              <w:t>2.89%</w:t>
            </w:r>
          </w:p>
        </w:tc>
      </w:tr>
      <w:tr>
        <w:trPr>
          <w:trHeight w:val="246"/>
        </w:trPr>
        <w:tc>
          <w:tcPr>
            <w:tcW w:w="3480" w:type="dxa"/>
            <w:vAlign w:val="bottom"/>
          </w:tcPr>
          <w:p>
            <w:pPr>
              <w:ind w:left="120"/>
              <w:spacing w:after="0"/>
              <w:rPr>
                <w:sz w:val="20"/>
                <w:szCs w:val="20"/>
                <w:color w:val="auto"/>
              </w:rPr>
            </w:pPr>
            <w:r>
              <w:rPr>
                <w:rFonts w:ascii="Arial" w:cs="Arial" w:eastAsia="Arial" w:hAnsi="Arial"/>
                <w:sz w:val="20"/>
                <w:szCs w:val="20"/>
                <w:color w:val="auto"/>
              </w:rPr>
              <w:t>Banco de Desenvolvimento</w:t>
            </w:r>
          </w:p>
        </w:tc>
        <w:tc>
          <w:tcPr>
            <w:tcW w:w="2100" w:type="dxa"/>
            <w:vAlign w:val="bottom"/>
          </w:tcPr>
          <w:p>
            <w:pPr>
              <w:jc w:val="right"/>
              <w:ind w:right="20"/>
              <w:spacing w:after="0"/>
              <w:rPr>
                <w:sz w:val="20"/>
                <w:szCs w:val="20"/>
                <w:color w:val="auto"/>
              </w:rPr>
            </w:pPr>
            <w:r>
              <w:rPr>
                <w:rFonts w:ascii="Arial" w:cs="Arial" w:eastAsia="Arial" w:hAnsi="Arial"/>
                <w:sz w:val="20"/>
                <w:szCs w:val="20"/>
                <w:color w:val="auto"/>
              </w:rPr>
              <w:t>4</w:t>
            </w:r>
          </w:p>
        </w:tc>
        <w:tc>
          <w:tcPr>
            <w:tcW w:w="3100" w:type="dxa"/>
            <w:vAlign w:val="bottom"/>
          </w:tcPr>
          <w:p>
            <w:pPr>
              <w:ind w:left="120"/>
              <w:spacing w:after="0"/>
              <w:rPr>
                <w:sz w:val="20"/>
                <w:szCs w:val="20"/>
                <w:color w:val="auto"/>
              </w:rPr>
            </w:pPr>
            <w:r>
              <w:rPr>
                <w:rFonts w:ascii="Arial" w:cs="Arial" w:eastAsia="Arial" w:hAnsi="Arial"/>
                <w:sz w:val="20"/>
                <w:szCs w:val="20"/>
                <w:color w:val="auto"/>
              </w:rPr>
              <w:t>2.31%</w:t>
            </w:r>
          </w:p>
        </w:tc>
      </w:tr>
      <w:tr>
        <w:trPr>
          <w:trHeight w:val="356"/>
        </w:trPr>
        <w:tc>
          <w:tcPr>
            <w:tcW w:w="3480" w:type="dxa"/>
            <w:vAlign w:val="bottom"/>
          </w:tcPr>
          <w:p>
            <w:pPr>
              <w:ind w:left="120"/>
              <w:spacing w:after="0"/>
              <w:rPr>
                <w:sz w:val="20"/>
                <w:szCs w:val="20"/>
                <w:color w:val="auto"/>
              </w:rPr>
            </w:pPr>
            <w:r>
              <w:rPr>
                <w:rFonts w:ascii="Arial" w:cs="Arial" w:eastAsia="Arial" w:hAnsi="Arial"/>
                <w:sz w:val="20"/>
                <w:szCs w:val="20"/>
                <w:color w:val="auto"/>
              </w:rPr>
              <w:t>Caixas Econômicas</w:t>
            </w:r>
          </w:p>
        </w:tc>
        <w:tc>
          <w:tcPr>
            <w:tcW w:w="2100" w:type="dxa"/>
            <w:vAlign w:val="bottom"/>
          </w:tcPr>
          <w:p>
            <w:pPr>
              <w:jc w:val="right"/>
              <w:ind w:right="20"/>
              <w:spacing w:after="0"/>
              <w:rPr>
                <w:sz w:val="20"/>
                <w:szCs w:val="20"/>
                <w:color w:val="auto"/>
              </w:rPr>
            </w:pPr>
            <w:r>
              <w:rPr>
                <w:rFonts w:ascii="Arial" w:cs="Arial" w:eastAsia="Arial" w:hAnsi="Arial"/>
                <w:sz w:val="20"/>
                <w:szCs w:val="20"/>
                <w:color w:val="auto"/>
              </w:rPr>
              <w:t>1</w:t>
            </w:r>
          </w:p>
        </w:tc>
        <w:tc>
          <w:tcPr>
            <w:tcW w:w="3100" w:type="dxa"/>
            <w:vAlign w:val="bottom"/>
          </w:tcPr>
          <w:p>
            <w:pPr>
              <w:ind w:left="120"/>
              <w:spacing w:after="0"/>
              <w:rPr>
                <w:sz w:val="20"/>
                <w:szCs w:val="20"/>
                <w:color w:val="auto"/>
              </w:rPr>
            </w:pPr>
            <w:r>
              <w:rPr>
                <w:rFonts w:ascii="Arial" w:cs="Arial" w:eastAsia="Arial" w:hAnsi="Arial"/>
                <w:sz w:val="20"/>
                <w:szCs w:val="20"/>
                <w:color w:val="auto"/>
              </w:rPr>
              <w:t>0.58%</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41910</wp:posOffset>
                </wp:positionV>
                <wp:extent cx="549529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529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3.3pt" to="445.65pt,3.3pt" o:allowincell="f" strokecolor="#000000" strokeweight="0.936pt"/>
            </w:pict>
          </mc:Fallback>
        </mc:AlternateContent>
      </w:r>
    </w:p>
    <w:p>
      <w:pPr>
        <w:spacing w:after="0" w:line="58" w:lineRule="exact"/>
        <w:rPr>
          <w:sz w:val="20"/>
          <w:szCs w:val="20"/>
          <w:color w:val="auto"/>
        </w:rPr>
      </w:pPr>
    </w:p>
    <w:p>
      <w:pPr>
        <w:jc w:val="center"/>
        <w:ind w:right="-23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com dados do Banco Central</w:t>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ind w:left="260" w:firstLine="7"/>
        <w:spacing w:after="0" w:line="460" w:lineRule="auto"/>
        <w:rPr>
          <w:sz w:val="20"/>
          <w:szCs w:val="20"/>
          <w:color w:val="auto"/>
        </w:rPr>
      </w:pPr>
      <w:r>
        <w:rPr>
          <w:rFonts w:ascii="Arial" w:cs="Arial" w:eastAsia="Arial" w:hAnsi="Arial"/>
          <w:sz w:val="23"/>
          <w:szCs w:val="23"/>
          <w:color w:val="auto"/>
        </w:rPr>
        <w:t>desenvolvimento, banco de câmbio, caixa econômica, conforme sua categoria (BRASIL, 1964) (CMN, 1994) (CMN, 1999) (CMN, 1976) (CMN, 2006) (BRASIL, 1969).</w:t>
      </w:r>
    </w:p>
    <w:p>
      <w:pPr>
        <w:spacing w:after="0" w:line="55" w:lineRule="exact"/>
        <w:rPr>
          <w:sz w:val="20"/>
          <w:szCs w:val="20"/>
          <w:color w:val="auto"/>
        </w:rPr>
      </w:pPr>
    </w:p>
    <w:p>
      <w:pPr>
        <w:jc w:val="both"/>
        <w:ind w:left="260" w:firstLine="856"/>
        <w:spacing w:after="0" w:line="419" w:lineRule="auto"/>
        <w:rPr>
          <w:sz w:val="20"/>
          <w:szCs w:val="20"/>
          <w:color w:val="auto"/>
        </w:rPr>
      </w:pPr>
      <w:r>
        <w:rPr>
          <w:rFonts w:ascii="Arial" w:cs="Arial" w:eastAsia="Arial" w:hAnsi="Arial"/>
          <w:sz w:val="24"/>
          <w:szCs w:val="24"/>
          <w:color w:val="auto"/>
        </w:rPr>
        <w:t>Os Bancos Comerciais são instituições financeiras de caráter público ou pri-vado, atuando na intermediação de recursos financeiros de curto e médio prazo para financiamento de atividades comerciais, industriais, serviços para pessoas físicas e terceiros, realizando captações através de operações de depósitos a vista de livre movimento e depósitos a prazo (CMN, 1994).</w:t>
      </w:r>
    </w:p>
    <w:p>
      <w:pPr>
        <w:spacing w:after="0" w:line="94" w:lineRule="exact"/>
        <w:rPr>
          <w:sz w:val="20"/>
          <w:szCs w:val="20"/>
          <w:color w:val="auto"/>
        </w:rPr>
      </w:pPr>
    </w:p>
    <w:p>
      <w:pPr>
        <w:jc w:val="both"/>
        <w:ind w:left="260" w:firstLine="850"/>
        <w:spacing w:after="0" w:line="440" w:lineRule="auto"/>
        <w:rPr>
          <w:sz w:val="20"/>
          <w:szCs w:val="20"/>
          <w:color w:val="auto"/>
        </w:rPr>
      </w:pPr>
      <w:r>
        <w:rPr>
          <w:rFonts w:ascii="Arial" w:cs="Arial" w:eastAsia="Arial" w:hAnsi="Arial"/>
          <w:sz w:val="23"/>
          <w:szCs w:val="23"/>
          <w:color w:val="auto"/>
        </w:rPr>
        <w:t>Na modalidade de Bancos de Investimento, as instituições devem possuir cará-ter privado, podendo operar participações temporárias em sociedades, financiamentos produtivos para ativo fixo e capital de giro e gestão de recursos de terceiros. Realizam captação através de depósitos a prazo, repasses externos e internos e comercialização de cotas de fundos de investimentos que administram (CMN, 1999).</w:t>
      </w:r>
    </w:p>
    <w:p>
      <w:pPr>
        <w:spacing w:after="0" w:line="79" w:lineRule="exact"/>
        <w:rPr>
          <w:sz w:val="20"/>
          <w:szCs w:val="20"/>
          <w:color w:val="auto"/>
        </w:rPr>
      </w:pPr>
    </w:p>
    <w:p>
      <w:pPr>
        <w:jc w:val="both"/>
        <w:ind w:left="260" w:firstLine="856"/>
        <w:spacing w:after="0" w:line="440" w:lineRule="auto"/>
        <w:rPr>
          <w:sz w:val="20"/>
          <w:szCs w:val="20"/>
          <w:color w:val="auto"/>
        </w:rPr>
      </w:pPr>
      <w:r>
        <w:rPr>
          <w:rFonts w:ascii="Arial" w:cs="Arial" w:eastAsia="Arial" w:hAnsi="Arial"/>
          <w:sz w:val="23"/>
          <w:szCs w:val="23"/>
          <w:color w:val="auto"/>
        </w:rPr>
        <w:t>O Bancos de Desenvolvimento são instituições de caráter público, de controle federal ou estadual,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 (CMN, 1976).</w:t>
      </w:r>
    </w:p>
    <w:p>
      <w:pPr>
        <w:spacing w:after="0" w:line="79"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Os Bancos Múltiplos se caracterizam por instituições financeiras que podem assumir caráter público ou privado, com a autorização para realizarem operações ativas e passivas por meio do acúmulo de múltiplas carteiras, sendo elas a comercial, investimento, desenvolvimento, crédito imobiliário, arrendamento mercantil e crédito, financiamento e investimento (CMN, 1994).</w:t>
      </w:r>
    </w:p>
    <w:p>
      <w:pPr>
        <w:sectPr>
          <w:pgSz w:w="11900" w:h="16838" w:orient="portrait"/>
          <w:cols w:equalWidth="0" w:num="1">
            <w:col w:w="9360"/>
          </w:cols>
          <w:pgMar w:left="1440" w:top="991" w:right="1106" w:bottom="195" w:gutter="0" w:footer="0" w:header="0"/>
        </w:sectPr>
      </w:pPr>
    </w:p>
    <w:p>
      <w:pPr>
        <w:ind w:left="9060"/>
        <w:spacing w:after="0"/>
        <w:rPr>
          <w:sz w:val="20"/>
          <w:szCs w:val="20"/>
          <w:color w:val="auto"/>
        </w:rPr>
      </w:pPr>
      <w:r>
        <w:rPr>
          <w:rFonts w:ascii="Arial" w:cs="Arial" w:eastAsia="Arial" w:hAnsi="Arial"/>
          <w:sz w:val="24"/>
          <w:szCs w:val="24"/>
          <w:color w:val="auto"/>
        </w:rPr>
        <w:t>15</w:t>
      </w:r>
    </w:p>
    <w:p>
      <w:pPr>
        <w:spacing w:after="0" w:line="200" w:lineRule="exact"/>
        <w:rPr>
          <w:sz w:val="20"/>
          <w:szCs w:val="20"/>
          <w:color w:val="auto"/>
        </w:rPr>
      </w:pPr>
    </w:p>
    <w:p>
      <w:pPr>
        <w:spacing w:after="0" w:line="246"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Em sua composição os Bancos Múltiplos são obrigados a assumir no mínimo duas carteiras, sendo que de forma obrigatória, uma delas deve ser ou a carteira comercial ou a de investimento. As que optarem por carteira comercial podem realizar captação de recursos via depósito a vista, e somente os Bancos Públicos podem acumular a carteira de desenvolvimento (CMN, 1994).</w:t>
      </w:r>
    </w:p>
    <w:p>
      <w:pPr>
        <w:spacing w:after="0" w:line="101" w:lineRule="exact"/>
        <w:rPr>
          <w:sz w:val="20"/>
          <w:szCs w:val="20"/>
          <w:color w:val="auto"/>
        </w:rPr>
      </w:pPr>
    </w:p>
    <w:p>
      <w:pPr>
        <w:jc w:val="both"/>
        <w:ind w:left="260" w:right="40" w:firstLine="850"/>
        <w:spacing w:after="0" w:line="440" w:lineRule="auto"/>
        <w:rPr>
          <w:sz w:val="20"/>
          <w:szCs w:val="20"/>
          <w:color w:val="auto"/>
        </w:rPr>
      </w:pPr>
      <w:r>
        <w:rPr>
          <w:rFonts w:ascii="Arial" w:cs="Arial" w:eastAsia="Arial" w:hAnsi="Arial"/>
          <w:sz w:val="23"/>
          <w:szCs w:val="23"/>
          <w:color w:val="auto"/>
        </w:rPr>
        <w:t>Os Bancos de Câmbio, são instituições financeiras que possuem autorização para realizar operações de compra e venda de crédito cambial. Entre as operações de crédito estão o financiamento de exportações e importações e antecipação mediante contratos cambiais. Podem captar depósitos em contas com movimentação restrita e sem remuneração, exclusivo às operações cambiais (CMN, 2006).</w:t>
      </w:r>
    </w:p>
    <w:p>
      <w:pPr>
        <w:spacing w:after="0" w:line="86"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detendo o monopólio sobre o penhor de bens pessoais e venda de bilhetes de loteria. (BRASIL, 1969).</w:t>
      </w:r>
    </w:p>
    <w:p>
      <w:pPr>
        <w:spacing w:after="0" w:line="101"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A CEF atua com operações de crédito ao consumidor, para financiamento de bens de consumo duráveis, operações de garantia de penhor industrial e caução de títulos. É integrante do Sistema Financeiro da Habitação (SFH) e Sistema Brasileiro de Poupança e Empréstimo (SBPE), além da detenção centralizado do recolhimento e aplicação dos recursos do FGTS (BRASIL, 1969).</w:t>
      </w:r>
    </w:p>
    <w:p>
      <w:pPr>
        <w:spacing w:after="0" w:line="101" w:lineRule="exact"/>
        <w:rPr>
          <w:sz w:val="20"/>
          <w:szCs w:val="20"/>
          <w:color w:val="auto"/>
        </w:rPr>
      </w:pPr>
    </w:p>
    <w:p>
      <w:pPr>
        <w:jc w:val="both"/>
        <w:ind w:left="260" w:firstLine="850"/>
        <w:spacing w:after="0" w:line="402" w:lineRule="auto"/>
        <w:rPr>
          <w:sz w:val="20"/>
          <w:szCs w:val="20"/>
          <w:color w:val="auto"/>
        </w:rPr>
      </w:pPr>
      <w:r>
        <w:rPr>
          <w:rFonts w:ascii="Arial" w:cs="Arial" w:eastAsia="Arial" w:hAnsi="Arial"/>
          <w:sz w:val="24"/>
          <w:szCs w:val="24"/>
          <w:color w:val="auto"/>
        </w:rPr>
        <w:t>A Figura 1 demonstra a evolução número de instituições bancárias por seg-mento entre 1978 à 2019, podendo ser visualizada uma mudança na composição da estrutura, com significativo aumento de instituições aderindo a modalidades de múltiplas carteiras</w:t>
      </w:r>
      <w:r>
        <w:rPr>
          <w:rFonts w:ascii="Arial" w:cs="Arial" w:eastAsia="Arial" w:hAnsi="Arial"/>
          <w:sz w:val="31"/>
          <w:szCs w:val="31"/>
          <w:color w:val="auto"/>
        </w:rPr>
        <w:t xml:space="preserve"> </w:t>
      </w:r>
      <w:r>
        <w:rPr>
          <w:rFonts w:ascii="Arial" w:cs="Arial" w:eastAsia="Arial" w:hAnsi="Arial"/>
          <w:sz w:val="31"/>
          <w:szCs w:val="31"/>
          <w:color w:val="auto"/>
          <w:vertAlign w:val="superscript"/>
        </w:rPr>
        <w:t>1</w:t>
      </w:r>
      <w:r>
        <w:rPr>
          <w:rFonts w:ascii="Arial" w:cs="Arial" w:eastAsia="Arial" w:hAnsi="Arial"/>
          <w:sz w:val="24"/>
          <w:szCs w:val="24"/>
          <w:color w:val="auto"/>
        </w:rPr>
        <w:t xml:space="preserve"> e redução de instituições que operam exclusivamente com carteira comercial e exclusivamente com carteira de investimento.</w:t>
      </w:r>
    </w:p>
    <w:p>
      <w:pPr>
        <w:spacing w:after="0" w:line="64" w:lineRule="exact"/>
        <w:rPr>
          <w:sz w:val="20"/>
          <w:szCs w:val="20"/>
          <w:color w:val="auto"/>
        </w:rPr>
      </w:pPr>
    </w:p>
    <w:p>
      <w:pPr>
        <w:ind w:left="260" w:right="40" w:firstLine="850"/>
        <w:spacing w:after="0" w:line="460" w:lineRule="auto"/>
        <w:rPr>
          <w:sz w:val="20"/>
          <w:szCs w:val="20"/>
          <w:color w:val="auto"/>
        </w:rPr>
      </w:pPr>
      <w:r>
        <w:rPr>
          <w:rFonts w:ascii="Arial" w:cs="Arial" w:eastAsia="Arial" w:hAnsi="Arial"/>
          <w:sz w:val="23"/>
          <w:szCs w:val="23"/>
          <w:color w:val="auto"/>
        </w:rPr>
        <w:t>A observação sobre o aumento da concentração bancária no Brasil, realizada por Camargo (2009), pode ser visualizada na Figura 2. Entre as metades das décadas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127635</wp:posOffset>
                </wp:positionV>
                <wp:extent cx="230251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0.05pt" to="194.25pt,10.05pt" o:allowincell="f" strokecolor="#000000" strokeweight="0.398pt"/>
            </w:pict>
          </mc:Fallback>
        </mc:AlternateContent>
      </w:r>
    </w:p>
    <w:p>
      <w:pPr>
        <w:sectPr>
          <w:pgSz w:w="11900" w:h="16838" w:orient="portrait"/>
          <w:cols w:equalWidth="0" w:num="1">
            <w:col w:w="9360"/>
          </w:cols>
          <w:pgMar w:left="1440" w:top="991" w:right="1106" w:bottom="509" w:gutter="0" w:footer="0" w:header="0"/>
        </w:sectPr>
      </w:pPr>
    </w:p>
    <w:p>
      <w:pPr>
        <w:spacing w:after="0" w:line="175" w:lineRule="exact"/>
        <w:rPr>
          <w:sz w:val="20"/>
          <w:szCs w:val="20"/>
          <w:color w:val="auto"/>
        </w:rPr>
      </w:pPr>
    </w:p>
    <w:p>
      <w:pPr>
        <w:ind w:left="540" w:hanging="281"/>
        <w:spacing w:after="0"/>
        <w:tabs>
          <w:tab w:leader="none" w:pos="540" w:val="left"/>
        </w:tabs>
        <w:numPr>
          <w:ilvl w:val="0"/>
          <w:numId w:val="8"/>
        </w:numPr>
        <w:rPr>
          <w:rFonts w:ascii="Arial" w:cs="Arial" w:eastAsia="Arial" w:hAnsi="Arial"/>
          <w:sz w:val="27"/>
          <w:szCs w:val="27"/>
          <w:color w:val="auto"/>
          <w:vertAlign w:val="superscript"/>
        </w:rPr>
      </w:pPr>
      <w:r>
        <w:rPr>
          <w:rFonts w:ascii="Arial" w:cs="Arial" w:eastAsia="Arial" w:hAnsi="Arial"/>
          <w:sz w:val="19"/>
          <w:szCs w:val="19"/>
          <w:color w:val="auto"/>
        </w:rPr>
        <w:t>As primeiras instituições com carteira múltipla começaram a operar no ano de 1988</w:t>
      </w:r>
    </w:p>
    <w:p>
      <w:pPr>
        <w:sectPr>
          <w:pgSz w:w="11900" w:h="16838" w:orient="portrait"/>
          <w:cols w:equalWidth="0" w:num="1">
            <w:col w:w="9360"/>
          </w:cols>
          <w:pgMar w:left="1440" w:top="991" w:right="1106" w:bottom="509" w:gutter="0" w:footer="0" w:header="0"/>
          <w:type w:val="continuous"/>
        </w:sectPr>
      </w:pPr>
    </w:p>
    <w:p>
      <w:pPr>
        <w:jc w:val="right"/>
        <w:spacing w:after="0"/>
        <w:rPr>
          <w:sz w:val="20"/>
          <w:szCs w:val="20"/>
          <w:color w:val="auto"/>
        </w:rPr>
      </w:pPr>
      <w:r>
        <w:rPr>
          <w:rFonts w:ascii="Arial" w:cs="Arial" w:eastAsia="Arial" w:hAnsi="Arial"/>
          <w:sz w:val="24"/>
          <w:szCs w:val="24"/>
          <w:color w:val="auto"/>
        </w:rPr>
        <w:t>16</w:t>
      </w:r>
    </w:p>
    <w:p>
      <w:pPr>
        <w:spacing w:after="0" w:line="200" w:lineRule="exact"/>
        <w:rPr>
          <w:sz w:val="20"/>
          <w:szCs w:val="20"/>
          <w:color w:val="auto"/>
        </w:rPr>
      </w:pPr>
    </w:p>
    <w:p>
      <w:pPr>
        <w:spacing w:after="0" w:line="215" w:lineRule="exact"/>
        <w:rPr>
          <w:sz w:val="20"/>
          <w:szCs w:val="20"/>
          <w:color w:val="auto"/>
        </w:rPr>
      </w:pPr>
    </w:p>
    <w:p>
      <w:pPr>
        <w:ind w:left="1780"/>
        <w:spacing w:after="0"/>
        <w:rPr>
          <w:sz w:val="20"/>
          <w:szCs w:val="20"/>
          <w:color w:val="auto"/>
        </w:rPr>
      </w:pPr>
      <w:r>
        <w:rPr>
          <w:rFonts w:ascii="Arial" w:cs="Arial" w:eastAsia="Arial" w:hAnsi="Arial"/>
          <w:sz w:val="22"/>
          <w:szCs w:val="22"/>
          <w:color w:val="auto"/>
        </w:rPr>
        <w:t>Figura 1 – Evolução do setor bancário brasileiro por segmento</w:t>
      </w:r>
    </w:p>
    <w:p>
      <w:pPr>
        <w:sectPr>
          <w:pgSz w:w="11900" w:h="16838" w:orient="portrait"/>
          <w:cols w:equalWidth="0" w:num="1">
            <w:col w:w="9320"/>
          </w:cols>
          <w:pgMar w:left="1440" w:top="991" w:right="1146" w:bottom="427" w:gutter="0" w:footer="0" w:header="0"/>
        </w:sectPr>
      </w:pPr>
    </w:p>
    <w:p>
      <w:pPr>
        <w:spacing w:after="0" w:line="200" w:lineRule="exact"/>
        <w:rPr>
          <w:sz w:val="20"/>
          <w:szCs w:val="20"/>
          <w:color w:val="auto"/>
        </w:rPr>
      </w:pPr>
    </w:p>
    <w:p>
      <w:pPr>
        <w:spacing w:after="0" w:line="264" w:lineRule="exact"/>
        <w:rPr>
          <w:sz w:val="20"/>
          <w:szCs w:val="20"/>
          <w:color w:val="auto"/>
        </w:rPr>
      </w:pPr>
    </w:p>
    <w:p>
      <w:pPr>
        <w:ind w:left="2020"/>
        <w:spacing w:after="0"/>
        <w:rPr>
          <w:sz w:val="20"/>
          <w:szCs w:val="20"/>
          <w:color w:val="auto"/>
        </w:rPr>
      </w:pPr>
      <w:r>
        <w:rPr>
          <w:rFonts w:ascii="Helvetica" w:cs="Helvetica" w:eastAsia="Helvetica" w:hAnsi="Helvetica"/>
          <w:sz w:val="18"/>
          <w:szCs w:val="18"/>
          <w:color w:val="1A1A1A"/>
        </w:rPr>
        <w:t>Banco Comercial</w:t>
      </w:r>
    </w:p>
    <w:p>
      <w:pPr>
        <w:spacing w:after="0" w:line="61" w:lineRule="exact"/>
        <w:rPr>
          <w:sz w:val="20"/>
          <w:szCs w:val="20"/>
          <w:color w:val="auto"/>
        </w:rPr>
      </w:pPr>
    </w:p>
    <w:p>
      <w:pPr>
        <w:ind w:left="1260"/>
        <w:spacing w:after="0"/>
        <w:rPr>
          <w:sz w:val="20"/>
          <w:szCs w:val="20"/>
          <w:color w:val="auto"/>
        </w:rPr>
      </w:pPr>
      <w:r>
        <w:rPr>
          <w:rFonts w:ascii="Helvetica" w:cs="Helvetica" w:eastAsia="Helvetica" w:hAnsi="Helvetica"/>
          <w:sz w:val="18"/>
          <w:szCs w:val="18"/>
          <w:color w:val="4D4D4D"/>
        </w:rPr>
        <w:t>200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1047750</wp:posOffset>
            </wp:positionH>
            <wp:positionV relativeFrom="paragraph">
              <wp:posOffset>-126365</wp:posOffset>
            </wp:positionV>
            <wp:extent cx="1346835" cy="9639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1346835" cy="963930"/>
                    </a:xfrm>
                    <a:prstGeom prst="rect">
                      <a:avLst/>
                    </a:prstGeom>
                    <a:noFill/>
                  </pic:spPr>
                </pic:pic>
              </a:graphicData>
            </a:graphic>
          </wp:anchor>
        </w:drawing>
      </w:r>
    </w:p>
    <w:p>
      <w:pPr>
        <w:spacing w:after="0" w:line="111" w:lineRule="exact"/>
        <w:rPr>
          <w:sz w:val="20"/>
          <w:szCs w:val="20"/>
          <w:color w:val="auto"/>
        </w:rPr>
      </w:pPr>
    </w:p>
    <w:p>
      <w:pPr>
        <w:ind w:left="1260"/>
        <w:spacing w:after="0"/>
        <w:rPr>
          <w:sz w:val="20"/>
          <w:szCs w:val="20"/>
          <w:color w:val="auto"/>
        </w:rPr>
      </w:pPr>
      <w:r>
        <w:rPr>
          <w:rFonts w:ascii="Helvetica" w:cs="Helvetica" w:eastAsia="Helvetica" w:hAnsi="Helvetica"/>
          <w:sz w:val="18"/>
          <w:szCs w:val="18"/>
          <w:color w:val="4D4D4D"/>
        </w:rPr>
        <w:t>150</w:t>
      </w:r>
    </w:p>
    <w:p>
      <w:pPr>
        <w:spacing w:after="0" w:line="131" w:lineRule="exact"/>
        <w:rPr>
          <w:sz w:val="20"/>
          <w:szCs w:val="20"/>
          <w:color w:val="auto"/>
        </w:rPr>
      </w:pPr>
    </w:p>
    <w:p>
      <w:pPr>
        <w:ind w:left="1260"/>
        <w:spacing w:after="0"/>
        <w:rPr>
          <w:sz w:val="20"/>
          <w:szCs w:val="20"/>
          <w:color w:val="auto"/>
        </w:rPr>
      </w:pPr>
      <w:r>
        <w:rPr>
          <w:rFonts w:ascii="Helvetica" w:cs="Helvetica" w:eastAsia="Helvetica" w:hAnsi="Helvetica"/>
          <w:sz w:val="18"/>
          <w:szCs w:val="18"/>
          <w:color w:val="4D4D4D"/>
        </w:rPr>
        <w:t>100</w:t>
      </w:r>
    </w:p>
    <w:p>
      <w:pPr>
        <w:spacing w:after="0" w:line="131" w:lineRule="exact"/>
        <w:rPr>
          <w:sz w:val="20"/>
          <w:szCs w:val="20"/>
          <w:color w:val="auto"/>
        </w:rPr>
      </w:pPr>
    </w:p>
    <w:p>
      <w:pPr>
        <w:ind w:left="1360"/>
        <w:spacing w:after="0"/>
        <w:rPr>
          <w:sz w:val="20"/>
          <w:szCs w:val="20"/>
          <w:color w:val="auto"/>
        </w:rPr>
      </w:pPr>
      <w:r>
        <w:rPr>
          <w:rFonts w:ascii="Helvetica" w:cs="Helvetica" w:eastAsia="Helvetica" w:hAnsi="Helvetica"/>
          <w:sz w:val="18"/>
          <w:szCs w:val="18"/>
          <w:color w:val="4D4D4D"/>
        </w:rPr>
        <w:t>50</w:t>
      </w:r>
    </w:p>
    <w:p>
      <w:pPr>
        <w:spacing w:after="0" w:line="131" w:lineRule="exact"/>
        <w:rPr>
          <w:sz w:val="20"/>
          <w:szCs w:val="20"/>
          <w:color w:val="auto"/>
        </w:rPr>
      </w:pPr>
    </w:p>
    <w:p>
      <w:pPr>
        <w:ind w:left="1460"/>
        <w:spacing w:after="0"/>
        <w:rPr>
          <w:sz w:val="20"/>
          <w:szCs w:val="20"/>
          <w:color w:val="auto"/>
        </w:rPr>
      </w:pPr>
      <w:r>
        <w:rPr>
          <w:rFonts w:ascii="Helvetica" w:cs="Helvetica" w:eastAsia="Helvetica" w:hAnsi="Helvetica"/>
          <w:sz w:val="18"/>
          <w:szCs w:val="18"/>
          <w:color w:val="4D4D4D"/>
        </w:rPr>
        <w:t>0</w:t>
      </w:r>
    </w:p>
    <w:p>
      <w:pPr>
        <w:spacing w:after="0" w:line="144" w:lineRule="exact"/>
        <w:rPr>
          <w:sz w:val="20"/>
          <w:szCs w:val="20"/>
          <w:color w:val="auto"/>
        </w:rPr>
      </w:pPr>
    </w:p>
    <w:p>
      <w:pPr>
        <w:ind w:left="1800"/>
        <w:spacing w:after="0"/>
        <w:rPr>
          <w:sz w:val="20"/>
          <w:szCs w:val="20"/>
          <w:color w:val="auto"/>
        </w:rPr>
      </w:pPr>
      <w:r>
        <w:rPr>
          <w:rFonts w:ascii="Helvetica" w:cs="Helvetica" w:eastAsia="Helvetica" w:hAnsi="Helvetica"/>
          <w:sz w:val="17"/>
          <w:szCs w:val="17"/>
          <w:color w:val="1A1A1A"/>
        </w:rPr>
        <w:t>Banco de Investimento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Helvetica" w:cs="Helvetica" w:eastAsia="Helvetica" w:hAnsi="Helvetica"/>
          <w:sz w:val="17"/>
          <w:szCs w:val="17"/>
          <w:color w:val="1A1A1A"/>
        </w:rPr>
        <w:t>Banco de Câmbio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-214630</wp:posOffset>
            </wp:positionH>
            <wp:positionV relativeFrom="paragraph">
              <wp:posOffset>50165</wp:posOffset>
            </wp:positionV>
            <wp:extent cx="1346835" cy="9639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1346835" cy="9639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140"/>
        <w:spacing w:after="0"/>
        <w:rPr>
          <w:sz w:val="20"/>
          <w:szCs w:val="20"/>
          <w:color w:val="auto"/>
        </w:rPr>
      </w:pPr>
      <w:r>
        <w:rPr>
          <w:rFonts w:ascii="Helvetica" w:cs="Helvetica" w:eastAsia="Helvetica" w:hAnsi="Helvetica"/>
          <w:sz w:val="18"/>
          <w:szCs w:val="18"/>
          <w:color w:val="1A1A1A"/>
        </w:rPr>
        <w:t>Banco Múltiplo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Helvetica" w:cs="Helvetica" w:eastAsia="Helvetica" w:hAnsi="Helvetica"/>
          <w:sz w:val="17"/>
          <w:szCs w:val="17"/>
          <w:color w:val="1A1A1A"/>
        </w:rPr>
        <w:t>Banco de Desenvolvimento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50165</wp:posOffset>
            </wp:positionV>
            <wp:extent cx="1346835" cy="9639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1346835" cy="9639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260"/>
        <w:spacing w:after="0"/>
        <w:rPr>
          <w:sz w:val="20"/>
          <w:szCs w:val="20"/>
          <w:color w:val="auto"/>
        </w:rPr>
      </w:pPr>
      <w:r>
        <w:rPr>
          <w:rFonts w:ascii="Helvetica" w:cs="Helvetica" w:eastAsia="Helvetica" w:hAnsi="Helvetica"/>
          <w:sz w:val="18"/>
          <w:szCs w:val="18"/>
          <w:color w:val="1A1A1A"/>
        </w:rPr>
        <w:t>Caixas Econômicas</w:t>
      </w:r>
    </w:p>
    <w:p>
      <w:pPr>
        <w:spacing w:after="0" w:line="61" w:lineRule="exact"/>
        <w:rPr>
          <w:sz w:val="20"/>
          <w:szCs w:val="20"/>
          <w:color w:val="auto"/>
        </w:rPr>
      </w:pPr>
    </w:p>
    <w:p>
      <w:pPr>
        <w:sectPr>
          <w:pgSz w:w="11900" w:h="16838" w:orient="portrait"/>
          <w:cols w:equalWidth="0" w:num="3">
            <w:col w:w="3620" w:space="600"/>
            <w:col w:w="1380" w:space="520"/>
            <w:col w:w="3200"/>
          </w:cols>
          <w:pgMar w:left="1440" w:top="991" w:right="1146" w:bottom="427" w:gutter="0" w:footer="0" w:header="0"/>
          <w:type w:val="continuous"/>
        </w:sectPr>
      </w:pPr>
    </w:p>
    <w:p>
      <w:pPr>
        <w:ind w:left="1260"/>
        <w:spacing w:after="0"/>
        <w:rPr>
          <w:sz w:val="20"/>
          <w:szCs w:val="20"/>
          <w:color w:val="auto"/>
        </w:rPr>
      </w:pPr>
      <w:r>
        <w:rPr>
          <w:rFonts w:ascii="Helvetica" w:cs="Helvetica" w:eastAsia="Helvetica" w:hAnsi="Helvetica"/>
          <w:sz w:val="18"/>
          <w:szCs w:val="18"/>
          <w:color w:val="4D4D4D"/>
        </w:rPr>
        <w:t>200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1047750</wp:posOffset>
            </wp:positionH>
            <wp:positionV relativeFrom="paragraph">
              <wp:posOffset>-126365</wp:posOffset>
            </wp:positionV>
            <wp:extent cx="4179570" cy="9639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4179570" cy="963930"/>
                    </a:xfrm>
                    <a:prstGeom prst="rect">
                      <a:avLst/>
                    </a:prstGeom>
                    <a:noFill/>
                  </pic:spPr>
                </pic:pic>
              </a:graphicData>
            </a:graphic>
          </wp:anchor>
        </w:drawing>
      </w:r>
    </w:p>
    <w:p>
      <w:pPr>
        <w:spacing w:after="0" w:line="111" w:lineRule="exact"/>
        <w:rPr>
          <w:sz w:val="20"/>
          <w:szCs w:val="20"/>
          <w:color w:val="auto"/>
        </w:rPr>
      </w:pPr>
    </w:p>
    <w:p>
      <w:pPr>
        <w:ind w:left="1260"/>
        <w:spacing w:after="0"/>
        <w:rPr>
          <w:sz w:val="20"/>
          <w:szCs w:val="20"/>
          <w:color w:val="auto"/>
        </w:rPr>
      </w:pPr>
      <w:r>
        <w:rPr>
          <w:rFonts w:ascii="Helvetica" w:cs="Helvetica" w:eastAsia="Helvetica" w:hAnsi="Helvetica"/>
          <w:sz w:val="18"/>
          <w:szCs w:val="18"/>
          <w:color w:val="4D4D4D"/>
        </w:rPr>
        <w:t>150</w:t>
      </w:r>
    </w:p>
    <w:p>
      <w:pPr>
        <w:spacing w:after="0" w:line="131" w:lineRule="exact"/>
        <w:rPr>
          <w:sz w:val="20"/>
          <w:szCs w:val="20"/>
          <w:color w:val="auto"/>
        </w:rPr>
      </w:pPr>
    </w:p>
    <w:p>
      <w:pPr>
        <w:ind w:left="1260"/>
        <w:spacing w:after="0"/>
        <w:rPr>
          <w:sz w:val="20"/>
          <w:szCs w:val="20"/>
          <w:color w:val="auto"/>
        </w:rPr>
      </w:pPr>
      <w:r>
        <w:rPr>
          <w:rFonts w:ascii="Helvetica" w:cs="Helvetica" w:eastAsia="Helvetica" w:hAnsi="Helvetica"/>
          <w:sz w:val="18"/>
          <w:szCs w:val="18"/>
          <w:color w:val="4D4D4D"/>
        </w:rPr>
        <w:t>100</w:t>
      </w:r>
    </w:p>
    <w:p>
      <w:pPr>
        <w:spacing w:after="0" w:line="131" w:lineRule="exact"/>
        <w:rPr>
          <w:sz w:val="20"/>
          <w:szCs w:val="20"/>
          <w:color w:val="auto"/>
        </w:rPr>
      </w:pPr>
    </w:p>
    <w:p>
      <w:pPr>
        <w:ind w:left="1360"/>
        <w:spacing w:after="0"/>
        <w:rPr>
          <w:sz w:val="20"/>
          <w:szCs w:val="20"/>
          <w:color w:val="auto"/>
        </w:rPr>
      </w:pPr>
      <w:r>
        <w:rPr>
          <w:rFonts w:ascii="Helvetica" w:cs="Helvetica" w:eastAsia="Helvetica" w:hAnsi="Helvetica"/>
          <w:sz w:val="18"/>
          <w:szCs w:val="18"/>
          <w:color w:val="4D4D4D"/>
        </w:rPr>
        <w:t>50</w:t>
      </w:r>
    </w:p>
    <w:p>
      <w:pPr>
        <w:spacing w:after="0" w:line="131" w:lineRule="exact"/>
        <w:rPr>
          <w:sz w:val="20"/>
          <w:szCs w:val="20"/>
          <w:color w:val="auto"/>
        </w:rPr>
      </w:pPr>
    </w:p>
    <w:p>
      <w:pPr>
        <w:ind w:left="1460"/>
        <w:spacing w:after="0"/>
        <w:rPr>
          <w:sz w:val="20"/>
          <w:szCs w:val="20"/>
          <w:color w:val="auto"/>
        </w:rPr>
      </w:pPr>
      <w:r>
        <w:rPr>
          <w:rFonts w:ascii="Helvetica" w:cs="Helvetica" w:eastAsia="Helvetica" w:hAnsi="Helvetica"/>
          <w:sz w:val="18"/>
          <w:szCs w:val="18"/>
          <w:color w:val="4D4D4D"/>
        </w:rPr>
        <w:t>0</w:t>
      </w:r>
    </w:p>
    <w:p>
      <w:pPr>
        <w:spacing w:after="0" w:line="25" w:lineRule="exact"/>
        <w:rPr>
          <w:sz w:val="20"/>
          <w:szCs w:val="20"/>
          <w:color w:val="auto"/>
        </w:rPr>
      </w:pPr>
    </w:p>
    <w:p>
      <w:pPr>
        <w:ind w:left="1640"/>
        <w:spacing w:after="0"/>
        <w:rPr>
          <w:sz w:val="20"/>
          <w:szCs w:val="20"/>
          <w:color w:val="auto"/>
        </w:rPr>
      </w:pPr>
      <w:r>
        <w:rPr>
          <w:rFonts w:ascii="Helvetica" w:cs="Helvetica" w:eastAsia="Helvetica" w:hAnsi="Helvetica"/>
          <w:sz w:val="18"/>
          <w:szCs w:val="18"/>
          <w:color w:val="4D4D4D"/>
        </w:rPr>
        <w:t>1980 1990 2000 2010 20201980 1990 2000 2010 20201980 1990 2000 2010 2020</w:t>
      </w:r>
    </w:p>
    <w:p>
      <w:pPr>
        <w:spacing w:after="0" w:line="252"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de dados do Banco Central</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both"/>
        <w:ind w:left="260"/>
        <w:spacing w:after="0" w:line="423" w:lineRule="auto"/>
        <w:rPr>
          <w:sz w:val="20"/>
          <w:szCs w:val="20"/>
          <w:color w:val="auto"/>
        </w:rPr>
      </w:pPr>
      <w:r>
        <w:rPr>
          <w:rFonts w:ascii="Arial" w:cs="Arial" w:eastAsia="Arial" w:hAnsi="Arial"/>
          <w:sz w:val="24"/>
          <w:szCs w:val="24"/>
          <w:color w:val="auto"/>
        </w:rPr>
        <w:t>de 1980 e 1990, com redução da concentração, levando em consideração o número de instituições. Esse cenário passou se inverter a partir de 1994, chegando em 2019 a um nível aproximado ao observado no início da década de 1980.</w:t>
      </w:r>
    </w:p>
    <w:p>
      <w:pPr>
        <w:spacing w:after="0" w:line="27" w:lineRule="exact"/>
        <w:rPr>
          <w:sz w:val="20"/>
          <w:szCs w:val="20"/>
          <w:color w:val="auto"/>
        </w:rPr>
      </w:pPr>
    </w:p>
    <w:p>
      <w:pPr>
        <w:ind w:left="1040"/>
        <w:spacing w:after="0"/>
        <w:rPr>
          <w:sz w:val="20"/>
          <w:szCs w:val="20"/>
          <w:color w:val="auto"/>
        </w:rPr>
      </w:pPr>
      <w:r>
        <w:rPr>
          <w:rFonts w:ascii="Arial" w:cs="Arial" w:eastAsia="Arial" w:hAnsi="Arial"/>
          <w:sz w:val="22"/>
          <w:szCs w:val="22"/>
          <w:color w:val="auto"/>
        </w:rPr>
        <w:t>Figura 2 – Evolução da quantidade de instituições no setor bancário brasileiro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1198245</wp:posOffset>
            </wp:positionH>
            <wp:positionV relativeFrom="paragraph">
              <wp:posOffset>314325</wp:posOffset>
            </wp:positionV>
            <wp:extent cx="4048760" cy="23031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4048760" cy="23031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tbl>
      <w:tblPr>
        <w:tblLayout w:type="fixed"/>
        <w:tblInd w:w="1280" w:type="dxa"/>
        <w:tblCellMar>
          <w:top w:w="0" w:type="dxa"/>
          <w:left w:w="0" w:type="dxa"/>
          <w:bottom w:w="0" w:type="dxa"/>
          <w:right w:w="0" w:type="dxa"/>
        </w:tblCellMar>
      </w:tblPr>
      <w:tr>
        <w:trPr>
          <w:trHeight w:val="207"/>
        </w:trPr>
        <w:tc>
          <w:tcPr>
            <w:tcW w:w="220" w:type="dxa"/>
            <w:vAlign w:val="bottom"/>
          </w:tcPr>
          <w:p>
            <w:pPr>
              <w:spacing w:after="0"/>
              <w:rPr>
                <w:sz w:val="18"/>
                <w:szCs w:val="18"/>
                <w:color w:val="auto"/>
              </w:rPr>
            </w:pPr>
          </w:p>
        </w:tc>
        <w:tc>
          <w:tcPr>
            <w:tcW w:w="1720" w:type="dxa"/>
            <w:vAlign w:val="bottom"/>
          </w:tcPr>
          <w:p>
            <w:pPr>
              <w:jc w:val="right"/>
              <w:ind w:right="1290"/>
              <w:spacing w:after="0"/>
              <w:rPr>
                <w:sz w:val="20"/>
                <w:szCs w:val="20"/>
                <w:color w:val="auto"/>
              </w:rPr>
            </w:pPr>
            <w:r>
              <w:rPr>
                <w:rFonts w:ascii="Helvetica" w:cs="Helvetica" w:eastAsia="Helvetica" w:hAnsi="Helvetica"/>
                <w:sz w:val="18"/>
                <w:szCs w:val="18"/>
                <w:color w:val="4D4D4D"/>
              </w:rPr>
              <w:t>250</w:t>
            </w:r>
          </w:p>
        </w:tc>
        <w:tc>
          <w:tcPr>
            <w:tcW w:w="1280" w:type="dxa"/>
            <w:vAlign w:val="bottom"/>
          </w:tcPr>
          <w:p>
            <w:pPr>
              <w:spacing w:after="0"/>
              <w:rPr>
                <w:sz w:val="18"/>
                <w:szCs w:val="18"/>
                <w:color w:val="auto"/>
              </w:rPr>
            </w:pPr>
          </w:p>
        </w:tc>
        <w:tc>
          <w:tcPr>
            <w:tcW w:w="1520" w:type="dxa"/>
            <w:vAlign w:val="bottom"/>
          </w:tcPr>
          <w:p>
            <w:pPr>
              <w:spacing w:after="0"/>
              <w:rPr>
                <w:sz w:val="18"/>
                <w:szCs w:val="18"/>
                <w:color w:val="auto"/>
              </w:rPr>
            </w:pPr>
          </w:p>
        </w:tc>
        <w:tc>
          <w:tcPr>
            <w:tcW w:w="1400" w:type="dxa"/>
            <w:vAlign w:val="bottom"/>
          </w:tcPr>
          <w:p>
            <w:pPr>
              <w:spacing w:after="0"/>
              <w:rPr>
                <w:sz w:val="18"/>
                <w:szCs w:val="18"/>
                <w:color w:val="auto"/>
              </w:rPr>
            </w:pPr>
          </w:p>
        </w:tc>
        <w:tc>
          <w:tcPr>
            <w:tcW w:w="9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745"/>
        </w:trPr>
        <w:tc>
          <w:tcPr>
            <w:tcW w:w="220" w:type="dxa"/>
            <w:vAlign w:val="bottom"/>
            <w:vMerge w:val="restart"/>
            <w:textDirection w:val="btLr"/>
          </w:tcPr>
          <w:p>
            <w:pPr>
              <w:spacing w:after="0"/>
              <w:rPr>
                <w:sz w:val="20"/>
                <w:szCs w:val="20"/>
                <w:color w:val="auto"/>
              </w:rPr>
            </w:pPr>
            <w:r>
              <w:rPr>
                <w:rFonts w:ascii="Helvetica" w:cs="Helvetica" w:eastAsia="Helvetica" w:hAnsi="Helvetica"/>
                <w:sz w:val="22"/>
                <w:szCs w:val="22"/>
                <w:color w:val="auto"/>
              </w:rPr>
              <w:t>Quantidade</w:t>
            </w:r>
          </w:p>
        </w:tc>
        <w:tc>
          <w:tcPr>
            <w:tcW w:w="1720" w:type="dxa"/>
            <w:vAlign w:val="bottom"/>
          </w:tcPr>
          <w:p>
            <w:pPr>
              <w:jc w:val="right"/>
              <w:ind w:right="1290"/>
              <w:spacing w:after="0"/>
              <w:rPr>
                <w:sz w:val="20"/>
                <w:szCs w:val="20"/>
                <w:color w:val="auto"/>
              </w:rPr>
            </w:pPr>
            <w:r>
              <w:rPr>
                <w:rFonts w:ascii="Helvetica" w:cs="Helvetica" w:eastAsia="Helvetica" w:hAnsi="Helvetica"/>
                <w:sz w:val="18"/>
                <w:szCs w:val="18"/>
                <w:color w:val="4D4D4D"/>
              </w:rPr>
              <w:t>225</w:t>
            </w:r>
          </w:p>
        </w:tc>
        <w:tc>
          <w:tcPr>
            <w:tcW w:w="128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45"/>
        </w:trPr>
        <w:tc>
          <w:tcPr>
            <w:tcW w:w="220" w:type="dxa"/>
            <w:vAlign w:val="bottom"/>
            <w:vMerge w:val="continue"/>
          </w:tcPr>
          <w:p>
            <w:pPr>
              <w:spacing w:after="0"/>
              <w:rPr>
                <w:sz w:val="24"/>
                <w:szCs w:val="24"/>
                <w:color w:val="auto"/>
              </w:rPr>
            </w:pPr>
          </w:p>
        </w:tc>
        <w:tc>
          <w:tcPr>
            <w:tcW w:w="1720" w:type="dxa"/>
            <w:vAlign w:val="bottom"/>
          </w:tcPr>
          <w:p>
            <w:pPr>
              <w:jc w:val="right"/>
              <w:ind w:right="1290"/>
              <w:spacing w:after="0"/>
              <w:rPr>
                <w:sz w:val="20"/>
                <w:szCs w:val="20"/>
                <w:color w:val="auto"/>
              </w:rPr>
            </w:pPr>
            <w:r>
              <w:rPr>
                <w:rFonts w:ascii="Helvetica" w:cs="Helvetica" w:eastAsia="Helvetica" w:hAnsi="Helvetica"/>
                <w:sz w:val="18"/>
                <w:szCs w:val="18"/>
                <w:color w:val="4D4D4D"/>
              </w:rPr>
              <w:t>200</w:t>
            </w:r>
          </w:p>
        </w:tc>
        <w:tc>
          <w:tcPr>
            <w:tcW w:w="128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
        </w:trPr>
        <w:tc>
          <w:tcPr>
            <w:tcW w:w="220" w:type="dxa"/>
            <w:vAlign w:val="bottom"/>
            <w:vMerge w:val="continue"/>
          </w:tcPr>
          <w:p>
            <w:pPr>
              <w:spacing w:after="0"/>
              <w:rPr>
                <w:sz w:val="2"/>
                <w:szCs w:val="2"/>
                <w:color w:val="auto"/>
              </w:rPr>
            </w:pPr>
          </w:p>
        </w:tc>
        <w:tc>
          <w:tcPr>
            <w:tcW w:w="1720" w:type="dxa"/>
            <w:vAlign w:val="bottom"/>
          </w:tcPr>
          <w:p>
            <w:pPr>
              <w:spacing w:after="0"/>
              <w:rPr>
                <w:sz w:val="2"/>
                <w:szCs w:val="2"/>
                <w:color w:val="auto"/>
              </w:rPr>
            </w:pPr>
          </w:p>
        </w:tc>
        <w:tc>
          <w:tcPr>
            <w:tcW w:w="1280" w:type="dxa"/>
            <w:vAlign w:val="bottom"/>
          </w:tcPr>
          <w:p>
            <w:pPr>
              <w:spacing w:after="0"/>
              <w:rPr>
                <w:sz w:val="2"/>
                <w:szCs w:val="2"/>
                <w:color w:val="auto"/>
              </w:rPr>
            </w:pPr>
          </w:p>
        </w:tc>
        <w:tc>
          <w:tcPr>
            <w:tcW w:w="1520" w:type="dxa"/>
            <w:vAlign w:val="bottom"/>
          </w:tcPr>
          <w:p>
            <w:pPr>
              <w:spacing w:after="0"/>
              <w:rPr>
                <w:sz w:val="2"/>
                <w:szCs w:val="2"/>
                <w:color w:val="auto"/>
              </w:rPr>
            </w:pPr>
          </w:p>
        </w:tc>
        <w:tc>
          <w:tcPr>
            <w:tcW w:w="1400" w:type="dxa"/>
            <w:vAlign w:val="bottom"/>
          </w:tcPr>
          <w:p>
            <w:pPr>
              <w:spacing w:after="0"/>
              <w:rPr>
                <w:sz w:val="2"/>
                <w:szCs w:val="2"/>
                <w:color w:val="auto"/>
              </w:rPr>
            </w:pPr>
          </w:p>
        </w:tc>
        <w:tc>
          <w:tcPr>
            <w:tcW w:w="9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13"/>
        </w:trPr>
        <w:tc>
          <w:tcPr>
            <w:tcW w:w="220" w:type="dxa"/>
            <w:vAlign w:val="bottom"/>
          </w:tcPr>
          <w:p>
            <w:pPr>
              <w:spacing w:after="0"/>
              <w:rPr>
                <w:sz w:val="24"/>
                <w:szCs w:val="24"/>
                <w:color w:val="auto"/>
              </w:rPr>
            </w:pPr>
          </w:p>
        </w:tc>
        <w:tc>
          <w:tcPr>
            <w:tcW w:w="1720" w:type="dxa"/>
            <w:vAlign w:val="bottom"/>
          </w:tcPr>
          <w:p>
            <w:pPr>
              <w:jc w:val="right"/>
              <w:ind w:right="1290"/>
              <w:spacing w:after="0"/>
              <w:rPr>
                <w:sz w:val="20"/>
                <w:szCs w:val="20"/>
                <w:color w:val="auto"/>
              </w:rPr>
            </w:pPr>
            <w:r>
              <w:rPr>
                <w:rFonts w:ascii="Helvetica" w:cs="Helvetica" w:eastAsia="Helvetica" w:hAnsi="Helvetica"/>
                <w:sz w:val="18"/>
                <w:szCs w:val="18"/>
                <w:color w:val="4D4D4D"/>
              </w:rPr>
              <w:t>175</w:t>
            </w:r>
          </w:p>
        </w:tc>
        <w:tc>
          <w:tcPr>
            <w:tcW w:w="128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72"/>
        </w:trPr>
        <w:tc>
          <w:tcPr>
            <w:tcW w:w="220" w:type="dxa"/>
            <w:vAlign w:val="bottom"/>
          </w:tcPr>
          <w:p>
            <w:pPr>
              <w:spacing w:after="0"/>
              <w:rPr>
                <w:sz w:val="24"/>
                <w:szCs w:val="24"/>
                <w:color w:val="auto"/>
              </w:rPr>
            </w:pPr>
          </w:p>
        </w:tc>
        <w:tc>
          <w:tcPr>
            <w:tcW w:w="1720" w:type="dxa"/>
            <w:vAlign w:val="bottom"/>
          </w:tcPr>
          <w:p>
            <w:pPr>
              <w:jc w:val="right"/>
              <w:ind w:right="430"/>
              <w:spacing w:after="0"/>
              <w:rPr>
                <w:sz w:val="20"/>
                <w:szCs w:val="20"/>
                <w:color w:val="auto"/>
              </w:rPr>
            </w:pPr>
            <w:r>
              <w:rPr>
                <w:rFonts w:ascii="Helvetica" w:cs="Helvetica" w:eastAsia="Helvetica" w:hAnsi="Helvetica"/>
                <w:sz w:val="18"/>
                <w:szCs w:val="18"/>
                <w:color w:val="4D4D4D"/>
              </w:rPr>
              <w:t>1980</w:t>
            </w:r>
          </w:p>
        </w:tc>
        <w:tc>
          <w:tcPr>
            <w:tcW w:w="1280" w:type="dxa"/>
            <w:vAlign w:val="bottom"/>
          </w:tcPr>
          <w:p>
            <w:pPr>
              <w:jc w:val="right"/>
              <w:ind w:right="290"/>
              <w:spacing w:after="0"/>
              <w:rPr>
                <w:sz w:val="20"/>
                <w:szCs w:val="20"/>
                <w:color w:val="auto"/>
              </w:rPr>
            </w:pPr>
            <w:r>
              <w:rPr>
                <w:rFonts w:ascii="Helvetica" w:cs="Helvetica" w:eastAsia="Helvetica" w:hAnsi="Helvetica"/>
                <w:sz w:val="18"/>
                <w:szCs w:val="18"/>
                <w:color w:val="4D4D4D"/>
              </w:rPr>
              <w:t>1990</w:t>
            </w:r>
          </w:p>
        </w:tc>
        <w:tc>
          <w:tcPr>
            <w:tcW w:w="1520" w:type="dxa"/>
            <w:vAlign w:val="bottom"/>
          </w:tcPr>
          <w:p>
            <w:pPr>
              <w:jc w:val="right"/>
              <w:ind w:right="400"/>
              <w:spacing w:after="0"/>
              <w:rPr>
                <w:sz w:val="20"/>
                <w:szCs w:val="20"/>
                <w:color w:val="auto"/>
              </w:rPr>
            </w:pPr>
            <w:r>
              <w:rPr>
                <w:rFonts w:ascii="Helvetica" w:cs="Helvetica" w:eastAsia="Helvetica" w:hAnsi="Helvetica"/>
                <w:sz w:val="18"/>
                <w:szCs w:val="18"/>
                <w:color w:val="4D4D4D"/>
              </w:rPr>
              <w:t>2000</w:t>
            </w:r>
          </w:p>
        </w:tc>
        <w:tc>
          <w:tcPr>
            <w:tcW w:w="1400" w:type="dxa"/>
            <w:vAlign w:val="bottom"/>
          </w:tcPr>
          <w:p>
            <w:pPr>
              <w:jc w:val="right"/>
              <w:ind w:right="410"/>
              <w:spacing w:after="0"/>
              <w:rPr>
                <w:sz w:val="20"/>
                <w:szCs w:val="20"/>
                <w:color w:val="auto"/>
              </w:rPr>
            </w:pPr>
            <w:r>
              <w:rPr>
                <w:rFonts w:ascii="Helvetica" w:cs="Helvetica" w:eastAsia="Helvetica" w:hAnsi="Helvetica"/>
                <w:sz w:val="18"/>
                <w:szCs w:val="18"/>
                <w:color w:val="4D4D4D"/>
              </w:rPr>
              <w:t>2010</w:t>
            </w:r>
          </w:p>
        </w:tc>
        <w:tc>
          <w:tcPr>
            <w:tcW w:w="920" w:type="dxa"/>
            <w:vAlign w:val="bottom"/>
          </w:tcPr>
          <w:p>
            <w:pPr>
              <w:jc w:val="right"/>
              <w:spacing w:after="0"/>
              <w:rPr>
                <w:sz w:val="20"/>
                <w:szCs w:val="20"/>
                <w:color w:val="auto"/>
              </w:rPr>
            </w:pPr>
            <w:r>
              <w:rPr>
                <w:rFonts w:ascii="Helvetica" w:cs="Helvetica" w:eastAsia="Helvetica" w:hAnsi="Helvetica"/>
                <w:sz w:val="18"/>
                <w:szCs w:val="18"/>
                <w:color w:val="4D4D4D"/>
              </w:rPr>
              <w:t>2020</w:t>
            </w:r>
          </w:p>
        </w:tc>
        <w:tc>
          <w:tcPr>
            <w:tcW w:w="0" w:type="dxa"/>
            <w:vAlign w:val="bottom"/>
          </w:tcPr>
          <w:p>
            <w:pPr>
              <w:spacing w:after="0"/>
              <w:rPr>
                <w:sz w:val="1"/>
                <w:szCs w:val="1"/>
                <w:color w:val="auto"/>
              </w:rPr>
            </w:pPr>
          </w:p>
        </w:tc>
      </w:tr>
      <w:tr>
        <w:trPr>
          <w:trHeight w:val="260"/>
        </w:trPr>
        <w:tc>
          <w:tcPr>
            <w:tcW w:w="220" w:type="dxa"/>
            <w:vAlign w:val="bottom"/>
          </w:tcPr>
          <w:p>
            <w:pPr>
              <w:spacing w:after="0"/>
              <w:rPr>
                <w:sz w:val="22"/>
                <w:szCs w:val="22"/>
                <w:color w:val="auto"/>
              </w:rPr>
            </w:pPr>
          </w:p>
        </w:tc>
        <w:tc>
          <w:tcPr>
            <w:tcW w:w="1720" w:type="dxa"/>
            <w:vAlign w:val="bottom"/>
          </w:tcPr>
          <w:p>
            <w:pPr>
              <w:spacing w:after="0"/>
              <w:rPr>
                <w:sz w:val="22"/>
                <w:szCs w:val="22"/>
                <w:color w:val="auto"/>
              </w:rPr>
            </w:pPr>
          </w:p>
        </w:tc>
        <w:tc>
          <w:tcPr>
            <w:tcW w:w="1280" w:type="dxa"/>
            <w:vAlign w:val="bottom"/>
          </w:tcPr>
          <w:p>
            <w:pPr>
              <w:spacing w:after="0"/>
              <w:rPr>
                <w:sz w:val="22"/>
                <w:szCs w:val="22"/>
                <w:color w:val="auto"/>
              </w:rPr>
            </w:pPr>
          </w:p>
        </w:tc>
        <w:tc>
          <w:tcPr>
            <w:tcW w:w="1520" w:type="dxa"/>
            <w:vAlign w:val="bottom"/>
          </w:tcPr>
          <w:p>
            <w:pPr>
              <w:jc w:val="right"/>
              <w:ind w:right="620"/>
              <w:spacing w:after="0"/>
              <w:rPr>
                <w:sz w:val="20"/>
                <w:szCs w:val="20"/>
                <w:color w:val="auto"/>
              </w:rPr>
            </w:pPr>
            <w:r>
              <w:rPr>
                <w:rFonts w:ascii="Helvetica" w:cs="Helvetica" w:eastAsia="Helvetica" w:hAnsi="Helvetica"/>
                <w:sz w:val="22"/>
                <w:szCs w:val="22"/>
                <w:color w:val="auto"/>
              </w:rPr>
              <w:t>Ano</w:t>
            </w:r>
          </w:p>
        </w:tc>
        <w:tc>
          <w:tcPr>
            <w:tcW w:w="1400" w:type="dxa"/>
            <w:vAlign w:val="bottom"/>
          </w:tcPr>
          <w:p>
            <w:pPr>
              <w:spacing w:after="0"/>
              <w:rPr>
                <w:sz w:val="22"/>
                <w:szCs w:val="22"/>
                <w:color w:val="auto"/>
              </w:rPr>
            </w:pPr>
          </w:p>
        </w:tc>
        <w:tc>
          <w:tcPr>
            <w:tcW w:w="92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252" w:lineRule="exact"/>
        <w:rPr>
          <w:sz w:val="20"/>
          <w:szCs w:val="20"/>
          <w:color w:val="auto"/>
        </w:rPr>
      </w:pPr>
    </w:p>
    <w:p>
      <w:pPr>
        <w:ind w:left="202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pelo autor, com dados do Banco Central</w:t>
      </w: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1100"/>
        <w:spacing w:after="0"/>
        <w:rPr>
          <w:sz w:val="20"/>
          <w:szCs w:val="20"/>
          <w:color w:val="auto"/>
        </w:rPr>
      </w:pPr>
      <w:r>
        <w:rPr>
          <w:rFonts w:ascii="Arial" w:cs="Arial" w:eastAsia="Arial" w:hAnsi="Arial"/>
          <w:sz w:val="24"/>
          <w:szCs w:val="24"/>
          <w:color w:val="auto"/>
        </w:rPr>
        <w:t>O aumento da concentração bancária pode ser prejudicial ao crescimento</w:t>
      </w:r>
    </w:p>
    <w:p>
      <w:pPr>
        <w:spacing w:after="0" w:line="202" w:lineRule="exact"/>
        <w:rPr>
          <w:sz w:val="20"/>
          <w:szCs w:val="20"/>
          <w:color w:val="auto"/>
        </w:rPr>
      </w:pPr>
    </w:p>
    <w:p>
      <w:pPr>
        <w:ind w:left="260"/>
        <w:spacing w:after="0"/>
        <w:rPr>
          <w:sz w:val="20"/>
          <w:szCs w:val="20"/>
          <w:color w:val="auto"/>
        </w:rPr>
      </w:pPr>
      <w:r>
        <w:rPr>
          <w:rFonts w:ascii="Arial" w:cs="Arial" w:eastAsia="Arial" w:hAnsi="Arial"/>
          <w:sz w:val="23"/>
          <w:szCs w:val="23"/>
          <w:color w:val="auto"/>
        </w:rPr>
        <w:t>econômico, uma vez que, com maior participação no mercado, as instituições bancárias</w:t>
      </w:r>
    </w:p>
    <w:p>
      <w:pPr>
        <w:sectPr>
          <w:pgSz w:w="11900" w:h="16838" w:orient="portrait"/>
          <w:cols w:equalWidth="0" w:num="1">
            <w:col w:w="9320"/>
          </w:cols>
          <w:pgMar w:left="1440" w:top="991" w:right="1146" w:bottom="427" w:gutter="0" w:footer="0" w:header="0"/>
          <w:type w:val="continuous"/>
        </w:sectPr>
      </w:pPr>
    </w:p>
    <w:p>
      <w:pPr>
        <w:ind w:left="9060"/>
        <w:spacing w:after="0"/>
        <w:rPr>
          <w:sz w:val="20"/>
          <w:szCs w:val="20"/>
          <w:color w:val="auto"/>
        </w:rPr>
      </w:pPr>
      <w:r>
        <w:rPr>
          <w:rFonts w:ascii="Arial" w:cs="Arial" w:eastAsia="Arial" w:hAnsi="Arial"/>
          <w:sz w:val="24"/>
          <w:szCs w:val="24"/>
          <w:color w:val="auto"/>
        </w:rPr>
        <w:t>17</w:t>
      </w:r>
    </w:p>
    <w:p>
      <w:pPr>
        <w:spacing w:after="0" w:line="200" w:lineRule="exact"/>
        <w:rPr>
          <w:sz w:val="20"/>
          <w:szCs w:val="20"/>
          <w:color w:val="auto"/>
        </w:rPr>
      </w:pPr>
    </w:p>
    <w:p>
      <w:pPr>
        <w:spacing w:after="0" w:line="246" w:lineRule="exact"/>
        <w:rPr>
          <w:sz w:val="20"/>
          <w:szCs w:val="20"/>
          <w:color w:val="auto"/>
        </w:rPr>
      </w:pPr>
    </w:p>
    <w:p>
      <w:pPr>
        <w:jc w:val="both"/>
        <w:ind w:left="260"/>
        <w:spacing w:after="0" w:line="423" w:lineRule="auto"/>
        <w:rPr>
          <w:sz w:val="20"/>
          <w:szCs w:val="20"/>
          <w:color w:val="auto"/>
        </w:rPr>
      </w:pPr>
      <w:r>
        <w:rPr>
          <w:rFonts w:ascii="Arial" w:cs="Arial" w:eastAsia="Arial" w:hAnsi="Arial"/>
          <w:sz w:val="24"/>
          <w:szCs w:val="24"/>
          <w:color w:val="auto"/>
        </w:rPr>
        <w:t>acabam por obter a prerrogativa de determinar os preços de juros e serviços, comporta-mento este observado pelos autores Strachman e Vasconcelos apud Camargo (2009) e Klein (1971).</w:t>
      </w:r>
    </w:p>
    <w:p>
      <w:pPr>
        <w:spacing w:after="0" w:line="95"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Segundo Camargo (2009) e Dantas (2012), por outra perspectiva, o ganho de escala, em um cenário de aumento da participação de mercado das instituições, refletindo nas suas operações de crédito e redução de custos operacionais atuaria melhorando a remuneração dos depósitos e refletindo na redução dos juros finais pagos pelos clientes.</w:t>
      </w:r>
    </w:p>
    <w:p>
      <w:pPr>
        <w:spacing w:after="0" w:line="101"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Outra possível tendência para a concentração bancária seria a redução do risco das operações, implicando em redução de custos, obtida por meio expansão geo-gráfica, setorial e de produtos financeiros. Porém os possíveis efeitos da concentração dependem de uma série de condições, principalmente em torno da eficiência e do nível de concorrência no mercado (CAMARGO, 2009).</w:t>
      </w:r>
    </w:p>
    <w:p>
      <w:pPr>
        <w:spacing w:after="0" w:line="101" w:lineRule="exact"/>
        <w:rPr>
          <w:sz w:val="20"/>
          <w:szCs w:val="20"/>
          <w:color w:val="auto"/>
        </w:rPr>
      </w:pPr>
    </w:p>
    <w:p>
      <w:pPr>
        <w:jc w:val="both"/>
        <w:ind w:left="260" w:firstLine="856"/>
        <w:spacing w:after="0" w:line="368" w:lineRule="auto"/>
        <w:rPr>
          <w:sz w:val="20"/>
          <w:szCs w:val="20"/>
          <w:color w:val="auto"/>
        </w:rPr>
      </w:pPr>
      <w:r>
        <w:rPr>
          <w:rFonts w:ascii="Arial" w:cs="Arial" w:eastAsia="Arial" w:hAnsi="Arial"/>
          <w:sz w:val="24"/>
          <w:szCs w:val="24"/>
          <w:color w:val="auto"/>
        </w:rPr>
        <w:t>Entre os principais indicadores para medir a concentração de mercado está o índice Herfindahl–Hirschmanahl(HHI)</w:t>
      </w:r>
      <w:r>
        <w:rPr>
          <w:rFonts w:ascii="Arial" w:cs="Arial" w:eastAsia="Arial" w:hAnsi="Arial"/>
          <w:sz w:val="31"/>
          <w:szCs w:val="31"/>
          <w:color w:val="auto"/>
          <w:vertAlign w:val="superscript"/>
        </w:rPr>
        <w:t>2</w:t>
      </w:r>
      <w:r>
        <w:rPr>
          <w:rFonts w:ascii="Arial" w:cs="Arial" w:eastAsia="Arial" w:hAnsi="Arial"/>
          <w:sz w:val="24"/>
          <w:szCs w:val="24"/>
          <w:color w:val="auto"/>
        </w:rPr>
        <w:t>, refere-se a uma medida de concentração de mercado que mede a participação de uma determinada firma no mercado do qual participa. É obtida pela somatória quadrática da parcela de mercado a ser considerada, variando entre 1</w:t>
      </w:r>
      <w:r>
        <w:rPr>
          <w:rFonts w:ascii="Arial" w:cs="Arial" w:eastAsia="Arial" w:hAnsi="Arial"/>
          <w:sz w:val="24"/>
          <w:szCs w:val="24"/>
          <w:i w:val="1"/>
          <w:iCs w:val="1"/>
          <w:color w:val="auto"/>
        </w:rPr>
        <w:t>/N</w:t>
      </w:r>
      <w:r>
        <w:rPr>
          <w:rFonts w:ascii="Arial" w:cs="Arial" w:eastAsia="Arial" w:hAnsi="Arial"/>
          <w:sz w:val="24"/>
          <w:szCs w:val="24"/>
          <w:color w:val="auto"/>
        </w:rPr>
        <w:t xml:space="preserve"> e 1.</w:t>
      </w:r>
    </w:p>
    <w:p>
      <w:pPr>
        <w:ind w:left="5020"/>
        <w:spacing w:after="0" w:line="204" w:lineRule="auto"/>
        <w:rPr>
          <w:sz w:val="20"/>
          <w:szCs w:val="20"/>
          <w:color w:val="auto"/>
        </w:rPr>
      </w:pPr>
      <w:r>
        <w:rPr>
          <w:rFonts w:ascii="Arial" w:cs="Arial" w:eastAsia="Arial" w:hAnsi="Arial"/>
          <w:sz w:val="16"/>
          <w:szCs w:val="16"/>
          <w:i w:val="1"/>
          <w:iCs w:val="1"/>
          <w:color w:val="auto"/>
        </w:rPr>
        <w:t>N</w:t>
      </w:r>
    </w:p>
    <w:p>
      <w:pPr>
        <w:jc w:val="center"/>
        <w:ind w:right="-219"/>
        <w:spacing w:after="0" w:line="186" w:lineRule="auto"/>
        <w:rPr>
          <w:sz w:val="20"/>
          <w:szCs w:val="20"/>
          <w:color w:val="auto"/>
        </w:rPr>
      </w:pPr>
      <w:r>
        <w:rPr>
          <w:rFonts w:ascii="Arial" w:cs="Arial" w:eastAsia="Arial" w:hAnsi="Arial"/>
          <w:sz w:val="24"/>
          <w:szCs w:val="24"/>
          <w:i w:val="1"/>
          <w:iCs w:val="1"/>
          <w:color w:val="auto"/>
        </w:rPr>
        <w:t>HHI</w:t>
      </w:r>
      <w:r>
        <w:rPr>
          <w:rFonts w:ascii="Arial" w:cs="Arial" w:eastAsia="Arial" w:hAnsi="Arial"/>
          <w:sz w:val="24"/>
          <w:szCs w:val="24"/>
          <w:color w:val="auto"/>
        </w:rPr>
        <w:t xml:space="preserve"> =</w:t>
      </w:r>
      <w:r>
        <w:rPr>
          <w:rFonts w:ascii="Arial" w:cs="Arial" w:eastAsia="Arial" w:hAnsi="Arial"/>
          <w:sz w:val="39"/>
          <w:szCs w:val="39"/>
          <w:color w:val="auto"/>
        </w:rPr>
        <w:t xml:space="preserve"> </w:t>
      </w:r>
      <w:r>
        <w:rPr>
          <w:rFonts w:ascii="Arial" w:cs="Arial" w:eastAsia="Arial" w:hAnsi="Arial"/>
          <w:sz w:val="39"/>
          <w:szCs w:val="39"/>
          <w:color w:val="auto"/>
          <w:vertAlign w:val="superscript"/>
        </w:rPr>
        <w:t>X</w:t>
      </w:r>
      <w:r>
        <w:rPr>
          <w:rFonts w:ascii="Arial" w:cs="Arial" w:eastAsia="Arial" w:hAnsi="Arial"/>
          <w:sz w:val="24"/>
          <w:szCs w:val="24"/>
          <w:color w:val="auto"/>
        </w:rPr>
        <w:t xml:space="preserve"> </w:t>
      </w:r>
      <w:r>
        <w:rPr>
          <w:rFonts w:ascii="Arial" w:cs="Arial" w:eastAsia="Arial" w:hAnsi="Arial"/>
          <w:sz w:val="24"/>
          <w:szCs w:val="24"/>
          <w:i w:val="1"/>
          <w:iCs w:val="1"/>
          <w:color w:val="auto"/>
        </w:rPr>
        <w:t>q</w:t>
      </w:r>
      <w:r>
        <w:rPr>
          <w:rFonts w:ascii="Arial" w:cs="Arial" w:eastAsia="Arial" w:hAnsi="Arial"/>
          <w:sz w:val="31"/>
          <w:szCs w:val="31"/>
          <w:i w:val="1"/>
          <w:iCs w:val="1"/>
          <w:color w:val="auto"/>
          <w:vertAlign w:val="subscript"/>
        </w:rPr>
        <w:t>i</w:t>
      </w:r>
      <w:r>
        <w:rPr>
          <w:rFonts w:ascii="Arial" w:cs="Arial" w:eastAsia="Arial" w:hAnsi="Arial"/>
          <w:sz w:val="31"/>
          <w:szCs w:val="31"/>
          <w:color w:val="auto"/>
          <w:vertAlign w:val="superscript"/>
        </w:rPr>
        <w:t>2</w:t>
      </w:r>
    </w:p>
    <w:p>
      <w:pPr>
        <w:ind w:left="4960"/>
        <w:spacing w:after="0" w:line="206" w:lineRule="auto"/>
        <w:rPr>
          <w:sz w:val="20"/>
          <w:szCs w:val="20"/>
          <w:color w:val="auto"/>
        </w:rPr>
      </w:pPr>
      <w:r>
        <w:rPr>
          <w:rFonts w:ascii="Arial" w:cs="Arial" w:eastAsia="Arial" w:hAnsi="Arial"/>
          <w:sz w:val="16"/>
          <w:szCs w:val="16"/>
          <w:i w:val="1"/>
          <w:iCs w:val="1"/>
          <w:color w:val="auto"/>
        </w:rPr>
        <w:t>i</w:t>
      </w:r>
      <w:r>
        <w:rPr>
          <w:rFonts w:ascii="Arial" w:cs="Arial" w:eastAsia="Arial" w:hAnsi="Arial"/>
          <w:sz w:val="16"/>
          <w:szCs w:val="16"/>
          <w:color w:val="auto"/>
        </w:rPr>
        <w:t>=1</w:t>
      </w:r>
    </w:p>
    <w:p>
      <w:pPr>
        <w:spacing w:after="0" w:line="54" w:lineRule="exact"/>
        <w:rPr>
          <w:sz w:val="20"/>
          <w:szCs w:val="20"/>
          <w:color w:val="auto"/>
        </w:rPr>
      </w:pPr>
    </w:p>
    <w:p>
      <w:pPr>
        <w:jc w:val="both"/>
        <w:ind w:left="260" w:right="40" w:hanging="7"/>
        <w:spacing w:after="0" w:line="444" w:lineRule="auto"/>
        <w:rPr>
          <w:sz w:val="20"/>
          <w:szCs w:val="20"/>
          <w:color w:val="auto"/>
        </w:rPr>
      </w:pPr>
      <w:r>
        <w:rPr>
          <w:rFonts w:ascii="Arial" w:cs="Arial" w:eastAsia="Arial" w:hAnsi="Arial"/>
          <w:sz w:val="24"/>
          <w:szCs w:val="24"/>
          <w:color w:val="auto"/>
        </w:rPr>
        <w:t>A versão normalizada do HHI traz uma variação entre 0 e 1, perdendo em seu resultado a captação diante o número de firmas:</w:t>
      </w:r>
    </w:p>
    <w:p>
      <w:pPr>
        <w:spacing w:after="0" w:line="1" w:lineRule="exact"/>
        <w:rPr>
          <w:sz w:val="20"/>
          <w:szCs w:val="20"/>
          <w:color w:val="auto"/>
        </w:rPr>
      </w:pPr>
    </w:p>
    <w:p>
      <w:pPr>
        <w:ind w:left="5020"/>
        <w:spacing w:after="0"/>
        <w:rPr>
          <w:sz w:val="20"/>
          <w:szCs w:val="20"/>
          <w:color w:val="auto"/>
        </w:rPr>
      </w:pPr>
      <w:r>
        <w:rPr>
          <w:rFonts w:ascii="Arial" w:cs="Arial" w:eastAsia="Arial" w:hAnsi="Arial"/>
          <w:sz w:val="16"/>
          <w:szCs w:val="16"/>
          <w:i w:val="1"/>
          <w:iCs w:val="1"/>
          <w:u w:val="single" w:color="auto"/>
          <w:color w:val="auto"/>
        </w:rPr>
        <w:t>HHI</w:t>
      </w:r>
      <w:r>
        <w:rPr>
          <w:rFonts w:ascii="Arial" w:cs="Arial" w:eastAsia="Arial" w:hAnsi="Arial"/>
          <w:sz w:val="16"/>
          <w:szCs w:val="16"/>
          <w:u w:val="single" w:color="auto"/>
          <w:color w:val="auto"/>
        </w:rPr>
        <w:t>−1</w:t>
      </w:r>
    </w:p>
    <w:p>
      <w:pPr>
        <w:jc w:val="center"/>
        <w:ind w:right="80"/>
        <w:spacing w:after="0" w:line="182" w:lineRule="auto"/>
        <w:tabs>
          <w:tab w:leader="none" w:pos="320" w:val="left"/>
        </w:tabs>
        <w:rPr>
          <w:sz w:val="20"/>
          <w:szCs w:val="20"/>
          <w:color w:val="auto"/>
        </w:rPr>
      </w:pPr>
      <w:r>
        <w:rPr>
          <w:rFonts w:ascii="Arial" w:cs="Arial" w:eastAsia="Arial" w:hAnsi="Arial"/>
          <w:sz w:val="24"/>
          <w:szCs w:val="24"/>
          <w:i w:val="1"/>
          <w:iCs w:val="1"/>
          <w:color w:val="auto"/>
        </w:rPr>
        <w:t>HHIN</w:t>
      </w:r>
      <w:r>
        <w:rPr>
          <w:rFonts w:ascii="Arial" w:cs="Arial" w:eastAsia="Arial" w:hAnsi="Arial"/>
          <w:sz w:val="24"/>
          <w:szCs w:val="24"/>
          <w:color w:val="auto"/>
        </w:rPr>
        <w:t xml:space="preserve"> =</w:t>
      </w:r>
      <w:r>
        <w:rPr>
          <w:sz w:val="20"/>
          <w:szCs w:val="20"/>
          <w:color w:val="auto"/>
        </w:rPr>
        <w:tab/>
      </w:r>
      <w:r>
        <w:rPr>
          <w:rFonts w:ascii="Arial" w:cs="Arial" w:eastAsia="Arial" w:hAnsi="Arial"/>
          <w:sz w:val="24"/>
          <w:szCs w:val="24"/>
          <w:i w:val="1"/>
          <w:iCs w:val="1"/>
          <w:color w:val="auto"/>
          <w:vertAlign w:val="superscript"/>
        </w:rPr>
        <w:t>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3176270</wp:posOffset>
                </wp:positionH>
                <wp:positionV relativeFrom="paragraph">
                  <wp:posOffset>-6350</wp:posOffset>
                </wp:positionV>
                <wp:extent cx="41465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6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0.4999pt" to="282.75pt,-0.4999pt" o:allowincell="f" strokecolor="#000000" strokeweight="0.398pt"/>
            </w:pict>
          </mc:Fallback>
        </mc:AlternateContent>
      </w:r>
    </w:p>
    <w:p>
      <w:pPr>
        <w:ind w:left="5180"/>
        <w:spacing w:after="0"/>
        <w:rPr>
          <w:sz w:val="20"/>
          <w:szCs w:val="20"/>
          <w:color w:val="auto"/>
        </w:rPr>
      </w:pPr>
      <w:r>
        <w:rPr>
          <w:rFonts w:ascii="Arial" w:cs="Arial" w:eastAsia="Arial" w:hAnsi="Arial"/>
          <w:sz w:val="16"/>
          <w:szCs w:val="16"/>
          <w:u w:val="single" w:color="auto"/>
          <w:color w:val="auto"/>
        </w:rPr>
        <w:t>1−1</w:t>
      </w:r>
    </w:p>
    <w:p>
      <w:pPr>
        <w:ind w:left="5260"/>
        <w:spacing w:after="0" w:line="195" w:lineRule="auto"/>
        <w:rPr>
          <w:sz w:val="20"/>
          <w:szCs w:val="20"/>
          <w:color w:val="auto"/>
        </w:rPr>
      </w:pPr>
      <w:r>
        <w:rPr>
          <w:rFonts w:ascii="Arial" w:cs="Arial" w:eastAsia="Arial" w:hAnsi="Arial"/>
          <w:sz w:val="16"/>
          <w:szCs w:val="16"/>
          <w:i w:val="1"/>
          <w:iCs w:val="1"/>
          <w:color w:val="auto"/>
        </w:rPr>
        <w:t>N</w:t>
      </w:r>
    </w:p>
    <w:p>
      <w:pPr>
        <w:spacing w:after="0" w:line="206" w:lineRule="exact"/>
        <w:rPr>
          <w:sz w:val="20"/>
          <w:szCs w:val="20"/>
          <w:color w:val="auto"/>
        </w:rPr>
      </w:pPr>
    </w:p>
    <w:p>
      <w:pPr>
        <w:jc w:val="both"/>
        <w:ind w:left="260" w:right="40" w:hanging="7"/>
        <w:spacing w:after="0" w:line="447" w:lineRule="auto"/>
        <w:rPr>
          <w:sz w:val="20"/>
          <w:szCs w:val="20"/>
          <w:color w:val="auto"/>
        </w:rPr>
      </w:pPr>
      <w:r>
        <w:rPr>
          <w:rFonts w:ascii="Arial" w:cs="Arial" w:eastAsia="Arial" w:hAnsi="Arial"/>
          <w:sz w:val="23"/>
          <w:szCs w:val="23"/>
          <w:color w:val="auto"/>
        </w:rPr>
        <w:t xml:space="preserve">A versão decomposta do HHI avalia a assimetria da concentração de mercado inserindo um componente de variabilidade das participações das firmas, assim se verifica se as firmas possuem uma participação de mercado simétrica resultando em </w:t>
      </w:r>
      <w:r>
        <w:rPr>
          <w:rFonts w:ascii="Arial" w:cs="Arial" w:eastAsia="Arial" w:hAnsi="Arial"/>
          <w:sz w:val="23"/>
          <w:szCs w:val="23"/>
          <w:i w:val="1"/>
          <w:iCs w:val="1"/>
          <w:color w:val="auto"/>
        </w:rPr>
        <w:t>HHIN</w:t>
      </w:r>
      <w:r>
        <w:rPr>
          <w:rFonts w:ascii="Arial" w:cs="Arial" w:eastAsia="Arial" w:hAnsi="Arial"/>
          <w:sz w:val="23"/>
          <w:szCs w:val="23"/>
          <w:color w:val="auto"/>
        </w:rPr>
        <w:t xml:space="preserve"> = 0 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136525</wp:posOffset>
                </wp:positionV>
                <wp:extent cx="230251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0.75pt" to="194.25pt,10.75pt" o:allowincell="f" strokecolor="#000000" strokeweight="0.398pt"/>
            </w:pict>
          </mc:Fallback>
        </mc:AlternateContent>
      </w:r>
    </w:p>
    <w:p>
      <w:pPr>
        <w:sectPr>
          <w:pgSz w:w="11900" w:h="16838" w:orient="portrait"/>
          <w:cols w:equalWidth="0" w:num="1">
            <w:col w:w="9360"/>
          </w:cols>
          <w:pgMar w:left="1440" w:top="991" w:right="1106" w:bottom="860" w:gutter="0" w:footer="0" w:header="0"/>
        </w:sectPr>
      </w:pPr>
    </w:p>
    <w:p>
      <w:pPr>
        <w:spacing w:after="0" w:line="254" w:lineRule="exact"/>
        <w:rPr>
          <w:sz w:val="20"/>
          <w:szCs w:val="20"/>
          <w:color w:val="auto"/>
        </w:rPr>
      </w:pPr>
    </w:p>
    <w:p>
      <w:pPr>
        <w:ind w:left="540" w:right="40" w:hanging="281"/>
        <w:spacing w:after="0" w:line="210" w:lineRule="auto"/>
        <w:tabs>
          <w:tab w:leader="none" w:pos="540" w:val="left"/>
        </w:tabs>
        <w:numPr>
          <w:ilvl w:val="0"/>
          <w:numId w:val="9"/>
        </w:numPr>
        <w:rPr>
          <w:rFonts w:ascii="Arial" w:cs="Arial" w:eastAsia="Arial" w:hAnsi="Arial"/>
          <w:sz w:val="28"/>
          <w:szCs w:val="28"/>
          <w:color w:val="auto"/>
          <w:vertAlign w:val="superscript"/>
        </w:rPr>
      </w:pPr>
      <w:r>
        <w:rPr>
          <w:rFonts w:ascii="Arial" w:cs="Arial" w:eastAsia="Arial" w:hAnsi="Arial"/>
          <w:sz w:val="20"/>
          <w:szCs w:val="20"/>
          <w:color w:val="auto"/>
        </w:rPr>
        <w:t>Desenvolvido pelos economistas Orris C. Herfindahl e Albert O. Hirschman, é utilizado amplamente para medidas de regulação da concorrência e leis antitrust</w:t>
      </w:r>
    </w:p>
    <w:p>
      <w:pPr>
        <w:sectPr>
          <w:pgSz w:w="11900" w:h="16838" w:orient="portrait"/>
          <w:cols w:equalWidth="0" w:num="1">
            <w:col w:w="9360"/>
          </w:cols>
          <w:pgMar w:left="1440" w:top="991" w:right="1106" w:bottom="860" w:gutter="0" w:footer="0" w:header="0"/>
          <w:type w:val="continuous"/>
        </w:sectPr>
      </w:pPr>
    </w:p>
    <w:p>
      <w:pPr>
        <w:ind w:left="9060"/>
        <w:spacing w:after="0"/>
        <w:rPr>
          <w:sz w:val="20"/>
          <w:szCs w:val="20"/>
          <w:color w:val="auto"/>
        </w:rPr>
      </w:pPr>
      <w:r>
        <w:rPr>
          <w:rFonts w:ascii="Arial" w:cs="Arial" w:eastAsia="Arial" w:hAnsi="Arial"/>
          <w:sz w:val="23"/>
          <w:szCs w:val="23"/>
          <w:color w:val="auto"/>
        </w:rPr>
        <w:t>18</w:t>
      </w:r>
    </w:p>
    <w:p>
      <w:pPr>
        <w:spacing w:after="0" w:line="200" w:lineRule="exact"/>
        <w:rPr>
          <w:sz w:val="20"/>
          <w:szCs w:val="20"/>
          <w:color w:val="auto"/>
        </w:rPr>
      </w:pPr>
    </w:p>
    <w:p>
      <w:pPr>
        <w:spacing w:after="0" w:line="227" w:lineRule="exact"/>
        <w:rPr>
          <w:sz w:val="20"/>
          <w:szCs w:val="20"/>
          <w:color w:val="auto"/>
        </w:rPr>
      </w:pPr>
    </w:p>
    <w:p>
      <w:pPr>
        <w:ind w:left="920"/>
        <w:spacing w:after="0"/>
        <w:rPr>
          <w:sz w:val="20"/>
          <w:szCs w:val="20"/>
          <w:color w:val="auto"/>
        </w:rPr>
      </w:pPr>
      <w:r>
        <w:rPr>
          <w:rFonts w:ascii="Arial" w:cs="Arial" w:eastAsia="Arial" w:hAnsi="Arial"/>
          <w:sz w:val="22"/>
          <w:szCs w:val="22"/>
          <w:color w:val="auto"/>
        </w:rPr>
        <w:t>Tabela 3 – Setor bancário brasileiro por origem de capital — Dezembro de 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154940</wp:posOffset>
                </wp:positionV>
                <wp:extent cx="575691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69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466.25pt,12.2pt" o:allowincell="f" strokecolor="#000000" strokeweight="0.936pt"/>
            </w:pict>
          </mc:Fallback>
        </mc:AlternateContent>
      </w:r>
    </w:p>
    <w:p>
      <w:pPr>
        <w:spacing w:after="0" w:line="278" w:lineRule="exact"/>
        <w:rPr>
          <w:sz w:val="20"/>
          <w:szCs w:val="20"/>
          <w:color w:val="auto"/>
        </w:rPr>
      </w:pPr>
    </w:p>
    <w:tbl>
      <w:tblPr>
        <w:tblLayout w:type="fixed"/>
        <w:tblInd w:w="260" w:type="dxa"/>
        <w:tblCellMar>
          <w:top w:w="0" w:type="dxa"/>
          <w:left w:w="0" w:type="dxa"/>
          <w:bottom w:w="0" w:type="dxa"/>
          <w:right w:w="0" w:type="dxa"/>
        </w:tblCellMar>
      </w:tblPr>
      <w:tr>
        <w:trPr>
          <w:trHeight w:val="246"/>
        </w:trPr>
        <w:tc>
          <w:tcPr>
            <w:tcW w:w="3740" w:type="dxa"/>
            <w:vAlign w:val="bottom"/>
          </w:tcPr>
          <w:p>
            <w:pPr>
              <w:ind w:left="120"/>
              <w:spacing w:after="0"/>
              <w:rPr>
                <w:sz w:val="20"/>
                <w:szCs w:val="20"/>
                <w:color w:val="auto"/>
              </w:rPr>
            </w:pPr>
            <w:r>
              <w:rPr>
                <w:rFonts w:ascii="Arial" w:cs="Arial" w:eastAsia="Arial" w:hAnsi="Arial"/>
                <w:sz w:val="20"/>
                <w:szCs w:val="20"/>
                <w:color w:val="auto"/>
              </w:rPr>
              <w:t>Capital</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Quantidade</w:t>
            </w:r>
          </w:p>
        </w:tc>
        <w:tc>
          <w:tcPr>
            <w:tcW w:w="3040" w:type="dxa"/>
            <w:vAlign w:val="bottom"/>
          </w:tcPr>
          <w:p>
            <w:pPr>
              <w:ind w:left="120"/>
              <w:spacing w:after="0"/>
              <w:rPr>
                <w:sz w:val="20"/>
                <w:szCs w:val="20"/>
                <w:color w:val="auto"/>
              </w:rPr>
            </w:pPr>
            <w:r>
              <w:rPr>
                <w:rFonts w:ascii="Arial" w:cs="Arial" w:eastAsia="Arial" w:hAnsi="Arial"/>
                <w:sz w:val="20"/>
                <w:szCs w:val="20"/>
                <w:color w:val="auto"/>
              </w:rPr>
              <w:t>Participação</w:t>
            </w:r>
          </w:p>
        </w:tc>
      </w:tr>
      <w:tr>
        <w:trPr>
          <w:trHeight w:val="57"/>
        </w:trPr>
        <w:tc>
          <w:tcPr>
            <w:tcW w:w="3740" w:type="dxa"/>
            <w:vAlign w:val="bottom"/>
            <w:tcBorders>
              <w:bottom w:val="single" w:sz="8" w:color="auto"/>
            </w:tcBorders>
          </w:tcPr>
          <w:p>
            <w:pPr>
              <w:spacing w:after="0"/>
              <w:rPr>
                <w:sz w:val="4"/>
                <w:szCs w:val="4"/>
                <w:color w:val="auto"/>
              </w:rPr>
            </w:pPr>
          </w:p>
        </w:tc>
        <w:tc>
          <w:tcPr>
            <w:tcW w:w="2300" w:type="dxa"/>
            <w:vAlign w:val="bottom"/>
            <w:tcBorders>
              <w:bottom w:val="single" w:sz="8" w:color="auto"/>
            </w:tcBorders>
          </w:tcPr>
          <w:p>
            <w:pPr>
              <w:spacing w:after="0"/>
              <w:rPr>
                <w:sz w:val="4"/>
                <w:szCs w:val="4"/>
                <w:color w:val="auto"/>
              </w:rPr>
            </w:pPr>
          </w:p>
        </w:tc>
        <w:tc>
          <w:tcPr>
            <w:tcW w:w="3040" w:type="dxa"/>
            <w:vAlign w:val="bottom"/>
            <w:tcBorders>
              <w:bottom w:val="single" w:sz="8" w:color="auto"/>
            </w:tcBorders>
          </w:tcPr>
          <w:p>
            <w:pPr>
              <w:spacing w:after="0"/>
              <w:rPr>
                <w:sz w:val="4"/>
                <w:szCs w:val="4"/>
                <w:color w:val="auto"/>
              </w:rPr>
            </w:pPr>
          </w:p>
        </w:tc>
      </w:tr>
      <w:tr>
        <w:trPr>
          <w:trHeight w:val="275"/>
        </w:trPr>
        <w:tc>
          <w:tcPr>
            <w:tcW w:w="3740" w:type="dxa"/>
            <w:vAlign w:val="bottom"/>
          </w:tcPr>
          <w:p>
            <w:pPr>
              <w:ind w:left="120"/>
              <w:spacing w:after="0"/>
              <w:rPr>
                <w:sz w:val="20"/>
                <w:szCs w:val="20"/>
                <w:color w:val="auto"/>
              </w:rPr>
            </w:pPr>
            <w:r>
              <w:rPr>
                <w:rFonts w:ascii="Arial" w:cs="Arial" w:eastAsia="Arial" w:hAnsi="Arial"/>
                <w:sz w:val="20"/>
                <w:szCs w:val="20"/>
                <w:color w:val="auto"/>
              </w:rPr>
              <w:t>Nacionais</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66</w:t>
            </w:r>
          </w:p>
        </w:tc>
        <w:tc>
          <w:tcPr>
            <w:tcW w:w="3040" w:type="dxa"/>
            <w:vAlign w:val="bottom"/>
          </w:tcPr>
          <w:p>
            <w:pPr>
              <w:ind w:left="120"/>
              <w:spacing w:after="0"/>
              <w:rPr>
                <w:sz w:val="20"/>
                <w:szCs w:val="20"/>
                <w:color w:val="auto"/>
              </w:rPr>
            </w:pPr>
            <w:r>
              <w:rPr>
                <w:rFonts w:ascii="Arial" w:cs="Arial" w:eastAsia="Arial" w:hAnsi="Arial"/>
                <w:sz w:val="20"/>
                <w:szCs w:val="20"/>
                <w:color w:val="auto"/>
              </w:rPr>
              <w:t>43.1%</w:t>
            </w:r>
          </w:p>
        </w:tc>
      </w:tr>
      <w:tr>
        <w:trPr>
          <w:trHeight w:val="239"/>
        </w:trPr>
        <w:tc>
          <w:tcPr>
            <w:tcW w:w="3740" w:type="dxa"/>
            <w:vAlign w:val="bottom"/>
          </w:tcPr>
          <w:p>
            <w:pPr>
              <w:ind w:left="120"/>
              <w:spacing w:after="0"/>
              <w:rPr>
                <w:sz w:val="20"/>
                <w:szCs w:val="20"/>
                <w:color w:val="auto"/>
              </w:rPr>
            </w:pPr>
            <w:r>
              <w:rPr>
                <w:rFonts w:ascii="Arial" w:cs="Arial" w:eastAsia="Arial" w:hAnsi="Arial"/>
                <w:sz w:val="20"/>
                <w:szCs w:val="20"/>
                <w:color w:val="auto"/>
              </w:rPr>
              <w:t>Controle Estrangeiro</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60</w:t>
            </w:r>
          </w:p>
        </w:tc>
        <w:tc>
          <w:tcPr>
            <w:tcW w:w="3040" w:type="dxa"/>
            <w:vAlign w:val="bottom"/>
          </w:tcPr>
          <w:p>
            <w:pPr>
              <w:ind w:left="120"/>
              <w:spacing w:after="0"/>
              <w:rPr>
                <w:sz w:val="20"/>
                <w:szCs w:val="20"/>
                <w:color w:val="auto"/>
              </w:rPr>
            </w:pPr>
            <w:r>
              <w:rPr>
                <w:rFonts w:ascii="Arial" w:cs="Arial" w:eastAsia="Arial" w:hAnsi="Arial"/>
                <w:sz w:val="20"/>
                <w:szCs w:val="20"/>
                <w:color w:val="auto"/>
              </w:rPr>
              <w:t>39.2%</w:t>
            </w:r>
          </w:p>
        </w:tc>
      </w:tr>
      <w:tr>
        <w:trPr>
          <w:trHeight w:val="239"/>
        </w:trPr>
        <w:tc>
          <w:tcPr>
            <w:tcW w:w="3740" w:type="dxa"/>
            <w:vAlign w:val="bottom"/>
          </w:tcPr>
          <w:p>
            <w:pPr>
              <w:ind w:left="120"/>
              <w:spacing w:after="0"/>
              <w:rPr>
                <w:sz w:val="20"/>
                <w:szCs w:val="20"/>
                <w:color w:val="auto"/>
              </w:rPr>
            </w:pPr>
            <w:r>
              <w:rPr>
                <w:rFonts w:ascii="Arial" w:cs="Arial" w:eastAsia="Arial" w:hAnsi="Arial"/>
                <w:sz w:val="20"/>
                <w:szCs w:val="20"/>
                <w:color w:val="auto"/>
              </w:rPr>
              <w:t>Nacionais com Participação</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12</w:t>
            </w:r>
          </w:p>
        </w:tc>
        <w:tc>
          <w:tcPr>
            <w:tcW w:w="3040" w:type="dxa"/>
            <w:vAlign w:val="bottom"/>
          </w:tcPr>
          <w:p>
            <w:pPr>
              <w:ind w:left="120"/>
              <w:spacing w:after="0"/>
              <w:rPr>
                <w:sz w:val="20"/>
                <w:szCs w:val="20"/>
                <w:color w:val="auto"/>
              </w:rPr>
            </w:pPr>
            <w:r>
              <w:rPr>
                <w:rFonts w:ascii="Arial" w:cs="Arial" w:eastAsia="Arial" w:hAnsi="Arial"/>
                <w:sz w:val="20"/>
                <w:szCs w:val="20"/>
                <w:color w:val="auto"/>
              </w:rPr>
              <w:t>7.8%</w:t>
            </w:r>
          </w:p>
        </w:tc>
      </w:tr>
      <w:tr>
        <w:trPr>
          <w:trHeight w:val="212"/>
        </w:trPr>
        <w:tc>
          <w:tcPr>
            <w:tcW w:w="3740" w:type="dxa"/>
            <w:vAlign w:val="bottom"/>
          </w:tcPr>
          <w:p>
            <w:pPr>
              <w:ind w:left="120"/>
              <w:spacing w:after="0" w:line="211" w:lineRule="exact"/>
              <w:rPr>
                <w:sz w:val="20"/>
                <w:szCs w:val="20"/>
                <w:color w:val="auto"/>
              </w:rPr>
            </w:pPr>
            <w:r>
              <w:rPr>
                <w:rFonts w:ascii="Arial" w:cs="Arial" w:eastAsia="Arial" w:hAnsi="Arial"/>
                <w:sz w:val="20"/>
                <w:szCs w:val="20"/>
                <w:color w:val="auto"/>
              </w:rPr>
              <w:t>Estrangeira</w:t>
            </w:r>
          </w:p>
        </w:tc>
        <w:tc>
          <w:tcPr>
            <w:tcW w:w="2300" w:type="dxa"/>
            <w:vAlign w:val="bottom"/>
          </w:tcPr>
          <w:p>
            <w:pPr>
              <w:spacing w:after="0"/>
              <w:rPr>
                <w:sz w:val="18"/>
                <w:szCs w:val="18"/>
                <w:color w:val="auto"/>
              </w:rPr>
            </w:pPr>
          </w:p>
        </w:tc>
        <w:tc>
          <w:tcPr>
            <w:tcW w:w="3040" w:type="dxa"/>
            <w:vAlign w:val="bottom"/>
          </w:tcPr>
          <w:p>
            <w:pPr>
              <w:spacing w:after="0"/>
              <w:rPr>
                <w:sz w:val="18"/>
                <w:szCs w:val="18"/>
                <w:color w:val="auto"/>
              </w:rPr>
            </w:pPr>
          </w:p>
        </w:tc>
      </w:tr>
      <w:tr>
        <w:trPr>
          <w:trHeight w:val="239"/>
        </w:trPr>
        <w:tc>
          <w:tcPr>
            <w:tcW w:w="3740" w:type="dxa"/>
            <w:vAlign w:val="bottom"/>
          </w:tcPr>
          <w:p>
            <w:pPr>
              <w:ind w:left="120"/>
              <w:spacing w:after="0"/>
              <w:rPr>
                <w:sz w:val="20"/>
                <w:szCs w:val="20"/>
                <w:color w:val="auto"/>
              </w:rPr>
            </w:pPr>
            <w:r>
              <w:rPr>
                <w:rFonts w:ascii="Arial" w:cs="Arial" w:eastAsia="Arial" w:hAnsi="Arial"/>
                <w:sz w:val="20"/>
                <w:szCs w:val="20"/>
                <w:color w:val="auto"/>
              </w:rPr>
              <w:t>Públicos</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10</w:t>
            </w:r>
          </w:p>
        </w:tc>
        <w:tc>
          <w:tcPr>
            <w:tcW w:w="3040" w:type="dxa"/>
            <w:vAlign w:val="bottom"/>
          </w:tcPr>
          <w:p>
            <w:pPr>
              <w:ind w:left="120"/>
              <w:spacing w:after="0"/>
              <w:rPr>
                <w:sz w:val="20"/>
                <w:szCs w:val="20"/>
                <w:color w:val="auto"/>
              </w:rPr>
            </w:pPr>
            <w:r>
              <w:rPr>
                <w:rFonts w:ascii="Arial" w:cs="Arial" w:eastAsia="Arial" w:hAnsi="Arial"/>
                <w:sz w:val="20"/>
                <w:szCs w:val="20"/>
                <w:color w:val="auto"/>
              </w:rPr>
              <w:t>6.5%</w:t>
            </w:r>
          </w:p>
        </w:tc>
      </w:tr>
      <w:tr>
        <w:trPr>
          <w:trHeight w:val="246"/>
        </w:trPr>
        <w:tc>
          <w:tcPr>
            <w:tcW w:w="3740" w:type="dxa"/>
            <w:vAlign w:val="bottom"/>
          </w:tcPr>
          <w:p>
            <w:pPr>
              <w:ind w:left="120"/>
              <w:spacing w:after="0"/>
              <w:rPr>
                <w:sz w:val="20"/>
                <w:szCs w:val="20"/>
                <w:color w:val="auto"/>
              </w:rPr>
            </w:pPr>
            <w:r>
              <w:rPr>
                <w:rFonts w:ascii="Arial" w:cs="Arial" w:eastAsia="Arial" w:hAnsi="Arial"/>
                <w:sz w:val="20"/>
                <w:szCs w:val="20"/>
                <w:color w:val="auto"/>
              </w:rPr>
              <w:t>Estrangeiros</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5</w:t>
            </w:r>
          </w:p>
        </w:tc>
        <w:tc>
          <w:tcPr>
            <w:tcW w:w="3040" w:type="dxa"/>
            <w:vAlign w:val="bottom"/>
          </w:tcPr>
          <w:p>
            <w:pPr>
              <w:ind w:left="120"/>
              <w:spacing w:after="0"/>
              <w:rPr>
                <w:sz w:val="20"/>
                <w:szCs w:val="20"/>
                <w:color w:val="auto"/>
              </w:rPr>
            </w:pPr>
            <w:r>
              <w:rPr>
                <w:rFonts w:ascii="Arial" w:cs="Arial" w:eastAsia="Arial" w:hAnsi="Arial"/>
                <w:sz w:val="20"/>
                <w:szCs w:val="20"/>
                <w:color w:val="auto"/>
              </w:rPr>
              <w:t>3.3%</w:t>
            </w:r>
          </w:p>
        </w:tc>
      </w:tr>
      <w:tr>
        <w:trPr>
          <w:trHeight w:val="57"/>
        </w:trPr>
        <w:tc>
          <w:tcPr>
            <w:tcW w:w="3740" w:type="dxa"/>
            <w:vAlign w:val="bottom"/>
            <w:tcBorders>
              <w:bottom w:val="single" w:sz="8" w:color="auto"/>
            </w:tcBorders>
          </w:tcPr>
          <w:p>
            <w:pPr>
              <w:spacing w:after="0"/>
              <w:rPr>
                <w:sz w:val="4"/>
                <w:szCs w:val="4"/>
                <w:color w:val="auto"/>
              </w:rPr>
            </w:pPr>
          </w:p>
        </w:tc>
        <w:tc>
          <w:tcPr>
            <w:tcW w:w="2300" w:type="dxa"/>
            <w:vAlign w:val="bottom"/>
            <w:tcBorders>
              <w:bottom w:val="single" w:sz="8" w:color="auto"/>
            </w:tcBorders>
          </w:tcPr>
          <w:p>
            <w:pPr>
              <w:spacing w:after="0"/>
              <w:rPr>
                <w:sz w:val="4"/>
                <w:szCs w:val="4"/>
                <w:color w:val="auto"/>
              </w:rPr>
            </w:pPr>
          </w:p>
        </w:tc>
        <w:tc>
          <w:tcPr>
            <w:tcW w:w="3040" w:type="dxa"/>
            <w:vAlign w:val="bottom"/>
            <w:tcBorders>
              <w:bottom w:val="single" w:sz="8" w:color="auto"/>
            </w:tcBorders>
          </w:tcPr>
          <w:p>
            <w:pPr>
              <w:spacing w:after="0"/>
              <w:rPr>
                <w:sz w:val="4"/>
                <w:szCs w:val="4"/>
                <w:color w:val="auto"/>
              </w:rPr>
            </w:pPr>
          </w:p>
        </w:tc>
      </w:tr>
    </w:tbl>
    <w:p>
      <w:pPr>
        <w:spacing w:after="0" w:line="52" w:lineRule="exact"/>
        <w:rPr>
          <w:sz w:val="20"/>
          <w:szCs w:val="20"/>
          <w:color w:val="auto"/>
        </w:rPr>
      </w:pPr>
    </w:p>
    <w:p>
      <w:pPr>
        <w:ind w:left="202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Desenvolvida pelo autor, com dados do Banco Central</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260"/>
        <w:spacing w:after="0"/>
        <w:rPr>
          <w:sz w:val="20"/>
          <w:szCs w:val="20"/>
          <w:color w:val="auto"/>
        </w:rPr>
      </w:pPr>
      <w:r>
        <w:rPr>
          <w:rFonts w:ascii="Arial" w:cs="Arial" w:eastAsia="Arial" w:hAnsi="Arial"/>
          <w:sz w:val="24"/>
          <w:szCs w:val="24"/>
          <w:i w:val="1"/>
          <w:iCs w:val="1"/>
          <w:color w:val="auto"/>
        </w:rPr>
        <w:t>HHI</w:t>
      </w:r>
      <w:r>
        <w:rPr>
          <w:rFonts w:ascii="Arial" w:cs="Arial" w:eastAsia="Arial" w:hAnsi="Arial"/>
          <w:sz w:val="24"/>
          <w:szCs w:val="24"/>
          <w:color w:val="auto"/>
        </w:rPr>
        <w:t xml:space="preserve"> = 1</w:t>
      </w:r>
      <w:r>
        <w:rPr>
          <w:rFonts w:ascii="Arial" w:cs="Arial" w:eastAsia="Arial" w:hAnsi="Arial"/>
          <w:sz w:val="24"/>
          <w:szCs w:val="24"/>
          <w:i w:val="1"/>
          <w:iCs w:val="1"/>
          <w:color w:val="auto"/>
        </w:rPr>
        <w:t>/N</w:t>
      </w:r>
      <w:r>
        <w:rPr>
          <w:rFonts w:ascii="Arial" w:cs="Arial" w:eastAsia="Arial" w:hAnsi="Arial"/>
          <w:sz w:val="24"/>
          <w:szCs w:val="24"/>
          <w:color w:val="auto"/>
        </w:rPr>
        <w:t>.</w:t>
      </w:r>
    </w:p>
    <w:tbl>
      <w:tblPr>
        <w:tblLayout w:type="fixed"/>
        <w:tblInd w:w="3260" w:type="dxa"/>
        <w:tblCellMar>
          <w:top w:w="0" w:type="dxa"/>
          <w:left w:w="0" w:type="dxa"/>
          <w:bottom w:w="0" w:type="dxa"/>
          <w:right w:w="0" w:type="dxa"/>
        </w:tblCellMar>
      </w:tblPr>
      <w:tr>
        <w:trPr>
          <w:trHeight w:val="301"/>
        </w:trPr>
        <w:tc>
          <w:tcPr>
            <w:tcW w:w="1100" w:type="dxa"/>
            <w:vAlign w:val="bottom"/>
          </w:tcPr>
          <w:p>
            <w:pPr>
              <w:spacing w:after="0"/>
              <w:rPr>
                <w:sz w:val="24"/>
                <w:szCs w:val="24"/>
                <w:color w:val="auto"/>
              </w:rPr>
            </w:pPr>
          </w:p>
        </w:tc>
        <w:tc>
          <w:tcPr>
            <w:tcW w:w="200" w:type="dxa"/>
            <w:vAlign w:val="bottom"/>
          </w:tcPr>
          <w:p>
            <w:pPr>
              <w:ind w:left="40"/>
              <w:spacing w:after="0"/>
              <w:rPr>
                <w:sz w:val="20"/>
                <w:szCs w:val="20"/>
                <w:color w:val="auto"/>
              </w:rPr>
            </w:pPr>
            <w:r>
              <w:rPr>
                <w:rFonts w:ascii="Arial" w:cs="Arial" w:eastAsia="Arial" w:hAnsi="Arial"/>
                <w:sz w:val="24"/>
                <w:szCs w:val="24"/>
                <w:color w:val="auto"/>
              </w:rPr>
              <w:t>1</w:t>
            </w:r>
          </w:p>
        </w:tc>
        <w:tc>
          <w:tcPr>
            <w:tcW w:w="560" w:type="dxa"/>
            <w:vAlign w:val="bottom"/>
          </w:tcPr>
          <w:p>
            <w:pPr>
              <w:spacing w:after="0"/>
              <w:rPr>
                <w:sz w:val="24"/>
                <w:szCs w:val="24"/>
                <w:color w:val="auto"/>
              </w:rPr>
            </w:pPr>
          </w:p>
        </w:tc>
        <w:tc>
          <w:tcPr>
            <w:tcW w:w="200" w:type="dxa"/>
            <w:vAlign w:val="bottom"/>
            <w:vMerge w:val="restart"/>
          </w:tcPr>
          <w:p>
            <w:pPr>
              <w:spacing w:after="0"/>
              <w:rPr>
                <w:sz w:val="20"/>
                <w:szCs w:val="20"/>
                <w:color w:val="auto"/>
              </w:rPr>
            </w:pPr>
            <w:r>
              <w:rPr>
                <w:rFonts w:ascii="Arial" w:cs="Arial" w:eastAsia="Arial" w:hAnsi="Arial"/>
                <w:sz w:val="20"/>
                <w:szCs w:val="20"/>
                <w:color w:val="auto"/>
              </w:rPr>
              <w:t>P</w:t>
            </w:r>
          </w:p>
        </w:tc>
        <w:tc>
          <w:tcPr>
            <w:tcW w:w="400" w:type="dxa"/>
            <w:vAlign w:val="bottom"/>
          </w:tcPr>
          <w:p>
            <w:pPr>
              <w:spacing w:after="0" w:line="300" w:lineRule="exact"/>
              <w:rPr>
                <w:sz w:val="20"/>
                <w:szCs w:val="20"/>
                <w:color w:val="auto"/>
              </w:rPr>
            </w:pPr>
            <w:r>
              <w:rPr>
                <w:rFonts w:ascii="Arial" w:cs="Arial" w:eastAsia="Arial" w:hAnsi="Arial"/>
                <w:sz w:val="14"/>
                <w:szCs w:val="14"/>
                <w:i w:val="1"/>
                <w:iCs w:val="1"/>
                <w:color w:val="auto"/>
              </w:rPr>
              <w:t>N</w:t>
            </w:r>
            <w:r>
              <w:rPr>
                <w:rFonts w:ascii="Arial" w:cs="Arial" w:eastAsia="Arial" w:hAnsi="Arial"/>
                <w:sz w:val="34"/>
                <w:szCs w:val="34"/>
                <w:color w:val="auto"/>
              </w:rPr>
              <w:t xml:space="preserve">  </w:t>
            </w:r>
            <w:r>
              <w:rPr>
                <w:rFonts w:ascii="Arial" w:cs="Arial" w:eastAsia="Arial" w:hAnsi="Arial"/>
                <w:sz w:val="34"/>
                <w:szCs w:val="34"/>
                <w:color w:val="auto"/>
                <w:vertAlign w:val="subscript"/>
              </w:rPr>
              <w:t>(</w:t>
            </w:r>
          </w:p>
        </w:tc>
        <w:tc>
          <w:tcPr>
            <w:tcW w:w="360" w:type="dxa"/>
            <w:vAlign w:val="bottom"/>
          </w:tcPr>
          <w:p>
            <w:pPr>
              <w:spacing w:after="0"/>
              <w:rPr>
                <w:sz w:val="20"/>
                <w:szCs w:val="20"/>
                <w:color w:val="auto"/>
              </w:rPr>
            </w:pPr>
            <w:r>
              <w:rPr>
                <w:rFonts w:ascii="Arial" w:cs="Arial" w:eastAsia="Arial" w:hAnsi="Arial"/>
                <w:sz w:val="16"/>
                <w:szCs w:val="16"/>
                <w:i w:val="1"/>
                <w:iCs w:val="1"/>
                <w:u w:val="single" w:color="auto"/>
                <w:color w:val="auto"/>
              </w:rPr>
              <w:t>q</w:t>
            </w:r>
            <w:r>
              <w:rPr>
                <w:rFonts w:ascii="Arial" w:cs="Arial" w:eastAsia="Arial" w:hAnsi="Arial"/>
                <w:sz w:val="23"/>
                <w:szCs w:val="23"/>
                <w:i w:val="1"/>
                <w:iCs w:val="1"/>
                <w:u w:val="single" w:color="auto"/>
                <w:color w:val="auto"/>
                <w:vertAlign w:val="subscript"/>
              </w:rPr>
              <w:t>i</w:t>
            </w:r>
            <w:r>
              <w:rPr>
                <w:rFonts w:ascii="Arial" w:cs="Arial" w:eastAsia="Arial" w:hAnsi="Arial"/>
                <w:sz w:val="16"/>
                <w:szCs w:val="16"/>
                <w:u w:val="single" w:color="auto"/>
                <w:color w:val="auto"/>
              </w:rPr>
              <w:t>−1</w:t>
            </w:r>
          </w:p>
        </w:tc>
        <w:tc>
          <w:tcPr>
            <w:tcW w:w="240" w:type="dxa"/>
            <w:vAlign w:val="bottom"/>
          </w:tcPr>
          <w:p>
            <w:pPr>
              <w:jc w:val="right"/>
              <w:spacing w:after="0" w:line="301" w:lineRule="exact"/>
              <w:rPr>
                <w:sz w:val="20"/>
                <w:szCs w:val="20"/>
                <w:color w:val="auto"/>
              </w:rPr>
            </w:pPr>
            <w:r>
              <w:rPr>
                <w:rFonts w:ascii="Arial" w:cs="Arial" w:eastAsia="Arial" w:hAnsi="Arial"/>
                <w:sz w:val="24"/>
                <w:szCs w:val="24"/>
                <w:color w:val="auto"/>
                <w:w w:val="92"/>
              </w:rPr>
              <w:t>)</w:t>
            </w:r>
            <w:r>
              <w:rPr>
                <w:rFonts w:ascii="Arial" w:cs="Arial" w:eastAsia="Arial" w:hAnsi="Arial"/>
                <w:sz w:val="31"/>
                <w:szCs w:val="31"/>
                <w:color w:val="auto"/>
                <w:w w:val="92"/>
                <w:vertAlign w:val="superscript"/>
              </w:rPr>
              <w:t>2</w:t>
            </w:r>
          </w:p>
        </w:tc>
        <w:tc>
          <w:tcPr>
            <w:tcW w:w="0" w:type="dxa"/>
            <w:vAlign w:val="bottom"/>
          </w:tcPr>
          <w:p>
            <w:pPr>
              <w:spacing w:after="0"/>
              <w:rPr>
                <w:sz w:val="1"/>
                <w:szCs w:val="1"/>
                <w:color w:val="auto"/>
              </w:rPr>
            </w:pPr>
          </w:p>
        </w:tc>
      </w:tr>
      <w:tr>
        <w:trPr>
          <w:trHeight w:val="106"/>
        </w:trPr>
        <w:tc>
          <w:tcPr>
            <w:tcW w:w="1100" w:type="dxa"/>
            <w:vAlign w:val="bottom"/>
            <w:vMerge w:val="restart"/>
          </w:tcPr>
          <w:p>
            <w:pPr>
              <w:spacing w:after="0"/>
              <w:rPr>
                <w:sz w:val="20"/>
                <w:szCs w:val="20"/>
                <w:color w:val="auto"/>
              </w:rPr>
            </w:pPr>
            <w:r>
              <w:rPr>
                <w:rFonts w:ascii="Arial" w:cs="Arial" w:eastAsia="Arial" w:hAnsi="Arial"/>
                <w:sz w:val="24"/>
                <w:szCs w:val="24"/>
                <w:i w:val="1"/>
                <w:iCs w:val="1"/>
                <w:color w:val="auto"/>
              </w:rPr>
              <w:t>HHID</w:t>
            </w:r>
            <w:r>
              <w:rPr>
                <w:rFonts w:ascii="Arial" w:cs="Arial" w:eastAsia="Arial" w:hAnsi="Arial"/>
                <w:sz w:val="24"/>
                <w:szCs w:val="24"/>
                <w:color w:val="auto"/>
              </w:rPr>
              <w:t xml:space="preserve"> =</w:t>
            </w:r>
          </w:p>
        </w:tc>
        <w:tc>
          <w:tcPr>
            <w:tcW w:w="200" w:type="dxa"/>
            <w:vAlign w:val="bottom"/>
            <w:tcBorders>
              <w:bottom w:val="single" w:sz="8" w:color="auto"/>
            </w:tcBorders>
          </w:tcPr>
          <w:p>
            <w:pPr>
              <w:spacing w:after="0"/>
              <w:rPr>
                <w:sz w:val="9"/>
                <w:szCs w:val="9"/>
                <w:color w:val="auto"/>
              </w:rPr>
            </w:pPr>
          </w:p>
        </w:tc>
        <w:tc>
          <w:tcPr>
            <w:tcW w:w="560" w:type="dxa"/>
            <w:vAlign w:val="bottom"/>
            <w:vMerge w:val="restart"/>
          </w:tcPr>
          <w:p>
            <w:pPr>
              <w:ind w:left="80"/>
              <w:spacing w:after="0"/>
              <w:rPr>
                <w:sz w:val="20"/>
                <w:szCs w:val="20"/>
                <w:color w:val="auto"/>
              </w:rPr>
            </w:pPr>
            <w:r>
              <w:rPr>
                <w:rFonts w:ascii="Arial" w:cs="Arial" w:eastAsia="Arial" w:hAnsi="Arial"/>
                <w:sz w:val="24"/>
                <w:szCs w:val="24"/>
                <w:color w:val="auto"/>
              </w:rPr>
              <w:t xml:space="preserve">+ </w:t>
            </w:r>
            <w:r>
              <w:rPr>
                <w:rFonts w:ascii="Arial" w:cs="Arial" w:eastAsia="Arial" w:hAnsi="Arial"/>
                <w:sz w:val="24"/>
                <w:szCs w:val="24"/>
                <w:i w:val="1"/>
                <w:iCs w:val="1"/>
                <w:color w:val="auto"/>
              </w:rPr>
              <w:t>N</w:t>
            </w:r>
          </w:p>
        </w:tc>
        <w:tc>
          <w:tcPr>
            <w:tcW w:w="200" w:type="dxa"/>
            <w:vAlign w:val="bottom"/>
            <w:vMerge w:val="continue"/>
          </w:tcPr>
          <w:p>
            <w:pPr>
              <w:spacing w:after="0"/>
              <w:rPr>
                <w:sz w:val="9"/>
                <w:szCs w:val="9"/>
                <w:color w:val="auto"/>
              </w:rPr>
            </w:pPr>
          </w:p>
        </w:tc>
        <w:tc>
          <w:tcPr>
            <w:tcW w:w="980" w:type="dxa"/>
            <w:vAlign w:val="bottom"/>
            <w:gridSpan w:val="3"/>
            <w:vMerge w:val="restart"/>
          </w:tcPr>
          <w:p>
            <w:pPr>
              <w:spacing w:after="0" w:line="485" w:lineRule="exact"/>
              <w:rPr>
                <w:sz w:val="20"/>
                <w:szCs w:val="20"/>
                <w:color w:val="auto"/>
              </w:rPr>
            </w:pPr>
            <w:r>
              <w:rPr>
                <w:rFonts w:ascii="Arial" w:cs="Arial" w:eastAsia="Arial" w:hAnsi="Arial"/>
                <w:sz w:val="32"/>
                <w:szCs w:val="32"/>
                <w:i w:val="1"/>
                <w:iCs w:val="1"/>
                <w:color w:val="auto"/>
                <w:vertAlign w:val="superscript"/>
              </w:rPr>
              <w:t>i</w:t>
            </w:r>
            <w:r>
              <w:rPr>
                <w:rFonts w:ascii="Arial" w:cs="Arial" w:eastAsia="Arial" w:hAnsi="Arial"/>
                <w:sz w:val="31"/>
                <w:szCs w:val="31"/>
                <w:color w:val="auto"/>
                <w:vertAlign w:val="superscript"/>
              </w:rPr>
              <w:t>=1</w:t>
            </w:r>
            <w:r>
              <w:rPr>
                <w:rFonts w:ascii="Arial" w:cs="Arial" w:eastAsia="Arial" w:hAnsi="Arial"/>
                <w:sz w:val="47"/>
                <w:szCs w:val="47"/>
                <w:i w:val="1"/>
                <w:iCs w:val="1"/>
                <w:color w:val="auto"/>
                <w:vertAlign w:val="subscript"/>
              </w:rPr>
              <w:t>N</w:t>
            </w:r>
            <w:r>
              <w:rPr>
                <w:rFonts w:ascii="Arial" w:cs="Arial" w:eastAsia="Arial" w:hAnsi="Arial"/>
                <w:sz w:val="15"/>
                <w:szCs w:val="15"/>
                <w:i w:val="1"/>
                <w:iCs w:val="1"/>
                <w:color w:val="auto"/>
              </w:rPr>
              <w:t xml:space="preserve"> N</w:t>
            </w:r>
          </w:p>
        </w:tc>
        <w:tc>
          <w:tcPr>
            <w:tcW w:w="0" w:type="dxa"/>
            <w:vAlign w:val="bottom"/>
          </w:tcPr>
          <w:p>
            <w:pPr>
              <w:spacing w:after="0"/>
              <w:rPr>
                <w:sz w:val="1"/>
                <w:szCs w:val="1"/>
                <w:color w:val="auto"/>
              </w:rPr>
            </w:pPr>
          </w:p>
        </w:tc>
      </w:tr>
      <w:tr>
        <w:trPr>
          <w:trHeight w:val="374"/>
        </w:trPr>
        <w:tc>
          <w:tcPr>
            <w:tcW w:w="1100" w:type="dxa"/>
            <w:vAlign w:val="bottom"/>
            <w:vMerge w:val="continue"/>
          </w:tcPr>
          <w:p>
            <w:pPr>
              <w:spacing w:after="0"/>
              <w:rPr>
                <w:sz w:val="24"/>
                <w:szCs w:val="24"/>
                <w:color w:val="auto"/>
              </w:rPr>
            </w:pPr>
          </w:p>
        </w:tc>
        <w:tc>
          <w:tcPr>
            <w:tcW w:w="200" w:type="dxa"/>
            <w:vAlign w:val="bottom"/>
          </w:tcPr>
          <w:p>
            <w:pPr>
              <w:ind w:left="40"/>
              <w:spacing w:after="0" w:line="266" w:lineRule="exact"/>
              <w:rPr>
                <w:sz w:val="20"/>
                <w:szCs w:val="20"/>
                <w:color w:val="auto"/>
              </w:rPr>
            </w:pPr>
            <w:r>
              <w:rPr>
                <w:rFonts w:ascii="Arial" w:cs="Arial" w:eastAsia="Arial" w:hAnsi="Arial"/>
                <w:sz w:val="24"/>
                <w:szCs w:val="24"/>
                <w:i w:val="1"/>
                <w:iCs w:val="1"/>
                <w:color w:val="auto"/>
                <w:w w:val="80"/>
              </w:rPr>
              <w:t>N</w:t>
            </w:r>
          </w:p>
        </w:tc>
        <w:tc>
          <w:tcPr>
            <w:tcW w:w="560" w:type="dxa"/>
            <w:vAlign w:val="bottom"/>
            <w:vMerge w:val="continue"/>
          </w:tcPr>
          <w:p>
            <w:pPr>
              <w:spacing w:after="0"/>
              <w:rPr>
                <w:sz w:val="24"/>
                <w:szCs w:val="24"/>
                <w:color w:val="auto"/>
              </w:rPr>
            </w:pPr>
          </w:p>
        </w:tc>
        <w:tc>
          <w:tcPr>
            <w:tcW w:w="200" w:type="dxa"/>
            <w:vAlign w:val="bottom"/>
            <w:vMerge w:val="continue"/>
          </w:tcPr>
          <w:p>
            <w:pPr>
              <w:spacing w:after="0"/>
              <w:rPr>
                <w:sz w:val="24"/>
                <w:szCs w:val="24"/>
                <w:color w:val="auto"/>
              </w:rPr>
            </w:pPr>
          </w:p>
        </w:tc>
        <w:tc>
          <w:tcPr>
            <w:tcW w:w="980" w:type="dxa"/>
            <w:vAlign w:val="bottom"/>
            <w:gridSpan w:val="3"/>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3248660</wp:posOffset>
                </wp:positionH>
                <wp:positionV relativeFrom="paragraph">
                  <wp:posOffset>-247015</wp:posOffset>
                </wp:positionV>
                <wp:extent cx="74612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461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5.8pt,-19.4499pt" to="314.55pt,-19.4499pt" o:allowincell="f" strokecolor="#000000" strokeweight="0.398pt"/>
            </w:pict>
          </mc:Fallback>
        </mc:AlternateContent>
      </w:r>
    </w:p>
    <w:p>
      <w:pPr>
        <w:spacing w:after="0" w:line="151"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A elevação da participação estrangeira no setor bancário brasileiro durante a década de 1990, evidenciado por Camargo (2009) pode ser observado na Figura 3 e Tabela 3. Ocorrendo principalmente através do controle acionário, com elevação acentuada na segunda metade da década de 1990 até o início da década de 2000.</w:t>
      </w:r>
    </w:p>
    <w:p>
      <w:pPr>
        <w:spacing w:after="0" w:line="39" w:lineRule="exact"/>
        <w:rPr>
          <w:sz w:val="20"/>
          <w:szCs w:val="20"/>
          <w:color w:val="auto"/>
        </w:rPr>
      </w:pPr>
    </w:p>
    <w:p>
      <w:pPr>
        <w:ind w:left="1080"/>
        <w:spacing w:after="0"/>
        <w:rPr>
          <w:sz w:val="20"/>
          <w:szCs w:val="20"/>
          <w:color w:val="auto"/>
        </w:rPr>
      </w:pPr>
      <w:r>
        <w:rPr>
          <w:rFonts w:ascii="Arial" w:cs="Arial" w:eastAsia="Arial" w:hAnsi="Arial"/>
          <w:sz w:val="22"/>
          <w:szCs w:val="22"/>
          <w:color w:val="auto"/>
        </w:rPr>
        <w:t>Figura 3 – Evolução da origem de capital das instituições bancárias no Brasil</w:t>
      </w:r>
    </w:p>
    <w:p>
      <w:pPr>
        <w:spacing w:after="0" w:line="200" w:lineRule="exact"/>
        <w:rPr>
          <w:sz w:val="20"/>
          <w:szCs w:val="20"/>
          <w:color w:val="auto"/>
        </w:rPr>
      </w:pPr>
    </w:p>
    <w:p>
      <w:pPr>
        <w:spacing w:after="0" w:line="256" w:lineRule="exact"/>
        <w:rPr>
          <w:sz w:val="20"/>
          <w:szCs w:val="20"/>
          <w:color w:val="auto"/>
        </w:rPr>
      </w:pPr>
    </w:p>
    <w:tbl>
      <w:tblPr>
        <w:tblLayout w:type="fixed"/>
        <w:tblInd w:w="1260" w:type="dxa"/>
        <w:tblCellMar>
          <w:top w:w="0" w:type="dxa"/>
          <w:left w:w="0" w:type="dxa"/>
          <w:bottom w:w="0" w:type="dxa"/>
          <w:right w:w="0" w:type="dxa"/>
        </w:tblCellMar>
      </w:tblPr>
      <w:tr>
        <w:trPr>
          <w:trHeight w:val="207"/>
        </w:trPr>
        <w:tc>
          <w:tcPr>
            <w:tcW w:w="200" w:type="dxa"/>
            <w:vAlign w:val="bottom"/>
          </w:tcPr>
          <w:p>
            <w:pPr>
              <w:spacing w:after="0"/>
              <w:rPr>
                <w:sz w:val="18"/>
                <w:szCs w:val="18"/>
                <w:color w:val="auto"/>
              </w:rPr>
            </w:pPr>
          </w:p>
        </w:tc>
        <w:tc>
          <w:tcPr>
            <w:tcW w:w="1940" w:type="dxa"/>
            <w:vAlign w:val="bottom"/>
          </w:tcPr>
          <w:p>
            <w:pPr>
              <w:jc w:val="right"/>
              <w:ind w:right="1497"/>
              <w:spacing w:after="0"/>
              <w:rPr>
                <w:sz w:val="20"/>
                <w:szCs w:val="20"/>
                <w:color w:val="auto"/>
              </w:rPr>
            </w:pPr>
            <w:r>
              <w:rPr>
                <w:rFonts w:ascii="Helvetica" w:cs="Helvetica" w:eastAsia="Helvetica" w:hAnsi="Helvetica"/>
                <w:sz w:val="18"/>
                <w:szCs w:val="18"/>
                <w:color w:val="4D4D4D"/>
              </w:rPr>
              <w:t>150</w:t>
            </w:r>
          </w:p>
        </w:tc>
        <w:tc>
          <w:tcPr>
            <w:tcW w:w="1200" w:type="dxa"/>
            <w:vAlign w:val="bottom"/>
          </w:tcPr>
          <w:p>
            <w:pPr>
              <w:spacing w:after="0"/>
              <w:rPr>
                <w:sz w:val="18"/>
                <w:szCs w:val="18"/>
                <w:color w:val="auto"/>
              </w:rPr>
            </w:pPr>
          </w:p>
        </w:tc>
        <w:tc>
          <w:tcPr>
            <w:tcW w:w="920" w:type="dxa"/>
            <w:vAlign w:val="bottom"/>
          </w:tcPr>
          <w:p>
            <w:pPr>
              <w:spacing w:after="0"/>
              <w:rPr>
                <w:sz w:val="18"/>
                <w:szCs w:val="18"/>
                <w:color w:val="auto"/>
              </w:rPr>
            </w:pPr>
          </w:p>
        </w:tc>
        <w:tc>
          <w:tcPr>
            <w:tcW w:w="224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026"/>
        </w:trPr>
        <w:tc>
          <w:tcPr>
            <w:tcW w:w="200" w:type="dxa"/>
            <w:vAlign w:val="bottom"/>
            <w:vMerge w:val="restart"/>
            <w:textDirection w:val="btLr"/>
          </w:tcPr>
          <w:p>
            <w:pPr>
              <w:spacing w:after="0"/>
              <w:rPr>
                <w:sz w:val="20"/>
                <w:szCs w:val="20"/>
                <w:color w:val="auto"/>
              </w:rPr>
            </w:pPr>
            <w:r>
              <w:rPr>
                <w:rFonts w:ascii="Helvetica" w:cs="Helvetica" w:eastAsia="Helvetica" w:hAnsi="Helvetica"/>
                <w:sz w:val="22"/>
                <w:szCs w:val="22"/>
                <w:color w:val="auto"/>
              </w:rPr>
              <w:t>Quantidade</w:t>
            </w:r>
          </w:p>
        </w:tc>
        <w:tc>
          <w:tcPr>
            <w:tcW w:w="1940" w:type="dxa"/>
            <w:vAlign w:val="bottom"/>
          </w:tcPr>
          <w:p>
            <w:pPr>
              <w:jc w:val="right"/>
              <w:ind w:right="1497"/>
              <w:spacing w:after="0"/>
              <w:rPr>
                <w:sz w:val="20"/>
                <w:szCs w:val="20"/>
                <w:color w:val="auto"/>
              </w:rPr>
            </w:pPr>
            <w:r>
              <w:rPr>
                <w:rFonts w:ascii="Helvetica" w:cs="Helvetica" w:eastAsia="Helvetica" w:hAnsi="Helvetica"/>
                <w:sz w:val="18"/>
                <w:szCs w:val="18"/>
                <w:color w:val="4D4D4D"/>
              </w:rPr>
              <w:t>100</w:t>
            </w:r>
          </w:p>
        </w:tc>
        <w:tc>
          <w:tcPr>
            <w:tcW w:w="120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2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26"/>
        </w:trPr>
        <w:tc>
          <w:tcPr>
            <w:tcW w:w="200" w:type="dxa"/>
            <w:vAlign w:val="bottom"/>
            <w:vMerge w:val="continue"/>
          </w:tcPr>
          <w:p>
            <w:pPr>
              <w:spacing w:after="0"/>
              <w:rPr>
                <w:sz w:val="24"/>
                <w:szCs w:val="24"/>
                <w:color w:val="auto"/>
              </w:rPr>
            </w:pPr>
          </w:p>
        </w:tc>
        <w:tc>
          <w:tcPr>
            <w:tcW w:w="1940" w:type="dxa"/>
            <w:vAlign w:val="bottom"/>
          </w:tcPr>
          <w:p>
            <w:pPr>
              <w:jc w:val="right"/>
              <w:ind w:right="1497"/>
              <w:spacing w:after="0"/>
              <w:rPr>
                <w:sz w:val="20"/>
                <w:szCs w:val="20"/>
                <w:color w:val="auto"/>
              </w:rPr>
            </w:pPr>
            <w:r>
              <w:rPr>
                <w:rFonts w:ascii="Helvetica" w:cs="Helvetica" w:eastAsia="Helvetica" w:hAnsi="Helvetica"/>
                <w:sz w:val="18"/>
                <w:szCs w:val="18"/>
                <w:color w:val="4D4D4D"/>
              </w:rPr>
              <w:t>50</w:t>
            </w:r>
          </w:p>
        </w:tc>
        <w:tc>
          <w:tcPr>
            <w:tcW w:w="120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2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26"/>
        </w:trPr>
        <w:tc>
          <w:tcPr>
            <w:tcW w:w="200" w:type="dxa"/>
            <w:vAlign w:val="bottom"/>
          </w:tcPr>
          <w:p>
            <w:pPr>
              <w:spacing w:after="0"/>
              <w:rPr>
                <w:sz w:val="24"/>
                <w:szCs w:val="24"/>
                <w:color w:val="auto"/>
              </w:rPr>
            </w:pPr>
          </w:p>
        </w:tc>
        <w:tc>
          <w:tcPr>
            <w:tcW w:w="1940" w:type="dxa"/>
            <w:vAlign w:val="bottom"/>
          </w:tcPr>
          <w:p>
            <w:pPr>
              <w:jc w:val="right"/>
              <w:ind w:right="1497"/>
              <w:spacing w:after="0"/>
              <w:rPr>
                <w:sz w:val="20"/>
                <w:szCs w:val="20"/>
                <w:color w:val="auto"/>
              </w:rPr>
            </w:pPr>
            <w:r>
              <w:rPr>
                <w:rFonts w:ascii="Helvetica" w:cs="Helvetica" w:eastAsia="Helvetica" w:hAnsi="Helvetica"/>
                <w:sz w:val="18"/>
                <w:szCs w:val="18"/>
                <w:color w:val="4D4D4D"/>
              </w:rPr>
              <w:t>0</w:t>
            </w:r>
          </w:p>
        </w:tc>
        <w:tc>
          <w:tcPr>
            <w:tcW w:w="120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24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200" w:type="dxa"/>
            <w:vAlign w:val="bottom"/>
          </w:tcPr>
          <w:p>
            <w:pPr>
              <w:spacing w:after="0"/>
              <w:rPr>
                <w:sz w:val="23"/>
                <w:szCs w:val="23"/>
                <w:color w:val="auto"/>
              </w:rPr>
            </w:pPr>
          </w:p>
        </w:tc>
        <w:tc>
          <w:tcPr>
            <w:tcW w:w="1940" w:type="dxa"/>
            <w:vAlign w:val="bottom"/>
          </w:tcPr>
          <w:p>
            <w:pPr>
              <w:jc w:val="right"/>
              <w:ind w:right="917"/>
              <w:spacing w:after="0"/>
              <w:rPr>
                <w:sz w:val="20"/>
                <w:szCs w:val="20"/>
                <w:color w:val="auto"/>
              </w:rPr>
            </w:pPr>
            <w:r>
              <w:rPr>
                <w:rFonts w:ascii="Helvetica" w:cs="Helvetica" w:eastAsia="Helvetica" w:hAnsi="Helvetica"/>
                <w:sz w:val="18"/>
                <w:szCs w:val="18"/>
                <w:color w:val="4D4D4D"/>
              </w:rPr>
              <w:t>1990</w:t>
            </w:r>
          </w:p>
        </w:tc>
        <w:tc>
          <w:tcPr>
            <w:tcW w:w="1200" w:type="dxa"/>
            <w:vAlign w:val="bottom"/>
          </w:tcPr>
          <w:p>
            <w:pPr>
              <w:jc w:val="right"/>
              <w:ind w:right="150"/>
              <w:spacing w:after="0"/>
              <w:rPr>
                <w:sz w:val="20"/>
                <w:szCs w:val="20"/>
                <w:color w:val="auto"/>
              </w:rPr>
            </w:pPr>
            <w:r>
              <w:rPr>
                <w:rFonts w:ascii="Helvetica" w:cs="Helvetica" w:eastAsia="Helvetica" w:hAnsi="Helvetica"/>
                <w:sz w:val="18"/>
                <w:szCs w:val="18"/>
                <w:color w:val="4D4D4D"/>
              </w:rPr>
              <w:t>2000</w:t>
            </w:r>
          </w:p>
        </w:tc>
        <w:tc>
          <w:tcPr>
            <w:tcW w:w="920" w:type="dxa"/>
            <w:vAlign w:val="bottom"/>
          </w:tcPr>
          <w:p>
            <w:pPr>
              <w:spacing w:after="0"/>
              <w:rPr>
                <w:sz w:val="23"/>
                <w:szCs w:val="23"/>
                <w:color w:val="auto"/>
              </w:rPr>
            </w:pPr>
          </w:p>
        </w:tc>
        <w:tc>
          <w:tcPr>
            <w:tcW w:w="2240" w:type="dxa"/>
            <w:vAlign w:val="bottom"/>
          </w:tcPr>
          <w:p>
            <w:pPr>
              <w:jc w:val="right"/>
              <w:ind w:right="1330"/>
              <w:spacing w:after="0"/>
              <w:rPr>
                <w:sz w:val="20"/>
                <w:szCs w:val="20"/>
                <w:color w:val="auto"/>
              </w:rPr>
            </w:pPr>
            <w:r>
              <w:rPr>
                <w:rFonts w:ascii="Helvetica" w:cs="Helvetica" w:eastAsia="Helvetica" w:hAnsi="Helvetica"/>
                <w:sz w:val="18"/>
                <w:szCs w:val="18"/>
                <w:color w:val="4D4D4D"/>
              </w:rPr>
              <w:t>2010</w:t>
            </w:r>
          </w:p>
        </w:tc>
        <w:tc>
          <w:tcPr>
            <w:tcW w:w="760" w:type="dxa"/>
            <w:vAlign w:val="bottom"/>
          </w:tcPr>
          <w:p>
            <w:pPr>
              <w:jc w:val="right"/>
              <w:ind w:right="90"/>
              <w:spacing w:after="0"/>
              <w:rPr>
                <w:sz w:val="20"/>
                <w:szCs w:val="20"/>
                <w:color w:val="auto"/>
              </w:rPr>
            </w:pPr>
            <w:r>
              <w:rPr>
                <w:rFonts w:ascii="Helvetica" w:cs="Helvetica" w:eastAsia="Helvetica" w:hAnsi="Helvetica"/>
                <w:sz w:val="18"/>
                <w:szCs w:val="18"/>
                <w:color w:val="4D4D4D"/>
              </w:rPr>
              <w:t>2020</w:t>
            </w:r>
          </w:p>
        </w:tc>
        <w:tc>
          <w:tcPr>
            <w:tcW w:w="0" w:type="dxa"/>
            <w:vAlign w:val="bottom"/>
          </w:tcPr>
          <w:p>
            <w:pPr>
              <w:spacing w:after="0"/>
              <w:rPr>
                <w:sz w:val="1"/>
                <w:szCs w:val="1"/>
                <w:color w:val="auto"/>
              </w:rPr>
            </w:pPr>
          </w:p>
        </w:tc>
      </w:tr>
      <w:tr>
        <w:trPr>
          <w:trHeight w:val="469"/>
        </w:trPr>
        <w:tc>
          <w:tcPr>
            <w:tcW w:w="200" w:type="dxa"/>
            <w:vAlign w:val="bottom"/>
          </w:tcPr>
          <w:p>
            <w:pPr>
              <w:spacing w:after="0"/>
              <w:rPr>
                <w:sz w:val="24"/>
                <w:szCs w:val="24"/>
                <w:color w:val="auto"/>
              </w:rPr>
            </w:pPr>
          </w:p>
        </w:tc>
        <w:tc>
          <w:tcPr>
            <w:tcW w:w="1940" w:type="dxa"/>
            <w:vAlign w:val="bottom"/>
          </w:tcPr>
          <w:p>
            <w:pPr>
              <w:jc w:val="right"/>
              <w:ind w:right="217"/>
              <w:spacing w:after="0"/>
              <w:rPr>
                <w:sz w:val="20"/>
                <w:szCs w:val="20"/>
                <w:color w:val="auto"/>
              </w:rPr>
            </w:pPr>
            <w:r>
              <w:rPr>
                <w:rFonts w:ascii="Helvetica" w:cs="Helvetica" w:eastAsia="Helvetica" w:hAnsi="Helvetica"/>
                <w:sz w:val="10"/>
                <w:szCs w:val="10"/>
                <w:color w:val="auto"/>
              </w:rPr>
              <w:t>Controle Estrangeiro</w:t>
            </w:r>
          </w:p>
        </w:tc>
        <w:tc>
          <w:tcPr>
            <w:tcW w:w="1200" w:type="dxa"/>
            <w:vAlign w:val="bottom"/>
          </w:tcPr>
          <w:p>
            <w:pPr>
              <w:jc w:val="right"/>
              <w:ind w:right="290"/>
              <w:spacing w:after="0"/>
              <w:rPr>
                <w:sz w:val="20"/>
                <w:szCs w:val="20"/>
                <w:color w:val="auto"/>
              </w:rPr>
            </w:pPr>
            <w:r>
              <w:rPr>
                <w:rFonts w:ascii="Helvetica" w:cs="Helvetica" w:eastAsia="Helvetica" w:hAnsi="Helvetica"/>
                <w:sz w:val="10"/>
                <w:szCs w:val="10"/>
                <w:color w:val="auto"/>
              </w:rPr>
              <w:t>Estrangeiros</w:t>
            </w:r>
          </w:p>
        </w:tc>
        <w:tc>
          <w:tcPr>
            <w:tcW w:w="920" w:type="dxa"/>
            <w:vAlign w:val="bottom"/>
          </w:tcPr>
          <w:p>
            <w:pPr>
              <w:ind w:left="200"/>
              <w:spacing w:after="0"/>
              <w:rPr>
                <w:sz w:val="20"/>
                <w:szCs w:val="20"/>
                <w:color w:val="auto"/>
              </w:rPr>
            </w:pPr>
            <w:r>
              <w:rPr>
                <w:rFonts w:ascii="Helvetica" w:cs="Helvetica" w:eastAsia="Helvetica" w:hAnsi="Helvetica"/>
                <w:sz w:val="10"/>
                <w:szCs w:val="10"/>
                <w:color w:val="auto"/>
              </w:rPr>
              <w:t>Nacionais</w:t>
            </w:r>
          </w:p>
        </w:tc>
        <w:tc>
          <w:tcPr>
            <w:tcW w:w="2240" w:type="dxa"/>
            <w:vAlign w:val="bottom"/>
          </w:tcPr>
          <w:p>
            <w:pPr>
              <w:jc w:val="right"/>
              <w:ind w:right="130"/>
              <w:spacing w:after="0"/>
              <w:rPr>
                <w:sz w:val="20"/>
                <w:szCs w:val="20"/>
                <w:color w:val="auto"/>
              </w:rPr>
            </w:pPr>
            <w:r>
              <w:rPr>
                <w:rFonts w:ascii="Helvetica" w:cs="Helvetica" w:eastAsia="Helvetica" w:hAnsi="Helvetica"/>
                <w:sz w:val="10"/>
                <w:szCs w:val="10"/>
                <w:color w:val="auto"/>
              </w:rPr>
              <w:t>Nacionais com Participação Estrangeira</w:t>
            </w:r>
          </w:p>
        </w:tc>
        <w:tc>
          <w:tcPr>
            <w:tcW w:w="760" w:type="dxa"/>
            <w:vAlign w:val="bottom"/>
          </w:tcPr>
          <w:p>
            <w:pPr>
              <w:jc w:val="right"/>
              <w:spacing w:after="0"/>
              <w:rPr>
                <w:sz w:val="20"/>
                <w:szCs w:val="20"/>
                <w:color w:val="auto"/>
              </w:rPr>
            </w:pPr>
            <w:r>
              <w:rPr>
                <w:rFonts w:ascii="Helvetica" w:cs="Helvetica" w:eastAsia="Helvetica" w:hAnsi="Helvetica"/>
                <w:sz w:val="10"/>
                <w:szCs w:val="10"/>
                <w:color w:val="auto"/>
              </w:rPr>
              <w:t>Públicos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1179195</wp:posOffset>
            </wp:positionH>
            <wp:positionV relativeFrom="paragraph">
              <wp:posOffset>-2517775</wp:posOffset>
            </wp:positionV>
            <wp:extent cx="4048760" cy="20853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extLst>
                    </a:blip>
                    <a:srcRect/>
                    <a:stretch>
                      <a:fillRect/>
                    </a:stretch>
                  </pic:blipFill>
                  <pic:spPr bwMode="auto">
                    <a:xfrm>
                      <a:off x="0" y="0"/>
                      <a:ext cx="4048760" cy="208534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1125855</wp:posOffset>
                </wp:positionH>
                <wp:positionV relativeFrom="paragraph">
                  <wp:posOffset>-36830</wp:posOffset>
                </wp:positionV>
                <wp:extent cx="17526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260" cy="4763"/>
                        </a:xfrm>
                        <a:prstGeom prst="line">
                          <a:avLst/>
                        </a:prstGeom>
                        <a:solidFill>
                          <a:srgbClr val="FFFFFF"/>
                        </a:solidFill>
                        <a:ln w="13589">
                          <a:solidFill>
                            <a:srgbClr val="F8766D"/>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65pt,-2.8999pt" to="102.45pt,-2.8999pt" o:allowincell="f" strokecolor="#F8766D" strokeweight="1.07pt"/>
            </w:pict>
          </mc:Fallback>
        </mc:AlternateContent>
        <mc:AlternateContent>
          <mc:Choice Requires="wps">
            <w:drawing>
              <wp:anchor simplePos="0" relativeHeight="251657728" behindDoc="1" locked="0" layoutInCell="0" allowOverlap="1">
                <wp:simplePos x="0" y="0"/>
                <wp:positionH relativeFrom="column">
                  <wp:posOffset>2066290</wp:posOffset>
                </wp:positionH>
                <wp:positionV relativeFrom="paragraph">
                  <wp:posOffset>-36830</wp:posOffset>
                </wp:positionV>
                <wp:extent cx="17526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260" cy="4763"/>
                        </a:xfrm>
                        <a:prstGeom prst="line">
                          <a:avLst/>
                        </a:prstGeom>
                        <a:solidFill>
                          <a:srgbClr val="FFFFFF"/>
                        </a:solidFill>
                        <a:ln w="13589">
                          <a:solidFill>
                            <a:srgbClr val="A3A5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7pt,-2.8999pt" to="176.5pt,-2.8999pt" o:allowincell="f" strokecolor="#A3A500" strokeweight="1.07pt"/>
            </w:pict>
          </mc:Fallback>
        </mc:AlternateContent>
        <mc:AlternateContent>
          <mc:Choice Requires="wps">
            <w:drawing>
              <wp:anchor simplePos="0" relativeHeight="251657728" behindDoc="1" locked="0" layoutInCell="0" allowOverlap="1">
                <wp:simplePos x="0" y="0"/>
                <wp:positionH relativeFrom="column">
                  <wp:posOffset>2780665</wp:posOffset>
                </wp:positionH>
                <wp:positionV relativeFrom="paragraph">
                  <wp:posOffset>-36830</wp:posOffset>
                </wp:positionV>
                <wp:extent cx="17526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260" cy="4763"/>
                        </a:xfrm>
                        <a:prstGeom prst="line">
                          <a:avLst/>
                        </a:prstGeom>
                        <a:solidFill>
                          <a:srgbClr val="FFFFFF"/>
                        </a:solidFill>
                        <a:ln w="13589">
                          <a:solidFill>
                            <a:srgbClr val="00BF7D"/>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8.95pt,-2.8999pt" to="232.75pt,-2.8999pt" o:allowincell="f" strokecolor="#00BF7D" strokeweight="1.07pt"/>
            </w:pict>
          </mc:Fallback>
        </mc:AlternateContent>
        <mc:AlternateContent>
          <mc:Choice Requires="wps">
            <w:drawing>
              <wp:anchor simplePos="0" relativeHeight="251657728" behindDoc="1" locked="0" layoutInCell="0" allowOverlap="1">
                <wp:simplePos x="0" y="0"/>
                <wp:positionH relativeFrom="column">
                  <wp:posOffset>3417570</wp:posOffset>
                </wp:positionH>
                <wp:positionV relativeFrom="paragraph">
                  <wp:posOffset>-36830</wp:posOffset>
                </wp:positionV>
                <wp:extent cx="17589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895" cy="4763"/>
                        </a:xfrm>
                        <a:prstGeom prst="line">
                          <a:avLst/>
                        </a:prstGeom>
                        <a:solidFill>
                          <a:srgbClr val="FFFFFF"/>
                        </a:solidFill>
                        <a:ln w="13589">
                          <a:solidFill>
                            <a:srgbClr val="00B0F6"/>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1pt,-2.8999pt" to="282.95pt,-2.8999pt" o:allowincell="f" strokecolor="#00B0F6" strokeweight="1.07pt"/>
            </w:pict>
          </mc:Fallback>
        </mc:AlternateContent>
        <mc:AlternateContent>
          <mc:Choice Requires="wps">
            <w:drawing>
              <wp:anchor simplePos="0" relativeHeight="251657728" behindDoc="1" locked="0" layoutInCell="0" allowOverlap="1">
                <wp:simplePos x="0" y="0"/>
                <wp:positionH relativeFrom="column">
                  <wp:posOffset>4900930</wp:posOffset>
                </wp:positionH>
                <wp:positionV relativeFrom="paragraph">
                  <wp:posOffset>-36830</wp:posOffset>
                </wp:positionV>
                <wp:extent cx="17589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895" cy="4763"/>
                        </a:xfrm>
                        <a:prstGeom prst="line">
                          <a:avLst/>
                        </a:prstGeom>
                        <a:solidFill>
                          <a:srgbClr val="FFFFFF"/>
                        </a:solidFill>
                        <a:ln w="13589">
                          <a:solidFill>
                            <a:srgbClr val="E76BF3"/>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5.9pt,-2.8999pt" to="399.75pt,-2.8999pt" o:allowincell="f" strokecolor="#E76BF3" strokeweight="1.07pt"/>
            </w:pict>
          </mc:Fallback>
        </mc:AlternateContent>
      </w:r>
    </w:p>
    <w:p>
      <w:pPr>
        <w:spacing w:after="0" w:line="287" w:lineRule="exact"/>
        <w:rPr>
          <w:sz w:val="20"/>
          <w:szCs w:val="20"/>
          <w:color w:val="auto"/>
        </w:rPr>
      </w:pPr>
    </w:p>
    <w:p>
      <w:pPr>
        <w:ind w:left="202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pelo autor, com dados do Banco Central</w:t>
      </w:r>
    </w:p>
    <w:p>
      <w:pPr>
        <w:sectPr>
          <w:pgSz w:w="11900" w:h="16838" w:orient="portrait"/>
          <w:cols w:equalWidth="0" w:num="1">
            <w:col w:w="9320"/>
          </w:cols>
          <w:pgMar w:left="1440" w:top="991" w:right="1146" w:bottom="59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both"/>
        <w:ind w:left="260" w:firstLine="850"/>
        <w:spacing w:after="0" w:line="447" w:lineRule="auto"/>
        <w:rPr>
          <w:sz w:val="20"/>
          <w:szCs w:val="20"/>
          <w:color w:val="auto"/>
        </w:rPr>
      </w:pPr>
      <w:r>
        <w:rPr>
          <w:rFonts w:ascii="Arial" w:cs="Arial" w:eastAsia="Arial" w:hAnsi="Arial"/>
          <w:sz w:val="23"/>
          <w:szCs w:val="23"/>
          <w:color w:val="auto"/>
        </w:rPr>
        <w:t>A expectativa com o aumento de instituições nacionais com controle estrangeiro era que houvesse elevação da concorrência e, consequentemente, redução no spread bancário, aumento da concessão de crédito, melhoria da qualidade e dos produtos</w:t>
      </w:r>
    </w:p>
    <w:p>
      <w:pPr>
        <w:sectPr>
          <w:pgSz w:w="11900" w:h="16838" w:orient="portrait"/>
          <w:cols w:equalWidth="0" w:num="1">
            <w:col w:w="9320"/>
          </w:cols>
          <w:pgMar w:left="1440" w:top="991" w:right="1146" w:bottom="594" w:gutter="0" w:footer="0" w:header="0"/>
          <w:type w:val="continuous"/>
        </w:sectPr>
      </w:pPr>
    </w:p>
    <w:p>
      <w:pPr>
        <w:ind w:left="9060"/>
        <w:spacing w:after="0"/>
        <w:rPr>
          <w:sz w:val="20"/>
          <w:szCs w:val="20"/>
          <w:color w:val="auto"/>
        </w:rPr>
      </w:pPr>
      <w:r>
        <w:rPr>
          <w:rFonts w:ascii="Arial" w:cs="Arial" w:eastAsia="Arial" w:hAnsi="Arial"/>
          <w:sz w:val="24"/>
          <w:szCs w:val="24"/>
          <w:color w:val="auto"/>
        </w:rPr>
        <w:t>19</w:t>
      </w:r>
    </w:p>
    <w:p>
      <w:pPr>
        <w:spacing w:after="0" w:line="200" w:lineRule="exact"/>
        <w:rPr>
          <w:sz w:val="20"/>
          <w:szCs w:val="20"/>
          <w:color w:val="auto"/>
        </w:rPr>
      </w:pPr>
    </w:p>
    <w:p>
      <w:pPr>
        <w:spacing w:after="0" w:line="246" w:lineRule="exact"/>
        <w:rPr>
          <w:sz w:val="20"/>
          <w:szCs w:val="20"/>
          <w:color w:val="auto"/>
        </w:rPr>
      </w:pPr>
    </w:p>
    <w:p>
      <w:pPr>
        <w:jc w:val="both"/>
        <w:ind w:left="260" w:right="60" w:firstLine="8"/>
        <w:spacing w:after="0" w:line="431" w:lineRule="auto"/>
        <w:rPr>
          <w:sz w:val="20"/>
          <w:szCs w:val="20"/>
          <w:color w:val="auto"/>
        </w:rPr>
      </w:pPr>
      <w:r>
        <w:rPr>
          <w:rFonts w:ascii="Arial" w:cs="Arial" w:eastAsia="Arial" w:hAnsi="Arial"/>
          <w:sz w:val="24"/>
          <w:szCs w:val="24"/>
          <w:color w:val="auto"/>
        </w:rPr>
        <w:t>financeiros, avanços em tecnologias, ou seja, uma elevação na eficiência do setor (CAMARGO, 2009).</w:t>
      </w:r>
    </w:p>
    <w:p>
      <w:pPr>
        <w:spacing w:after="0" w:line="85"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Porém, o que se observou foi a adoção de postura conservadora por partes dos bancos estrangeiros, com estratégia de ativos inclinada para negociação de títulos públicos, e passivos direcionados para a captação de recursos advindos de grupos de rendas média e alta, com exceção dos bancos públicos que concentraram em operações de crédito (CAMARGO, 2009).</w:t>
      </w:r>
    </w:p>
    <w:p>
      <w:pPr>
        <w:spacing w:after="0" w:line="101"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A inclinação para aplicação massiva em títulos públicos por parte das institui-cões estrangeiras e de controle estrangeiro se dava diante a manutenção de elevadas taxas de juros, tornando o crédito para empreendimentos privados de elevado risco, e consequentemente elevando substancialmente o spread bancário e reduzindo a oferta de crédito (CAMARGO, 2009).</w:t>
      </w:r>
    </w:p>
    <w:p>
      <w:pPr>
        <w:spacing w:after="0" w:line="101"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Outra variável importante na determinação do nível de desenvolvimento do sistema financeiro e econômica é relação crédito/PIB, que demonstra participação do total de concessão de crédito sobre o produto interno bruto do país. Quanto maior o per-centual desta relação, espera-se um cenário de custo de crédito menor e favorecimento de empreendimentos capazes de impulsionar o crescimento.</w:t>
      </w:r>
    </w:p>
    <w:p>
      <w:pPr>
        <w:spacing w:after="0" w:line="101"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A Figura 4 demonstra o comportamento da relação crédito/PIB no Brasil, que entre a segunda metade da década de 1990 até a meados da primeira metade da década de 2000 sofreu significativa queda, ficando abaixo dos 25%. Após esse período a oferta de crédito ocorreu uma expansão exponencial atingindo um pico de 54.21% do PIB.</w:t>
      </w:r>
    </w:p>
    <w:p>
      <w:pPr>
        <w:spacing w:after="0" w:line="101" w:lineRule="exact"/>
        <w:rPr>
          <w:sz w:val="20"/>
          <w:szCs w:val="20"/>
          <w:color w:val="auto"/>
        </w:rPr>
      </w:pPr>
    </w:p>
    <w:p>
      <w:pPr>
        <w:jc w:val="both"/>
        <w:ind w:left="260" w:firstLine="850"/>
        <w:spacing w:after="0" w:line="440" w:lineRule="auto"/>
        <w:rPr>
          <w:sz w:val="20"/>
          <w:szCs w:val="20"/>
          <w:color w:val="auto"/>
        </w:rPr>
      </w:pPr>
      <w:r>
        <w:rPr>
          <w:rFonts w:ascii="Arial" w:cs="Arial" w:eastAsia="Arial" w:hAnsi="Arial"/>
          <w:sz w:val="23"/>
          <w:szCs w:val="23"/>
          <w:color w:val="auto"/>
        </w:rPr>
        <w:t>Durante o período citado, foi observado no setor bancário brasileiro os maiores níveis de spread praticados no mundo, associado a um quadro econômico instabilidades e baixos crescimento e desenvolvimento. Esse cenário encontra embasamento em estudos teóricos e empíricos que demonstram que um sistema financeiro desenvolvido favorece o crescimento e desenvolvimento econômico (LEVINE, 1997; MATOS, 2003).</w:t>
      </w:r>
    </w:p>
    <w:p>
      <w:pPr>
        <w:sectPr>
          <w:pgSz w:w="11900" w:h="16838" w:orient="portrait"/>
          <w:cols w:equalWidth="0" w:num="1">
            <w:col w:w="9380"/>
          </w:cols>
          <w:pgMar w:left="1440" w:top="991" w:right="1086" w:bottom="1018" w:gutter="0" w:footer="0" w:header="0"/>
        </w:sectPr>
      </w:pPr>
    </w:p>
    <w:p>
      <w:pPr>
        <w:jc w:val="right"/>
        <w:spacing w:after="0"/>
        <w:rPr>
          <w:sz w:val="20"/>
          <w:szCs w:val="20"/>
          <w:color w:val="auto"/>
        </w:rPr>
      </w:pPr>
      <w:r>
        <w:rPr>
          <w:rFonts w:ascii="Arial" w:cs="Arial" w:eastAsia="Arial" w:hAnsi="Arial"/>
          <w:sz w:val="24"/>
          <w:szCs w:val="24"/>
          <w:color w:val="auto"/>
        </w:rPr>
        <w:t>20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tbl>
      <w:tblPr>
        <w:tblLayout w:type="fixed"/>
        <w:tblInd w:w="1340" w:type="dxa"/>
        <w:tblCellMar>
          <w:top w:w="0" w:type="dxa"/>
          <w:left w:w="0" w:type="dxa"/>
          <w:bottom w:w="0" w:type="dxa"/>
          <w:right w:w="0" w:type="dxa"/>
        </w:tblCellMar>
      </w:tblPr>
      <w:tr>
        <w:trPr>
          <w:trHeight w:val="269"/>
        </w:trPr>
        <w:tc>
          <w:tcPr>
            <w:tcW w:w="220" w:type="dxa"/>
            <w:vAlign w:val="bottom"/>
          </w:tcPr>
          <w:p>
            <w:pPr>
              <w:spacing w:after="0"/>
              <w:rPr>
                <w:sz w:val="23"/>
                <w:szCs w:val="23"/>
                <w:color w:val="auto"/>
              </w:rPr>
            </w:pPr>
          </w:p>
        </w:tc>
        <w:tc>
          <w:tcPr>
            <w:tcW w:w="5920" w:type="dxa"/>
            <w:vAlign w:val="bottom"/>
            <w:gridSpan w:val="2"/>
          </w:tcPr>
          <w:p>
            <w:pPr>
              <w:jc w:val="right"/>
              <w:ind w:right="50"/>
              <w:spacing w:after="0"/>
              <w:rPr>
                <w:sz w:val="20"/>
                <w:szCs w:val="20"/>
                <w:color w:val="auto"/>
              </w:rPr>
            </w:pPr>
            <w:r>
              <w:rPr>
                <w:rFonts w:ascii="Arial" w:cs="Arial" w:eastAsia="Arial" w:hAnsi="Arial"/>
                <w:sz w:val="22"/>
                <w:szCs w:val="22"/>
                <w:color w:val="auto"/>
              </w:rPr>
              <w:t>Figura 4 – Evolução da relação Crédito/PIB no Brasil</w:t>
            </w:r>
          </w:p>
        </w:tc>
        <w:tc>
          <w:tcPr>
            <w:tcW w:w="5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243"/>
        </w:trPr>
        <w:tc>
          <w:tcPr>
            <w:tcW w:w="220" w:type="dxa"/>
            <w:vAlign w:val="bottom"/>
          </w:tcPr>
          <w:p>
            <w:pPr>
              <w:spacing w:after="0"/>
              <w:rPr>
                <w:sz w:val="24"/>
                <w:szCs w:val="24"/>
                <w:color w:val="auto"/>
              </w:rPr>
            </w:pPr>
          </w:p>
        </w:tc>
        <w:tc>
          <w:tcPr>
            <w:tcW w:w="2800" w:type="dxa"/>
            <w:vAlign w:val="bottom"/>
          </w:tcPr>
          <w:p>
            <w:pPr>
              <w:jc w:val="right"/>
              <w:ind w:right="2466"/>
              <w:spacing w:after="0"/>
              <w:rPr>
                <w:sz w:val="20"/>
                <w:szCs w:val="20"/>
                <w:color w:val="auto"/>
              </w:rPr>
            </w:pPr>
            <w:r>
              <w:rPr>
                <w:rFonts w:ascii="Helvetica" w:cs="Helvetica" w:eastAsia="Helvetica" w:hAnsi="Helvetica"/>
                <w:sz w:val="18"/>
                <w:szCs w:val="18"/>
                <w:color w:val="4D4D4D"/>
              </w:rPr>
              <w:t>50</w:t>
            </w:r>
          </w:p>
        </w:tc>
        <w:tc>
          <w:tcPr>
            <w:tcW w:w="31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33"/>
        </w:trPr>
        <w:tc>
          <w:tcPr>
            <w:tcW w:w="220" w:type="dxa"/>
            <w:vAlign w:val="bottom"/>
            <w:textDirection w:val="btLr"/>
          </w:tcPr>
          <w:p>
            <w:pPr>
              <w:spacing w:after="0"/>
              <w:rPr>
                <w:sz w:val="20"/>
                <w:szCs w:val="20"/>
                <w:color w:val="auto"/>
              </w:rPr>
            </w:pPr>
            <w:r>
              <w:rPr>
                <w:rFonts w:ascii="Helvetica" w:cs="Helvetica" w:eastAsia="Helvetica" w:hAnsi="Helvetica"/>
                <w:sz w:val="22"/>
                <w:szCs w:val="22"/>
                <w:color w:val="auto"/>
                <w:w w:val="91"/>
              </w:rPr>
              <w:t>%</w:t>
            </w:r>
          </w:p>
        </w:tc>
        <w:tc>
          <w:tcPr>
            <w:tcW w:w="280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20"/>
        </w:trPr>
        <w:tc>
          <w:tcPr>
            <w:tcW w:w="220" w:type="dxa"/>
            <w:vAlign w:val="bottom"/>
            <w:vMerge w:val="restart"/>
            <w:textDirection w:val="btLr"/>
          </w:tcPr>
          <w:p>
            <w:pPr>
              <w:spacing w:after="0"/>
              <w:rPr>
                <w:sz w:val="20"/>
                <w:szCs w:val="20"/>
                <w:color w:val="auto"/>
              </w:rPr>
            </w:pPr>
            <w:r>
              <w:rPr>
                <w:rFonts w:ascii="Helvetica" w:cs="Helvetica" w:eastAsia="Helvetica" w:hAnsi="Helvetica"/>
                <w:sz w:val="22"/>
                <w:szCs w:val="22"/>
                <w:color w:val="auto"/>
              </w:rPr>
              <w:t>Crédito/PIB</w:t>
            </w:r>
          </w:p>
        </w:tc>
        <w:tc>
          <w:tcPr>
            <w:tcW w:w="2800" w:type="dxa"/>
            <w:vAlign w:val="bottom"/>
          </w:tcPr>
          <w:p>
            <w:pPr>
              <w:jc w:val="right"/>
              <w:ind w:right="2466"/>
              <w:spacing w:after="0"/>
              <w:rPr>
                <w:sz w:val="20"/>
                <w:szCs w:val="20"/>
                <w:color w:val="auto"/>
              </w:rPr>
            </w:pPr>
            <w:r>
              <w:rPr>
                <w:rFonts w:ascii="Helvetica" w:cs="Helvetica" w:eastAsia="Helvetica" w:hAnsi="Helvetica"/>
                <w:sz w:val="18"/>
                <w:szCs w:val="18"/>
                <w:color w:val="4D4D4D"/>
              </w:rPr>
              <w:t>40</w:t>
            </w:r>
          </w:p>
        </w:tc>
        <w:tc>
          <w:tcPr>
            <w:tcW w:w="31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90"/>
        </w:trPr>
        <w:tc>
          <w:tcPr>
            <w:tcW w:w="220" w:type="dxa"/>
            <w:vAlign w:val="bottom"/>
            <w:vMerge w:val="continue"/>
          </w:tcPr>
          <w:p>
            <w:pPr>
              <w:spacing w:after="0"/>
              <w:rPr>
                <w:sz w:val="24"/>
                <w:szCs w:val="24"/>
                <w:color w:val="auto"/>
              </w:rPr>
            </w:pPr>
          </w:p>
        </w:tc>
        <w:tc>
          <w:tcPr>
            <w:tcW w:w="2800" w:type="dxa"/>
            <w:vAlign w:val="bottom"/>
          </w:tcPr>
          <w:p>
            <w:pPr>
              <w:spacing w:after="0"/>
              <w:rPr>
                <w:sz w:val="24"/>
                <w:szCs w:val="24"/>
                <w:color w:val="auto"/>
              </w:rPr>
            </w:pPr>
          </w:p>
        </w:tc>
        <w:tc>
          <w:tcPr>
            <w:tcW w:w="31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62"/>
        </w:trPr>
        <w:tc>
          <w:tcPr>
            <w:tcW w:w="220" w:type="dxa"/>
            <w:vAlign w:val="bottom"/>
          </w:tcPr>
          <w:p>
            <w:pPr>
              <w:spacing w:after="0"/>
              <w:rPr>
                <w:sz w:val="24"/>
                <w:szCs w:val="24"/>
                <w:color w:val="auto"/>
              </w:rPr>
            </w:pPr>
          </w:p>
        </w:tc>
        <w:tc>
          <w:tcPr>
            <w:tcW w:w="2800" w:type="dxa"/>
            <w:vAlign w:val="bottom"/>
          </w:tcPr>
          <w:p>
            <w:pPr>
              <w:jc w:val="right"/>
              <w:ind w:right="2466"/>
              <w:spacing w:after="0"/>
              <w:rPr>
                <w:sz w:val="20"/>
                <w:szCs w:val="20"/>
                <w:color w:val="auto"/>
              </w:rPr>
            </w:pPr>
            <w:r>
              <w:rPr>
                <w:rFonts w:ascii="Helvetica" w:cs="Helvetica" w:eastAsia="Helvetica" w:hAnsi="Helvetica"/>
                <w:sz w:val="18"/>
                <w:szCs w:val="18"/>
                <w:color w:val="4D4D4D"/>
              </w:rPr>
              <w:t>30</w:t>
            </w:r>
          </w:p>
        </w:tc>
        <w:tc>
          <w:tcPr>
            <w:tcW w:w="312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31"/>
        </w:trPr>
        <w:tc>
          <w:tcPr>
            <w:tcW w:w="220" w:type="dxa"/>
            <w:vAlign w:val="bottom"/>
          </w:tcPr>
          <w:p>
            <w:pPr>
              <w:spacing w:after="0"/>
              <w:rPr>
                <w:sz w:val="24"/>
                <w:szCs w:val="24"/>
                <w:color w:val="auto"/>
              </w:rPr>
            </w:pPr>
          </w:p>
        </w:tc>
        <w:tc>
          <w:tcPr>
            <w:tcW w:w="2800" w:type="dxa"/>
            <w:vAlign w:val="bottom"/>
          </w:tcPr>
          <w:p>
            <w:pPr>
              <w:jc w:val="right"/>
              <w:ind w:right="846"/>
              <w:spacing w:after="0"/>
              <w:rPr>
                <w:sz w:val="20"/>
                <w:szCs w:val="20"/>
                <w:color w:val="auto"/>
              </w:rPr>
            </w:pPr>
            <w:r>
              <w:rPr>
                <w:rFonts w:ascii="Helvetica" w:cs="Helvetica" w:eastAsia="Helvetica" w:hAnsi="Helvetica"/>
                <w:sz w:val="18"/>
                <w:szCs w:val="18"/>
                <w:color w:val="4D4D4D"/>
              </w:rPr>
              <w:t>2000</w:t>
            </w:r>
          </w:p>
        </w:tc>
        <w:tc>
          <w:tcPr>
            <w:tcW w:w="3120" w:type="dxa"/>
            <w:vAlign w:val="bottom"/>
          </w:tcPr>
          <w:p>
            <w:pPr>
              <w:jc w:val="right"/>
              <w:ind w:right="1670"/>
              <w:spacing w:after="0"/>
              <w:rPr>
                <w:sz w:val="20"/>
                <w:szCs w:val="20"/>
                <w:color w:val="auto"/>
              </w:rPr>
            </w:pPr>
            <w:r>
              <w:rPr>
                <w:rFonts w:ascii="Helvetica" w:cs="Helvetica" w:eastAsia="Helvetica" w:hAnsi="Helvetica"/>
                <w:sz w:val="18"/>
                <w:szCs w:val="18"/>
                <w:color w:val="4D4D4D"/>
              </w:rPr>
              <w:t>2010</w:t>
            </w:r>
          </w:p>
        </w:tc>
        <w:tc>
          <w:tcPr>
            <w:tcW w:w="540" w:type="dxa"/>
            <w:vAlign w:val="bottom"/>
          </w:tcPr>
          <w:p>
            <w:pPr>
              <w:jc w:val="right"/>
              <w:spacing w:after="0"/>
              <w:rPr>
                <w:sz w:val="20"/>
                <w:szCs w:val="20"/>
                <w:color w:val="auto"/>
              </w:rPr>
            </w:pPr>
            <w:r>
              <w:rPr>
                <w:rFonts w:ascii="Helvetica" w:cs="Helvetica" w:eastAsia="Helvetica" w:hAnsi="Helvetica"/>
                <w:sz w:val="18"/>
                <w:szCs w:val="18"/>
                <w:color w:val="4D4D4D"/>
              </w:rPr>
              <w:t>2020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1172845</wp:posOffset>
            </wp:positionH>
            <wp:positionV relativeFrom="paragraph">
              <wp:posOffset>-2603500</wp:posOffset>
            </wp:positionV>
            <wp:extent cx="4112260" cy="24688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extLst>
                    </a:blip>
                    <a:srcRect/>
                    <a:stretch>
                      <a:fillRect/>
                    </a:stretch>
                  </pic:blipFill>
                  <pic:spPr bwMode="auto">
                    <a:xfrm>
                      <a:off x="0" y="0"/>
                      <a:ext cx="4112260" cy="2468880"/>
                    </a:xfrm>
                    <a:prstGeom prst="rect">
                      <a:avLst/>
                    </a:prstGeom>
                    <a:noFill/>
                  </pic:spPr>
                </pic:pic>
              </a:graphicData>
            </a:graphic>
          </wp:anchor>
        </w:drawing>
      </w:r>
    </w:p>
    <w:p>
      <w:pPr>
        <w:spacing w:after="0" w:line="231" w:lineRule="exact"/>
        <w:rPr>
          <w:sz w:val="20"/>
          <w:szCs w:val="20"/>
          <w:color w:val="auto"/>
        </w:rPr>
      </w:pPr>
    </w:p>
    <w:p>
      <w:pPr>
        <w:ind w:left="208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pelo autor, com dados o Banco Central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2180"/>
        <w:spacing w:after="0"/>
        <w:rPr>
          <w:sz w:val="20"/>
          <w:szCs w:val="20"/>
          <w:color w:val="auto"/>
        </w:rPr>
      </w:pPr>
      <w:r>
        <w:rPr>
          <w:rFonts w:ascii="Arial" w:cs="Arial" w:eastAsia="Arial" w:hAnsi="Arial"/>
          <w:sz w:val="22"/>
          <w:szCs w:val="22"/>
          <w:color w:val="auto"/>
        </w:rPr>
        <w:t>Figura 5 – Evolução anual do saldo carteira de crédito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1617345</wp:posOffset>
            </wp:positionH>
            <wp:positionV relativeFrom="paragraph">
              <wp:posOffset>314325</wp:posOffset>
            </wp:positionV>
            <wp:extent cx="3529330" cy="24409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extLst>
                    </a:blip>
                    <a:srcRect/>
                    <a:stretch>
                      <a:fillRect/>
                    </a:stretch>
                  </pic:blipFill>
                  <pic:spPr bwMode="auto">
                    <a:xfrm>
                      <a:off x="0" y="0"/>
                      <a:ext cx="3529330" cy="24409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tbl>
      <w:tblPr>
        <w:tblLayout w:type="fixed"/>
        <w:tblInd w:w="1340" w:type="dxa"/>
        <w:tblCellMar>
          <w:top w:w="0" w:type="dxa"/>
          <w:left w:w="0" w:type="dxa"/>
          <w:bottom w:w="0" w:type="dxa"/>
          <w:right w:w="0" w:type="dxa"/>
        </w:tblCellMar>
      </w:tblPr>
      <w:tr>
        <w:trPr>
          <w:trHeight w:val="207"/>
        </w:trPr>
        <w:tc>
          <w:tcPr>
            <w:tcW w:w="220" w:type="dxa"/>
            <w:vAlign w:val="bottom"/>
          </w:tcPr>
          <w:p>
            <w:pPr>
              <w:spacing w:after="0"/>
              <w:rPr>
                <w:sz w:val="18"/>
                <w:szCs w:val="18"/>
                <w:color w:val="auto"/>
              </w:rPr>
            </w:pPr>
          </w:p>
        </w:tc>
        <w:tc>
          <w:tcPr>
            <w:tcW w:w="2180" w:type="dxa"/>
            <w:vAlign w:val="bottom"/>
          </w:tcPr>
          <w:p>
            <w:pPr>
              <w:jc w:val="right"/>
              <w:ind w:right="1150"/>
              <w:spacing w:after="0"/>
              <w:rPr>
                <w:sz w:val="20"/>
                <w:szCs w:val="20"/>
                <w:color w:val="auto"/>
              </w:rPr>
            </w:pPr>
            <w:r>
              <w:rPr>
                <w:rFonts w:ascii="Helvetica" w:cs="Helvetica" w:eastAsia="Helvetica" w:hAnsi="Helvetica"/>
                <w:sz w:val="18"/>
                <w:szCs w:val="18"/>
                <w:color w:val="4D4D4D"/>
              </w:rPr>
              <w:t>$3,000,000</w:t>
            </w:r>
          </w:p>
        </w:tc>
        <w:tc>
          <w:tcPr>
            <w:tcW w:w="1720" w:type="dxa"/>
            <w:vAlign w:val="bottom"/>
          </w:tcPr>
          <w:p>
            <w:pPr>
              <w:spacing w:after="0"/>
              <w:rPr>
                <w:sz w:val="18"/>
                <w:szCs w:val="18"/>
                <w:color w:val="auto"/>
              </w:rPr>
            </w:pPr>
          </w:p>
        </w:tc>
        <w:tc>
          <w:tcPr>
            <w:tcW w:w="174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002"/>
        </w:trPr>
        <w:tc>
          <w:tcPr>
            <w:tcW w:w="220" w:type="dxa"/>
            <w:vAlign w:val="bottom"/>
            <w:vMerge w:val="restart"/>
            <w:textDirection w:val="btLr"/>
          </w:tcPr>
          <w:p>
            <w:pPr>
              <w:spacing w:after="0"/>
              <w:rPr>
                <w:sz w:val="20"/>
                <w:szCs w:val="20"/>
                <w:color w:val="auto"/>
              </w:rPr>
            </w:pPr>
            <w:r>
              <w:rPr>
                <w:rFonts w:ascii="Helvetica" w:cs="Helvetica" w:eastAsia="Helvetica" w:hAnsi="Helvetica"/>
                <w:sz w:val="22"/>
                <w:szCs w:val="22"/>
                <w:color w:val="auto"/>
                <w:w w:val="92"/>
              </w:rPr>
              <w:t>R$ Milhões</w:t>
            </w:r>
          </w:p>
        </w:tc>
        <w:tc>
          <w:tcPr>
            <w:tcW w:w="2180" w:type="dxa"/>
            <w:vAlign w:val="bottom"/>
          </w:tcPr>
          <w:p>
            <w:pPr>
              <w:jc w:val="right"/>
              <w:ind w:right="1150"/>
              <w:spacing w:after="0"/>
              <w:rPr>
                <w:sz w:val="20"/>
                <w:szCs w:val="20"/>
                <w:color w:val="auto"/>
              </w:rPr>
            </w:pPr>
            <w:r>
              <w:rPr>
                <w:rFonts w:ascii="Helvetica" w:cs="Helvetica" w:eastAsia="Helvetica" w:hAnsi="Helvetica"/>
                <w:sz w:val="18"/>
                <w:szCs w:val="18"/>
                <w:color w:val="4D4D4D"/>
              </w:rPr>
              <w:t>$2,000,000</w:t>
            </w:r>
          </w:p>
        </w:tc>
        <w:tc>
          <w:tcPr>
            <w:tcW w:w="172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08"/>
        </w:trPr>
        <w:tc>
          <w:tcPr>
            <w:tcW w:w="220" w:type="dxa"/>
            <w:vAlign w:val="bottom"/>
            <w:vMerge w:val="continue"/>
          </w:tcPr>
          <w:p>
            <w:pPr>
              <w:spacing w:after="0"/>
              <w:rPr>
                <w:sz w:val="24"/>
                <w:szCs w:val="24"/>
                <w:color w:val="auto"/>
              </w:rPr>
            </w:pPr>
          </w:p>
        </w:tc>
        <w:tc>
          <w:tcPr>
            <w:tcW w:w="218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5"/>
        </w:trPr>
        <w:tc>
          <w:tcPr>
            <w:tcW w:w="220" w:type="dxa"/>
            <w:vAlign w:val="bottom"/>
          </w:tcPr>
          <w:p>
            <w:pPr>
              <w:spacing w:after="0"/>
              <w:rPr>
                <w:sz w:val="24"/>
                <w:szCs w:val="24"/>
                <w:color w:val="auto"/>
              </w:rPr>
            </w:pPr>
          </w:p>
        </w:tc>
        <w:tc>
          <w:tcPr>
            <w:tcW w:w="2180" w:type="dxa"/>
            <w:vAlign w:val="bottom"/>
          </w:tcPr>
          <w:p>
            <w:pPr>
              <w:jc w:val="right"/>
              <w:ind w:right="1150"/>
              <w:spacing w:after="0"/>
              <w:rPr>
                <w:sz w:val="20"/>
                <w:szCs w:val="20"/>
                <w:color w:val="auto"/>
              </w:rPr>
            </w:pPr>
            <w:r>
              <w:rPr>
                <w:rFonts w:ascii="Helvetica" w:cs="Helvetica" w:eastAsia="Helvetica" w:hAnsi="Helvetica"/>
                <w:sz w:val="18"/>
                <w:szCs w:val="18"/>
                <w:color w:val="4D4D4D"/>
              </w:rPr>
              <w:t>$1,000,000</w:t>
            </w:r>
          </w:p>
        </w:tc>
        <w:tc>
          <w:tcPr>
            <w:tcW w:w="172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02"/>
        </w:trPr>
        <w:tc>
          <w:tcPr>
            <w:tcW w:w="220" w:type="dxa"/>
            <w:vAlign w:val="bottom"/>
          </w:tcPr>
          <w:p>
            <w:pPr>
              <w:spacing w:after="0"/>
              <w:rPr>
                <w:sz w:val="24"/>
                <w:szCs w:val="24"/>
                <w:color w:val="auto"/>
              </w:rPr>
            </w:pPr>
          </w:p>
        </w:tc>
        <w:tc>
          <w:tcPr>
            <w:tcW w:w="2180" w:type="dxa"/>
            <w:vAlign w:val="bottom"/>
          </w:tcPr>
          <w:p>
            <w:pPr>
              <w:jc w:val="right"/>
              <w:ind w:right="1150"/>
              <w:spacing w:after="0"/>
              <w:rPr>
                <w:sz w:val="20"/>
                <w:szCs w:val="20"/>
                <w:color w:val="auto"/>
              </w:rPr>
            </w:pPr>
            <w:r>
              <w:rPr>
                <w:rFonts w:ascii="Helvetica" w:cs="Helvetica" w:eastAsia="Helvetica" w:hAnsi="Helvetica"/>
                <w:sz w:val="18"/>
                <w:szCs w:val="18"/>
                <w:color w:val="4D4D4D"/>
              </w:rPr>
              <w:t>$0</w:t>
            </w:r>
          </w:p>
        </w:tc>
        <w:tc>
          <w:tcPr>
            <w:tcW w:w="172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7"/>
        </w:trPr>
        <w:tc>
          <w:tcPr>
            <w:tcW w:w="220" w:type="dxa"/>
            <w:vAlign w:val="bottom"/>
          </w:tcPr>
          <w:p>
            <w:pPr>
              <w:spacing w:after="0"/>
              <w:rPr>
                <w:sz w:val="24"/>
                <w:szCs w:val="24"/>
                <w:color w:val="auto"/>
              </w:rPr>
            </w:pPr>
          </w:p>
        </w:tc>
        <w:tc>
          <w:tcPr>
            <w:tcW w:w="2180" w:type="dxa"/>
            <w:vAlign w:val="bottom"/>
          </w:tcPr>
          <w:p>
            <w:pPr>
              <w:jc w:val="right"/>
              <w:ind w:right="590"/>
              <w:spacing w:after="0"/>
              <w:rPr>
                <w:sz w:val="20"/>
                <w:szCs w:val="20"/>
                <w:color w:val="auto"/>
              </w:rPr>
            </w:pPr>
            <w:r>
              <w:rPr>
                <w:rFonts w:ascii="Helvetica" w:cs="Helvetica" w:eastAsia="Helvetica" w:hAnsi="Helvetica"/>
                <w:sz w:val="18"/>
                <w:szCs w:val="18"/>
                <w:color w:val="4D4D4D"/>
              </w:rPr>
              <w:t>1990</w:t>
            </w:r>
          </w:p>
        </w:tc>
        <w:tc>
          <w:tcPr>
            <w:tcW w:w="1720" w:type="dxa"/>
            <w:vAlign w:val="bottom"/>
          </w:tcPr>
          <w:p>
            <w:pPr>
              <w:jc w:val="right"/>
              <w:ind w:right="570"/>
              <w:spacing w:after="0"/>
              <w:rPr>
                <w:sz w:val="20"/>
                <w:szCs w:val="20"/>
                <w:color w:val="auto"/>
              </w:rPr>
            </w:pPr>
            <w:r>
              <w:rPr>
                <w:rFonts w:ascii="Helvetica" w:cs="Helvetica" w:eastAsia="Helvetica" w:hAnsi="Helvetica"/>
                <w:sz w:val="18"/>
                <w:szCs w:val="18"/>
                <w:color w:val="4D4D4D"/>
              </w:rPr>
              <w:t>2000</w:t>
            </w:r>
          </w:p>
        </w:tc>
        <w:tc>
          <w:tcPr>
            <w:tcW w:w="1740" w:type="dxa"/>
            <w:vAlign w:val="bottom"/>
          </w:tcPr>
          <w:p>
            <w:pPr>
              <w:jc w:val="right"/>
              <w:ind w:right="570"/>
              <w:spacing w:after="0"/>
              <w:rPr>
                <w:sz w:val="20"/>
                <w:szCs w:val="20"/>
                <w:color w:val="auto"/>
              </w:rPr>
            </w:pPr>
            <w:r>
              <w:rPr>
                <w:rFonts w:ascii="Helvetica" w:cs="Helvetica" w:eastAsia="Helvetica" w:hAnsi="Helvetica"/>
                <w:sz w:val="18"/>
                <w:szCs w:val="18"/>
                <w:color w:val="4D4D4D"/>
              </w:rPr>
              <w:t>2010</w:t>
            </w:r>
          </w:p>
        </w:tc>
        <w:tc>
          <w:tcPr>
            <w:tcW w:w="1100" w:type="dxa"/>
            <w:vAlign w:val="bottom"/>
          </w:tcPr>
          <w:p>
            <w:pPr>
              <w:jc w:val="right"/>
              <w:spacing w:after="0"/>
              <w:rPr>
                <w:sz w:val="20"/>
                <w:szCs w:val="20"/>
                <w:color w:val="auto"/>
              </w:rPr>
            </w:pPr>
            <w:r>
              <w:rPr>
                <w:rFonts w:ascii="Helvetica" w:cs="Helvetica" w:eastAsia="Helvetica" w:hAnsi="Helvetica"/>
                <w:sz w:val="18"/>
                <w:szCs w:val="18"/>
                <w:color w:val="4D4D4D"/>
              </w:rPr>
              <w:t>2020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1645285</wp:posOffset>
                </wp:positionH>
                <wp:positionV relativeFrom="paragraph">
                  <wp:posOffset>-169545</wp:posOffset>
                </wp:positionV>
                <wp:extent cx="363918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639185" cy="4763"/>
                        </a:xfrm>
                        <a:prstGeom prst="line">
                          <a:avLst/>
                        </a:prstGeom>
                        <a:solidFill>
                          <a:srgbClr val="FFFFFF"/>
                        </a:solidFill>
                        <a:ln w="13589">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5pt,-13.3499pt" to="416.1pt,-13.3499pt" o:allowincell="f" strokecolor="#000000" strokeweight="1.07pt"/>
            </w:pict>
          </mc:Fallback>
        </mc:AlternateContent>
        <mc:AlternateContent>
          <mc:Choice Requires="wps">
            <w:drawing>
              <wp:anchor simplePos="0" relativeHeight="251657728" behindDoc="1" locked="0" layoutInCell="0" allowOverlap="1">
                <wp:simplePos x="0" y="0"/>
                <wp:positionH relativeFrom="column">
                  <wp:posOffset>1817370</wp:posOffset>
                </wp:positionH>
                <wp:positionV relativeFrom="paragraph">
                  <wp:posOffset>-169545</wp:posOffset>
                </wp:positionV>
                <wp:extent cx="0" cy="3429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589">
                          <a:solidFill>
                            <a:srgbClr val="333333"/>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1pt,-13.3499pt" to="143.1pt,-10.6499pt" o:allowincell="f" strokecolor="#333333" strokeweight="1.07pt"/>
            </w:pict>
          </mc:Fallback>
        </mc:AlternateContent>
        <mc:AlternateContent>
          <mc:Choice Requires="wps">
            <w:drawing>
              <wp:anchor simplePos="0" relativeHeight="251657728" behindDoc="1" locked="0" layoutInCell="0" allowOverlap="1">
                <wp:simplePos x="0" y="0"/>
                <wp:positionH relativeFrom="column">
                  <wp:posOffset>2921000</wp:posOffset>
                </wp:positionH>
                <wp:positionV relativeFrom="paragraph">
                  <wp:posOffset>-169545</wp:posOffset>
                </wp:positionV>
                <wp:extent cx="0" cy="3429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589">
                          <a:solidFill>
                            <a:srgbClr val="333333"/>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pt,-13.3499pt" to="230pt,-10.6499pt" o:allowincell="f" strokecolor="#333333" strokeweight="1.07pt"/>
            </w:pict>
          </mc:Fallback>
        </mc:AlternateContent>
        <mc:AlternateContent>
          <mc:Choice Requires="wps">
            <w:drawing>
              <wp:anchor simplePos="0" relativeHeight="251657728" behindDoc="1" locked="0" layoutInCell="0" allowOverlap="1">
                <wp:simplePos x="0" y="0"/>
                <wp:positionH relativeFrom="column">
                  <wp:posOffset>4025265</wp:posOffset>
                </wp:positionH>
                <wp:positionV relativeFrom="paragraph">
                  <wp:posOffset>-169545</wp:posOffset>
                </wp:positionV>
                <wp:extent cx="0" cy="3429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589">
                          <a:solidFill>
                            <a:srgbClr val="333333"/>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6.95pt,-13.3499pt" to="316.95pt,-10.6499pt" o:allowincell="f" strokecolor="#333333" strokeweight="1.07pt"/>
            </w:pict>
          </mc:Fallback>
        </mc:AlternateContent>
        <mc:AlternateContent>
          <mc:Choice Requires="wps">
            <w:drawing>
              <wp:anchor simplePos="0" relativeHeight="251657728" behindDoc="1" locked="0" layoutInCell="0" allowOverlap="1">
                <wp:simplePos x="0" y="0"/>
                <wp:positionH relativeFrom="column">
                  <wp:posOffset>5128895</wp:posOffset>
                </wp:positionH>
                <wp:positionV relativeFrom="paragraph">
                  <wp:posOffset>-169545</wp:posOffset>
                </wp:positionV>
                <wp:extent cx="0" cy="3429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589">
                          <a:solidFill>
                            <a:srgbClr val="333333"/>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3.85pt,-13.3499pt" to="403.85pt,-10.6499pt" o:allowincell="f" strokecolor="#333333" strokeweight="1.07pt"/>
            </w:pict>
          </mc:Fallback>
        </mc:AlternateContent>
      </w:r>
    </w:p>
    <w:p>
      <w:pPr>
        <w:sectPr>
          <w:pgSz w:w="11900" w:h="16838" w:orient="portrait"/>
          <w:cols w:equalWidth="0" w:num="1">
            <w:col w:w="9320"/>
          </w:cols>
          <w:pgMar w:left="1440" w:top="991" w:right="1146" w:bottom="1440" w:gutter="0" w:footer="0" w:header="0"/>
        </w:sectPr>
      </w:pPr>
    </w:p>
    <w:p>
      <w:pPr>
        <w:spacing w:after="0" w:line="251" w:lineRule="exact"/>
        <w:rPr>
          <w:sz w:val="20"/>
          <w:szCs w:val="20"/>
          <w:color w:val="auto"/>
        </w:rPr>
      </w:pPr>
    </w:p>
    <w:p>
      <w:pPr>
        <w:jc w:val="center"/>
        <w:ind w:right="-259"/>
        <w:spacing w:after="0"/>
        <w:rPr>
          <w:sz w:val="20"/>
          <w:szCs w:val="20"/>
          <w:color w:val="auto"/>
        </w:rPr>
      </w:pPr>
      <w:r>
        <w:rPr>
          <w:rFonts w:ascii="Arial" w:cs="Arial" w:eastAsia="Arial" w:hAnsi="Arial"/>
          <w:sz w:val="19"/>
          <w:szCs w:val="19"/>
          <w:color w:val="auto"/>
        </w:rPr>
        <w:t>Fonte:</w:t>
      </w:r>
      <w:r>
        <w:rPr>
          <w:rFonts w:ascii="Arial" w:cs="Arial" w:eastAsia="Arial" w:hAnsi="Arial"/>
          <w:sz w:val="20"/>
          <w:szCs w:val="20"/>
          <w:color w:val="auto"/>
        </w:rPr>
        <w:t xml:space="preserve"> :</w:t>
      </w:r>
      <w:r>
        <w:rPr>
          <w:rFonts w:ascii="Arial" w:cs="Arial" w:eastAsia="Arial" w:hAnsi="Arial"/>
          <w:sz w:val="19"/>
          <w:szCs w:val="19"/>
          <w:color w:val="auto"/>
        </w:rPr>
        <w:t xml:space="preserve"> Elaborado com dados do Banco Central</w:t>
      </w:r>
    </w:p>
    <w:p>
      <w:pPr>
        <w:sectPr>
          <w:pgSz w:w="11900" w:h="16838" w:orient="portrait"/>
          <w:cols w:equalWidth="0" w:num="1">
            <w:col w:w="9320"/>
          </w:cols>
          <w:pgMar w:left="1440" w:top="991" w:right="1146" w:bottom="1440" w:gutter="0" w:footer="0" w:header="0"/>
          <w:type w:val="continuous"/>
        </w:sectPr>
      </w:pPr>
    </w:p>
    <w:p>
      <w:pPr>
        <w:ind w:left="9060"/>
        <w:spacing w:after="0"/>
        <w:rPr>
          <w:sz w:val="20"/>
          <w:szCs w:val="20"/>
          <w:color w:val="auto"/>
        </w:rPr>
      </w:pPr>
      <w:r>
        <w:rPr>
          <w:rFonts w:ascii="Arial" w:cs="Arial" w:eastAsia="Arial" w:hAnsi="Arial"/>
          <w:sz w:val="24"/>
          <w:szCs w:val="24"/>
          <w:color w:val="auto"/>
        </w:rPr>
        <w:t>21</w:t>
      </w:r>
    </w:p>
    <w:p>
      <w:pPr>
        <w:spacing w:after="0" w:line="200" w:lineRule="exact"/>
        <w:rPr>
          <w:sz w:val="20"/>
          <w:szCs w:val="20"/>
          <w:color w:val="auto"/>
        </w:rPr>
      </w:pPr>
    </w:p>
    <w:p>
      <w:pPr>
        <w:spacing w:after="0" w:line="246"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A Figura 5 demonstra a evolução do saldo da carteira de crédito de crédito livre direcionado mensal em termos correntes, entre 1990 e 2020, podendo ser visualizada uma expansão exponencial de crédito a partir da metade da década de 2000, com leve recuo iniciado na metade da década de 2010, e posteriormente ultrapassando máxima anterior.</w:t>
      </w:r>
    </w:p>
    <w:p>
      <w:pPr>
        <w:spacing w:after="0" w:line="101"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O Sistema Financeiro em sua organização entre agentes normatizadores, supervisores, operadores e tomadores, além suas instâncias, possui um papel fun-damental na determinação de políticas para definição dos níveis adequados de base monetária e e meios de pagamentos capazes de atender a atividade econômica, oferecendo liquidez e estabilidade.</w:t>
      </w:r>
    </w:p>
    <w:p>
      <w:pPr>
        <w:spacing w:after="0" w:line="21" w:lineRule="exact"/>
        <w:rPr>
          <w:sz w:val="20"/>
          <w:szCs w:val="20"/>
          <w:color w:val="auto"/>
        </w:rPr>
      </w:pPr>
    </w:p>
    <w:p>
      <w:pPr>
        <w:jc w:val="both"/>
        <w:ind w:left="260" w:right="40" w:firstLine="858"/>
        <w:spacing w:after="0" w:line="407" w:lineRule="auto"/>
        <w:rPr>
          <w:sz w:val="20"/>
          <w:szCs w:val="20"/>
          <w:color w:val="auto"/>
        </w:rPr>
      </w:pPr>
      <w:r>
        <w:rPr>
          <w:rFonts w:ascii="Arial" w:cs="Arial" w:eastAsia="Arial" w:hAnsi="Arial"/>
          <w:sz w:val="24"/>
          <w:szCs w:val="24"/>
          <w:color w:val="auto"/>
        </w:rPr>
        <w:t>A Base Monetária restrita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0</w:t>
      </w:r>
      <w:r>
        <w:rPr>
          <w:rFonts w:ascii="Arial" w:cs="Arial" w:eastAsia="Arial" w:hAnsi="Arial"/>
          <w:sz w:val="24"/>
          <w:szCs w:val="24"/>
          <w:color w:val="auto"/>
        </w:rPr>
        <w:t xml:space="preserve"> = </w:t>
      </w:r>
      <w:r>
        <w:rPr>
          <w:rFonts w:ascii="Arial" w:cs="Arial" w:eastAsia="Arial" w:hAnsi="Arial"/>
          <w:sz w:val="24"/>
          <w:szCs w:val="24"/>
          <w:i w:val="1"/>
          <w:iCs w:val="1"/>
          <w:color w:val="auto"/>
        </w:rPr>
        <w:t>BM r</w:t>
      </w:r>
      <w:r>
        <w:rPr>
          <w:rFonts w:ascii="Arial" w:cs="Arial" w:eastAsia="Arial" w:hAnsi="Arial"/>
          <w:sz w:val="24"/>
          <w:szCs w:val="24"/>
          <w:color w:val="auto"/>
        </w:rPr>
        <w:t>) cosiste no total de pepel moeda emitido (</w:t>
      </w:r>
      <w:r>
        <w:rPr>
          <w:rFonts w:ascii="Arial" w:cs="Arial" w:eastAsia="Arial" w:hAnsi="Arial"/>
          <w:sz w:val="24"/>
          <w:szCs w:val="24"/>
          <w:i w:val="1"/>
          <w:iCs w:val="1"/>
          <w:color w:val="auto"/>
        </w:rPr>
        <w:t>P M E</w:t>
      </w:r>
      <w:r>
        <w:rPr>
          <w:rFonts w:ascii="Arial" w:cs="Arial" w:eastAsia="Arial" w:hAnsi="Arial"/>
          <w:sz w:val="24"/>
          <w:szCs w:val="24"/>
          <w:color w:val="auto"/>
        </w:rPr>
        <w:t>) e das Reservas Bancárias (</w:t>
      </w:r>
      <w:r>
        <w:rPr>
          <w:rFonts w:ascii="Arial" w:cs="Arial" w:eastAsia="Arial" w:hAnsi="Arial"/>
          <w:sz w:val="24"/>
          <w:szCs w:val="24"/>
          <w:i w:val="1"/>
          <w:iCs w:val="1"/>
          <w:color w:val="auto"/>
        </w:rPr>
        <w:t>RB</w:t>
      </w:r>
      <w:r>
        <w:rPr>
          <w:rFonts w:ascii="Arial" w:cs="Arial" w:eastAsia="Arial" w:hAnsi="Arial"/>
          <w:sz w:val="24"/>
          <w:szCs w:val="24"/>
          <w:color w:val="auto"/>
        </w:rPr>
        <w:t>) em poder das instituições ou depositadas no Banco Central. É extraída de contas analíticas no balanço do BACEN, consistindo na emissão primária de moeda e configurando o passivo monetário, resultado líquido de suas operações ativas e passivas (BACEN, 2019).</w:t>
      </w:r>
    </w:p>
    <w:p>
      <w:pPr>
        <w:spacing w:after="0" w:line="153"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BM r</w:t>
      </w:r>
      <w:r>
        <w:rPr>
          <w:rFonts w:ascii="Arial" w:cs="Arial" w:eastAsia="Arial" w:hAnsi="Arial"/>
          <w:sz w:val="24"/>
          <w:szCs w:val="24"/>
          <w:color w:val="auto"/>
        </w:rPr>
        <w:t xml:space="preserve"> =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0</w:t>
      </w:r>
      <w:r>
        <w:rPr>
          <w:rFonts w:ascii="Arial" w:cs="Arial" w:eastAsia="Arial" w:hAnsi="Arial"/>
          <w:sz w:val="24"/>
          <w:szCs w:val="24"/>
          <w:color w:val="auto"/>
        </w:rPr>
        <w:t xml:space="preserve"> = </w:t>
      </w:r>
      <w:r>
        <w:rPr>
          <w:rFonts w:ascii="Arial" w:cs="Arial" w:eastAsia="Arial" w:hAnsi="Arial"/>
          <w:sz w:val="24"/>
          <w:szCs w:val="24"/>
          <w:i w:val="1"/>
          <w:iCs w:val="1"/>
          <w:color w:val="auto"/>
        </w:rPr>
        <w:t>P M E</w:t>
      </w:r>
      <w:r>
        <w:rPr>
          <w:rFonts w:ascii="Arial" w:cs="Arial" w:eastAsia="Arial" w:hAnsi="Arial"/>
          <w:sz w:val="24"/>
          <w:szCs w:val="24"/>
          <w:color w:val="auto"/>
        </w:rPr>
        <w:t xml:space="preserve"> + </w:t>
      </w:r>
      <w:r>
        <w:rPr>
          <w:rFonts w:ascii="Arial" w:cs="Arial" w:eastAsia="Arial" w:hAnsi="Arial"/>
          <w:sz w:val="24"/>
          <w:szCs w:val="24"/>
          <w:i w:val="1"/>
          <w:iCs w:val="1"/>
          <w:color w:val="auto"/>
        </w:rPr>
        <w:t>RB</w:t>
      </w:r>
    </w:p>
    <w:p>
      <w:pPr>
        <w:spacing w:after="0" w:line="200" w:lineRule="exact"/>
        <w:rPr>
          <w:sz w:val="20"/>
          <w:szCs w:val="20"/>
          <w:color w:val="auto"/>
        </w:rPr>
      </w:pPr>
    </w:p>
    <w:p>
      <w:pPr>
        <w:spacing w:after="0" w:line="280" w:lineRule="exact"/>
        <w:rPr>
          <w:sz w:val="20"/>
          <w:szCs w:val="20"/>
          <w:color w:val="auto"/>
        </w:rPr>
      </w:pPr>
    </w:p>
    <w:p>
      <w:pPr>
        <w:jc w:val="both"/>
        <w:ind w:left="260" w:firstLine="856"/>
        <w:spacing w:after="0" w:line="426" w:lineRule="auto"/>
        <w:rPr>
          <w:sz w:val="20"/>
          <w:szCs w:val="20"/>
          <w:color w:val="auto"/>
        </w:rPr>
      </w:pPr>
      <w:r>
        <w:rPr>
          <w:rFonts w:ascii="Arial" w:cs="Arial" w:eastAsia="Arial" w:hAnsi="Arial"/>
          <w:sz w:val="23"/>
          <w:szCs w:val="23"/>
          <w:color w:val="auto"/>
        </w:rPr>
        <w:t>Em 1995 foi introduzido o conceito de Base Monetária ampliada (</w:t>
      </w:r>
      <w:r>
        <w:rPr>
          <w:rFonts w:ascii="Arial" w:cs="Arial" w:eastAsia="Arial" w:hAnsi="Arial"/>
          <w:sz w:val="23"/>
          <w:szCs w:val="23"/>
          <w:i w:val="1"/>
          <w:iCs w:val="1"/>
          <w:color w:val="auto"/>
        </w:rPr>
        <w:t>BM a</w:t>
      </w:r>
      <w:r>
        <w:rPr>
          <w:rFonts w:ascii="Arial" w:cs="Arial" w:eastAsia="Arial" w:hAnsi="Arial"/>
          <w:sz w:val="23"/>
          <w:szCs w:val="23"/>
          <w:color w:val="auto"/>
        </w:rPr>
        <w:t xml:space="preserve"> = </w:t>
      </w:r>
      <w:r>
        <w:rPr>
          <w:rFonts w:ascii="Arial" w:cs="Arial" w:eastAsia="Arial" w:hAnsi="Arial"/>
          <w:sz w:val="23"/>
          <w:szCs w:val="23"/>
          <w:i w:val="1"/>
          <w:iCs w:val="1"/>
          <w:color w:val="auto"/>
        </w:rPr>
        <w:t>M</w:t>
      </w:r>
      <w:r>
        <w:rPr>
          <w:rFonts w:ascii="Arial" w:cs="Arial" w:eastAsia="Arial" w:hAnsi="Arial"/>
          <w:sz w:val="30"/>
          <w:szCs w:val="30"/>
          <w:color w:val="auto"/>
          <w:vertAlign w:val="subscript"/>
        </w:rPr>
        <w:t>0</w:t>
      </w:r>
      <w:r>
        <w:rPr>
          <w:rFonts w:ascii="Arial" w:cs="Arial" w:eastAsia="Arial" w:hAnsi="Arial"/>
          <w:sz w:val="23"/>
          <w:szCs w:val="23"/>
          <w:color w:val="auto"/>
        </w:rPr>
        <w:t>), que possui maior capacidade de explanar os preços da economia no Brasil, uma vez que traz maior percepção do fator substituição entre a moeda, em seu conceito convencional, e os demais ativos financeiros disponíveis, incluindo os passivos, como os depósitos compulsórios (</w:t>
      </w:r>
      <w:r>
        <w:rPr>
          <w:rFonts w:ascii="Arial" w:cs="Arial" w:eastAsia="Arial" w:hAnsi="Arial"/>
          <w:sz w:val="23"/>
          <w:szCs w:val="23"/>
          <w:i w:val="1"/>
          <w:iCs w:val="1"/>
          <w:color w:val="auto"/>
        </w:rPr>
        <w:t>DC</w:t>
      </w:r>
      <w:r>
        <w:rPr>
          <w:rFonts w:ascii="Arial" w:cs="Arial" w:eastAsia="Arial" w:hAnsi="Arial"/>
          <w:sz w:val="23"/>
          <w:szCs w:val="23"/>
          <w:color w:val="auto"/>
        </w:rPr>
        <w:t>) e títulos públicos federais (</w:t>
      </w:r>
      <w:r>
        <w:rPr>
          <w:rFonts w:ascii="Arial" w:cs="Arial" w:eastAsia="Arial" w:hAnsi="Arial"/>
          <w:sz w:val="23"/>
          <w:szCs w:val="23"/>
          <w:i w:val="1"/>
          <w:iCs w:val="1"/>
          <w:color w:val="auto"/>
        </w:rPr>
        <w:t>T P F</w:t>
      </w:r>
      <w:r>
        <w:rPr>
          <w:rFonts w:ascii="Arial" w:cs="Arial" w:eastAsia="Arial" w:hAnsi="Arial"/>
          <w:sz w:val="23"/>
          <w:szCs w:val="23"/>
          <w:color w:val="auto"/>
        </w:rPr>
        <w:t xml:space="preserve"> ) (BACEN, 2019).</w:t>
      </w:r>
    </w:p>
    <w:p>
      <w:pPr>
        <w:spacing w:after="0" w:line="140" w:lineRule="exact"/>
        <w:rPr>
          <w:sz w:val="20"/>
          <w:szCs w:val="20"/>
          <w:color w:val="auto"/>
        </w:rPr>
      </w:pPr>
    </w:p>
    <w:p>
      <w:pPr>
        <w:jc w:val="center"/>
        <w:ind w:right="-199"/>
        <w:spacing w:after="0"/>
        <w:rPr>
          <w:sz w:val="20"/>
          <w:szCs w:val="20"/>
          <w:color w:val="auto"/>
        </w:rPr>
      </w:pPr>
      <w:r>
        <w:rPr>
          <w:rFonts w:ascii="Arial" w:cs="Arial" w:eastAsia="Arial" w:hAnsi="Arial"/>
          <w:sz w:val="24"/>
          <w:szCs w:val="24"/>
          <w:i w:val="1"/>
          <w:iCs w:val="1"/>
          <w:color w:val="auto"/>
        </w:rPr>
        <w:t>BM a</w:t>
      </w:r>
      <w:r>
        <w:rPr>
          <w:rFonts w:ascii="Arial" w:cs="Arial" w:eastAsia="Arial" w:hAnsi="Arial"/>
          <w:sz w:val="24"/>
          <w:szCs w:val="24"/>
          <w:color w:val="auto"/>
        </w:rPr>
        <w:t xml:space="preserve"> =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0</w:t>
      </w:r>
      <w:r>
        <w:rPr>
          <w:rFonts w:ascii="Arial" w:cs="Arial" w:eastAsia="Arial" w:hAnsi="Arial"/>
          <w:sz w:val="24"/>
          <w:szCs w:val="24"/>
          <w:color w:val="auto"/>
        </w:rPr>
        <w:t xml:space="preserve"> = </w:t>
      </w:r>
      <w:r>
        <w:rPr>
          <w:rFonts w:ascii="Arial" w:cs="Arial" w:eastAsia="Arial" w:hAnsi="Arial"/>
          <w:sz w:val="24"/>
          <w:szCs w:val="24"/>
          <w:i w:val="1"/>
          <w:iCs w:val="1"/>
          <w:color w:val="auto"/>
        </w:rPr>
        <w:t>BM r</w:t>
      </w:r>
      <w:r>
        <w:rPr>
          <w:rFonts w:ascii="Arial" w:cs="Arial" w:eastAsia="Arial" w:hAnsi="Arial"/>
          <w:sz w:val="24"/>
          <w:szCs w:val="24"/>
          <w:color w:val="auto"/>
        </w:rPr>
        <w:t xml:space="preserve"> + </w:t>
      </w:r>
      <w:r>
        <w:rPr>
          <w:rFonts w:ascii="Arial" w:cs="Arial" w:eastAsia="Arial" w:hAnsi="Arial"/>
          <w:sz w:val="24"/>
          <w:szCs w:val="24"/>
          <w:i w:val="1"/>
          <w:iCs w:val="1"/>
          <w:color w:val="auto"/>
        </w:rPr>
        <w:t>DC</w:t>
      </w:r>
      <w:r>
        <w:rPr>
          <w:rFonts w:ascii="Arial" w:cs="Arial" w:eastAsia="Arial" w:hAnsi="Arial"/>
          <w:sz w:val="24"/>
          <w:szCs w:val="24"/>
          <w:color w:val="auto"/>
        </w:rPr>
        <w:t xml:space="preserve"> + </w:t>
      </w:r>
      <w:r>
        <w:rPr>
          <w:rFonts w:ascii="Arial" w:cs="Arial" w:eastAsia="Arial" w:hAnsi="Arial"/>
          <w:sz w:val="24"/>
          <w:szCs w:val="24"/>
          <w:i w:val="1"/>
          <w:iCs w:val="1"/>
          <w:color w:val="auto"/>
        </w:rPr>
        <w:t>T P F</w:t>
      </w:r>
    </w:p>
    <w:p>
      <w:pPr>
        <w:spacing w:after="0" w:line="200" w:lineRule="exact"/>
        <w:rPr>
          <w:sz w:val="20"/>
          <w:szCs w:val="20"/>
          <w:color w:val="auto"/>
        </w:rPr>
      </w:pPr>
    </w:p>
    <w:p>
      <w:pPr>
        <w:spacing w:after="0" w:line="361"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A Figura 6 demonstra a evolução das bases monetárias restrita e ampliada, em termos correntes, entre os anos de 1995 e 2020. No inicío do período avaliado as séries estavam em patamares aproximados, ocorrendo um distanciamento exponencial ainda durante a década de 1990 e se tornando massivamente expressiva até o final do período.</w:t>
      </w:r>
    </w:p>
    <w:p>
      <w:pPr>
        <w:sectPr>
          <w:pgSz w:w="11900" w:h="16838" w:orient="portrait"/>
          <w:cols w:equalWidth="0" w:num="1">
            <w:col w:w="9360"/>
          </w:cols>
          <w:pgMar w:left="1440" w:top="991" w:right="1106" w:bottom="197" w:gutter="0" w:footer="0" w:header="0"/>
        </w:sectPr>
      </w:pPr>
    </w:p>
    <w:p>
      <w:pPr>
        <w:jc w:val="right"/>
        <w:spacing w:after="0"/>
        <w:rPr>
          <w:sz w:val="20"/>
          <w:szCs w:val="20"/>
          <w:color w:val="auto"/>
        </w:rPr>
      </w:pPr>
      <w:r>
        <w:rPr>
          <w:rFonts w:ascii="Arial" w:cs="Arial" w:eastAsia="Arial" w:hAnsi="Arial"/>
          <w:sz w:val="24"/>
          <w:szCs w:val="24"/>
          <w:color w:val="auto"/>
        </w:rPr>
        <w:t>22</w:t>
      </w:r>
    </w:p>
    <w:p>
      <w:pPr>
        <w:spacing w:after="0" w:line="200" w:lineRule="exact"/>
        <w:rPr>
          <w:sz w:val="20"/>
          <w:szCs w:val="20"/>
          <w:color w:val="auto"/>
        </w:rPr>
      </w:pPr>
    </w:p>
    <w:p>
      <w:pPr>
        <w:spacing w:after="0" w:line="215" w:lineRule="exact"/>
        <w:rPr>
          <w:sz w:val="20"/>
          <w:szCs w:val="20"/>
          <w:color w:val="auto"/>
        </w:rPr>
      </w:pPr>
    </w:p>
    <w:p>
      <w:pPr>
        <w:ind w:left="1520"/>
        <w:spacing w:after="0"/>
        <w:rPr>
          <w:sz w:val="20"/>
          <w:szCs w:val="20"/>
          <w:color w:val="auto"/>
        </w:rPr>
      </w:pPr>
      <w:r>
        <w:rPr>
          <w:rFonts w:ascii="Arial" w:cs="Arial" w:eastAsia="Arial" w:hAnsi="Arial"/>
          <w:sz w:val="22"/>
          <w:szCs w:val="22"/>
          <w:color w:val="auto"/>
        </w:rPr>
        <w:t>Figura 6 – Evolução das bases monetárias restrita e ampliada entre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1172845</wp:posOffset>
            </wp:positionH>
            <wp:positionV relativeFrom="paragraph">
              <wp:posOffset>314325</wp:posOffset>
            </wp:positionV>
            <wp:extent cx="4112260" cy="19710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extLst>
                    </a:blip>
                    <a:srcRect/>
                    <a:stretch>
                      <a:fillRect/>
                    </a:stretch>
                  </pic:blipFill>
                  <pic:spPr bwMode="auto">
                    <a:xfrm>
                      <a:off x="0" y="0"/>
                      <a:ext cx="4112260" cy="19710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tbl>
      <w:tblPr>
        <w:tblLayout w:type="fixed"/>
        <w:tblInd w:w="1340" w:type="dxa"/>
        <w:tblCellMar>
          <w:top w:w="0" w:type="dxa"/>
          <w:left w:w="0" w:type="dxa"/>
          <w:bottom w:w="0" w:type="dxa"/>
          <w:right w:w="0" w:type="dxa"/>
        </w:tblCellMar>
      </w:tblPr>
      <w:tr>
        <w:trPr>
          <w:trHeight w:val="207"/>
        </w:trPr>
        <w:tc>
          <w:tcPr>
            <w:tcW w:w="220" w:type="dxa"/>
            <w:vAlign w:val="bottom"/>
            <w:vMerge w:val="restart"/>
            <w:textDirection w:val="btLr"/>
          </w:tcPr>
          <w:p>
            <w:pPr>
              <w:spacing w:after="0"/>
              <w:rPr>
                <w:sz w:val="20"/>
                <w:szCs w:val="20"/>
                <w:color w:val="auto"/>
              </w:rPr>
            </w:pPr>
            <w:r>
              <w:rPr>
                <w:rFonts w:ascii="Helvetica" w:cs="Helvetica" w:eastAsia="Helvetica" w:hAnsi="Helvetica"/>
                <w:sz w:val="22"/>
                <w:szCs w:val="22"/>
                <w:color w:val="auto"/>
                <w:w w:val="99"/>
              </w:rPr>
              <w:t>R$ Correntes</w:t>
            </w:r>
          </w:p>
        </w:tc>
        <w:tc>
          <w:tcPr>
            <w:tcW w:w="1200" w:type="dxa"/>
            <w:vAlign w:val="bottom"/>
          </w:tcPr>
          <w:p>
            <w:pPr>
              <w:jc w:val="right"/>
              <w:ind w:right="870"/>
              <w:spacing w:after="0"/>
              <w:rPr>
                <w:sz w:val="20"/>
                <w:szCs w:val="20"/>
                <w:color w:val="auto"/>
              </w:rPr>
            </w:pPr>
            <w:r>
              <w:rPr>
                <w:rFonts w:ascii="Helvetica" w:cs="Helvetica" w:eastAsia="Helvetica" w:hAnsi="Helvetica"/>
                <w:sz w:val="18"/>
                <w:szCs w:val="18"/>
                <w:color w:val="4D4D4D"/>
              </w:rPr>
              <w:t>$6</w:t>
            </w:r>
          </w:p>
        </w:tc>
        <w:tc>
          <w:tcPr>
            <w:tcW w:w="112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1120" w:type="dxa"/>
            <w:vAlign w:val="bottom"/>
          </w:tcPr>
          <w:p>
            <w:pPr>
              <w:spacing w:after="0"/>
              <w:rPr>
                <w:sz w:val="18"/>
                <w:szCs w:val="18"/>
                <w:color w:val="auto"/>
              </w:rPr>
            </w:pPr>
          </w:p>
        </w:tc>
        <w:tc>
          <w:tcPr>
            <w:tcW w:w="9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817"/>
        </w:trPr>
        <w:tc>
          <w:tcPr>
            <w:tcW w:w="220" w:type="dxa"/>
            <w:vAlign w:val="bottom"/>
            <w:vMerge w:val="continue"/>
          </w:tcPr>
          <w:p>
            <w:pPr>
              <w:spacing w:after="0"/>
              <w:rPr>
                <w:sz w:val="24"/>
                <w:szCs w:val="24"/>
                <w:color w:val="auto"/>
              </w:rPr>
            </w:pPr>
          </w:p>
        </w:tc>
        <w:tc>
          <w:tcPr>
            <w:tcW w:w="1200" w:type="dxa"/>
            <w:vAlign w:val="bottom"/>
          </w:tcPr>
          <w:p>
            <w:pPr>
              <w:jc w:val="right"/>
              <w:ind w:right="870"/>
              <w:spacing w:after="0"/>
              <w:rPr>
                <w:sz w:val="20"/>
                <w:szCs w:val="20"/>
                <w:color w:val="auto"/>
              </w:rPr>
            </w:pPr>
            <w:r>
              <w:rPr>
                <w:rFonts w:ascii="Helvetica" w:cs="Helvetica" w:eastAsia="Helvetica" w:hAnsi="Helvetica"/>
                <w:sz w:val="18"/>
                <w:szCs w:val="18"/>
                <w:color w:val="4D4D4D"/>
              </w:rPr>
              <w:t>$4</w:t>
            </w:r>
          </w:p>
        </w:tc>
        <w:tc>
          <w:tcPr>
            <w:tcW w:w="112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4"/>
        </w:trPr>
        <w:tc>
          <w:tcPr>
            <w:tcW w:w="220" w:type="dxa"/>
            <w:vAlign w:val="bottom"/>
            <w:vMerge w:val="continue"/>
          </w:tcPr>
          <w:p>
            <w:pPr>
              <w:spacing w:after="0"/>
              <w:rPr>
                <w:sz w:val="24"/>
                <w:szCs w:val="24"/>
                <w:color w:val="auto"/>
              </w:rPr>
            </w:pPr>
          </w:p>
        </w:tc>
        <w:tc>
          <w:tcPr>
            <w:tcW w:w="120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4"/>
        </w:trPr>
        <w:tc>
          <w:tcPr>
            <w:tcW w:w="220" w:type="dxa"/>
            <w:vAlign w:val="bottom"/>
            <w:vMerge w:val="restart"/>
            <w:textDirection w:val="btLr"/>
          </w:tcPr>
          <w:p>
            <w:pPr>
              <w:spacing w:after="0"/>
              <w:rPr>
                <w:sz w:val="20"/>
                <w:szCs w:val="20"/>
                <w:color w:val="auto"/>
              </w:rPr>
            </w:pPr>
            <w:r>
              <w:rPr>
                <w:rFonts w:ascii="Helvetica" w:cs="Helvetica" w:eastAsia="Helvetica" w:hAnsi="Helvetica"/>
                <w:sz w:val="22"/>
                <w:szCs w:val="22"/>
                <w:color w:val="auto"/>
                <w:w w:val="89"/>
              </w:rPr>
              <w:t>Trilhões</w:t>
            </w:r>
          </w:p>
        </w:tc>
        <w:tc>
          <w:tcPr>
            <w:tcW w:w="1200" w:type="dxa"/>
            <w:vAlign w:val="bottom"/>
          </w:tcPr>
          <w:p>
            <w:pPr>
              <w:jc w:val="right"/>
              <w:ind w:right="870"/>
              <w:spacing w:after="0"/>
              <w:rPr>
                <w:sz w:val="20"/>
                <w:szCs w:val="20"/>
                <w:color w:val="auto"/>
              </w:rPr>
            </w:pPr>
            <w:r>
              <w:rPr>
                <w:rFonts w:ascii="Helvetica" w:cs="Helvetica" w:eastAsia="Helvetica" w:hAnsi="Helvetica"/>
                <w:sz w:val="18"/>
                <w:szCs w:val="18"/>
                <w:color w:val="4D4D4D"/>
              </w:rPr>
              <w:t>$2</w:t>
            </w:r>
          </w:p>
        </w:tc>
        <w:tc>
          <w:tcPr>
            <w:tcW w:w="112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86"/>
        </w:trPr>
        <w:tc>
          <w:tcPr>
            <w:tcW w:w="220" w:type="dxa"/>
            <w:vAlign w:val="bottom"/>
            <w:vMerge w:val="continue"/>
          </w:tcPr>
          <w:p>
            <w:pPr>
              <w:spacing w:after="0"/>
              <w:rPr>
                <w:sz w:val="24"/>
                <w:szCs w:val="24"/>
                <w:color w:val="auto"/>
              </w:rPr>
            </w:pPr>
          </w:p>
        </w:tc>
        <w:tc>
          <w:tcPr>
            <w:tcW w:w="120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2"/>
        </w:trPr>
        <w:tc>
          <w:tcPr>
            <w:tcW w:w="220" w:type="dxa"/>
            <w:vAlign w:val="bottom"/>
          </w:tcPr>
          <w:p>
            <w:pPr>
              <w:spacing w:after="0"/>
              <w:rPr>
                <w:sz w:val="24"/>
                <w:szCs w:val="24"/>
                <w:color w:val="auto"/>
              </w:rPr>
            </w:pPr>
          </w:p>
        </w:tc>
        <w:tc>
          <w:tcPr>
            <w:tcW w:w="1200" w:type="dxa"/>
            <w:vAlign w:val="bottom"/>
          </w:tcPr>
          <w:p>
            <w:pPr>
              <w:jc w:val="right"/>
              <w:ind w:right="870"/>
              <w:spacing w:after="0"/>
              <w:rPr>
                <w:sz w:val="20"/>
                <w:szCs w:val="20"/>
                <w:color w:val="auto"/>
              </w:rPr>
            </w:pPr>
            <w:r>
              <w:rPr>
                <w:rFonts w:ascii="Helvetica" w:cs="Helvetica" w:eastAsia="Helvetica" w:hAnsi="Helvetica"/>
                <w:sz w:val="18"/>
                <w:szCs w:val="18"/>
                <w:color w:val="4D4D4D"/>
              </w:rPr>
              <w:t>$0</w:t>
            </w:r>
          </w:p>
        </w:tc>
        <w:tc>
          <w:tcPr>
            <w:tcW w:w="112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220" w:type="dxa"/>
            <w:vAlign w:val="bottom"/>
          </w:tcPr>
          <w:p>
            <w:pPr>
              <w:spacing w:after="0"/>
              <w:rPr>
                <w:sz w:val="24"/>
                <w:szCs w:val="24"/>
                <w:color w:val="auto"/>
              </w:rPr>
            </w:pPr>
          </w:p>
        </w:tc>
        <w:tc>
          <w:tcPr>
            <w:tcW w:w="1200" w:type="dxa"/>
            <w:vAlign w:val="bottom"/>
          </w:tcPr>
          <w:p>
            <w:pPr>
              <w:jc w:val="right"/>
              <w:ind w:right="110"/>
              <w:spacing w:after="0"/>
              <w:rPr>
                <w:sz w:val="20"/>
                <w:szCs w:val="20"/>
                <w:color w:val="auto"/>
              </w:rPr>
            </w:pPr>
            <w:r>
              <w:rPr>
                <w:rFonts w:ascii="Helvetica" w:cs="Helvetica" w:eastAsia="Helvetica" w:hAnsi="Helvetica"/>
                <w:sz w:val="18"/>
                <w:szCs w:val="18"/>
                <w:color w:val="4D4D4D"/>
              </w:rPr>
              <w:t>Jan 1995</w:t>
            </w:r>
          </w:p>
        </w:tc>
        <w:tc>
          <w:tcPr>
            <w:tcW w:w="1120" w:type="dxa"/>
            <w:vAlign w:val="bottom"/>
          </w:tcPr>
          <w:p>
            <w:pPr>
              <w:ind w:left="180"/>
              <w:spacing w:after="0"/>
              <w:rPr>
                <w:sz w:val="20"/>
                <w:szCs w:val="20"/>
                <w:color w:val="auto"/>
              </w:rPr>
            </w:pPr>
            <w:r>
              <w:rPr>
                <w:rFonts w:ascii="Helvetica" w:cs="Helvetica" w:eastAsia="Helvetica" w:hAnsi="Helvetica"/>
                <w:sz w:val="18"/>
                <w:szCs w:val="18"/>
                <w:color w:val="4D4D4D"/>
              </w:rPr>
              <w:t>Jan 2000</w:t>
            </w:r>
          </w:p>
        </w:tc>
        <w:tc>
          <w:tcPr>
            <w:tcW w:w="1120" w:type="dxa"/>
            <w:vAlign w:val="bottom"/>
          </w:tcPr>
          <w:p>
            <w:pPr>
              <w:ind w:left="200"/>
              <w:spacing w:after="0"/>
              <w:rPr>
                <w:sz w:val="20"/>
                <w:szCs w:val="20"/>
                <w:color w:val="auto"/>
              </w:rPr>
            </w:pPr>
            <w:r>
              <w:rPr>
                <w:rFonts w:ascii="Helvetica" w:cs="Helvetica" w:eastAsia="Helvetica" w:hAnsi="Helvetica"/>
                <w:sz w:val="18"/>
                <w:szCs w:val="18"/>
                <w:color w:val="4D4D4D"/>
              </w:rPr>
              <w:t>Jan 2005</w:t>
            </w:r>
          </w:p>
        </w:tc>
        <w:tc>
          <w:tcPr>
            <w:tcW w:w="1120" w:type="dxa"/>
            <w:vAlign w:val="bottom"/>
          </w:tcPr>
          <w:p>
            <w:pPr>
              <w:ind w:left="200"/>
              <w:spacing w:after="0"/>
              <w:rPr>
                <w:sz w:val="20"/>
                <w:szCs w:val="20"/>
                <w:color w:val="auto"/>
              </w:rPr>
            </w:pPr>
            <w:r>
              <w:rPr>
                <w:rFonts w:ascii="Helvetica" w:cs="Helvetica" w:eastAsia="Helvetica" w:hAnsi="Helvetica"/>
                <w:sz w:val="18"/>
                <w:szCs w:val="18"/>
                <w:color w:val="4D4D4D"/>
              </w:rPr>
              <w:t>Jan 2010</w:t>
            </w:r>
          </w:p>
        </w:tc>
        <w:tc>
          <w:tcPr>
            <w:tcW w:w="1120" w:type="dxa"/>
            <w:vAlign w:val="bottom"/>
          </w:tcPr>
          <w:p>
            <w:pPr>
              <w:ind w:left="200"/>
              <w:spacing w:after="0"/>
              <w:rPr>
                <w:sz w:val="20"/>
                <w:szCs w:val="20"/>
                <w:color w:val="auto"/>
              </w:rPr>
            </w:pPr>
            <w:r>
              <w:rPr>
                <w:rFonts w:ascii="Helvetica" w:cs="Helvetica" w:eastAsia="Helvetica" w:hAnsi="Helvetica"/>
                <w:sz w:val="18"/>
                <w:szCs w:val="18"/>
                <w:color w:val="4D4D4D"/>
              </w:rPr>
              <w:t>Jan 2015</w:t>
            </w:r>
          </w:p>
        </w:tc>
        <w:tc>
          <w:tcPr>
            <w:tcW w:w="960" w:type="dxa"/>
            <w:vAlign w:val="bottom"/>
          </w:tcPr>
          <w:p>
            <w:pPr>
              <w:ind w:left="200"/>
              <w:spacing w:after="0"/>
              <w:rPr>
                <w:sz w:val="20"/>
                <w:szCs w:val="20"/>
                <w:color w:val="auto"/>
              </w:rPr>
            </w:pPr>
            <w:r>
              <w:rPr>
                <w:rFonts w:ascii="Helvetica" w:cs="Helvetica" w:eastAsia="Helvetica" w:hAnsi="Helvetica"/>
                <w:sz w:val="18"/>
                <w:szCs w:val="18"/>
                <w:color w:val="4D4D4D"/>
                <w:w w:val="97"/>
              </w:rPr>
              <w:t>Jan 2020</w:t>
            </w:r>
          </w:p>
        </w:tc>
        <w:tc>
          <w:tcPr>
            <w:tcW w:w="0" w:type="dxa"/>
            <w:vAlign w:val="bottom"/>
          </w:tcPr>
          <w:p>
            <w:pPr>
              <w:spacing w:after="0"/>
              <w:rPr>
                <w:sz w:val="1"/>
                <w:szCs w:val="1"/>
                <w:color w:val="auto"/>
              </w:rPr>
            </w:pPr>
          </w:p>
        </w:tc>
      </w:tr>
    </w:tbl>
    <w:p>
      <w:pPr>
        <w:spacing w:after="0" w:line="387" w:lineRule="exact"/>
        <w:rPr>
          <w:sz w:val="20"/>
          <w:szCs w:val="20"/>
          <w:color w:val="auto"/>
        </w:rPr>
      </w:pPr>
    </w:p>
    <w:p>
      <w:pPr>
        <w:ind w:left="3260"/>
        <w:spacing w:after="0"/>
        <w:tabs>
          <w:tab w:leader="none" w:pos="5200" w:val="left"/>
        </w:tabs>
        <w:rPr>
          <w:sz w:val="20"/>
          <w:szCs w:val="20"/>
          <w:color w:val="auto"/>
        </w:rPr>
      </w:pPr>
      <w:r>
        <w:rPr>
          <w:rFonts w:ascii="Helvetica" w:cs="Helvetica" w:eastAsia="Helvetica" w:hAnsi="Helvetica"/>
          <w:sz w:val="20"/>
          <w:szCs w:val="20"/>
          <w:color w:val="auto"/>
        </w:rPr>
        <w:t>Base.Monetária</w:t>
      </w:r>
      <w:r>
        <w:rPr>
          <w:sz w:val="20"/>
          <w:szCs w:val="20"/>
          <w:color w:val="auto"/>
        </w:rPr>
        <w:tab/>
      </w:r>
      <w:r>
        <w:rPr>
          <w:rFonts w:ascii="Helvetica" w:cs="Helvetica" w:eastAsia="Helvetica" w:hAnsi="Helvetica"/>
          <w:sz w:val="20"/>
          <w:szCs w:val="20"/>
          <w:color w:val="auto"/>
        </w:rPr>
        <w:t>Base.Monetária.Ampliada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1813560</wp:posOffset>
                </wp:positionH>
                <wp:positionV relativeFrom="paragraph">
                  <wp:posOffset>-73025</wp:posOffset>
                </wp:positionV>
                <wp:extent cx="17526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260" cy="4763"/>
                        </a:xfrm>
                        <a:prstGeom prst="line">
                          <a:avLst/>
                        </a:prstGeom>
                        <a:solidFill>
                          <a:srgbClr val="FFFFFF"/>
                        </a:solidFill>
                        <a:ln w="13589">
                          <a:solidFill>
                            <a:srgbClr val="F8766D"/>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8pt,-5.7499pt" to="156.6pt,-5.7499pt" o:allowincell="f" strokecolor="#F8766D" strokeweight="1.07pt"/>
            </w:pict>
          </mc:Fallback>
        </mc:AlternateContent>
        <mc:AlternateContent>
          <mc:Choice Requires="wps">
            <w:drawing>
              <wp:anchor simplePos="0" relativeHeight="251657728" behindDoc="1" locked="0" layoutInCell="0" allowOverlap="1">
                <wp:simplePos x="0" y="0"/>
                <wp:positionH relativeFrom="column">
                  <wp:posOffset>3048635</wp:posOffset>
                </wp:positionH>
                <wp:positionV relativeFrom="paragraph">
                  <wp:posOffset>-73025</wp:posOffset>
                </wp:positionV>
                <wp:extent cx="17589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895" cy="4763"/>
                        </a:xfrm>
                        <a:prstGeom prst="line">
                          <a:avLst/>
                        </a:prstGeom>
                        <a:solidFill>
                          <a:srgbClr val="FFFFFF"/>
                        </a:solidFill>
                        <a:ln w="13589">
                          <a:solidFill>
                            <a:srgbClr val="00BFC4"/>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05pt,-5.7499pt" to="253.9pt,-5.7499pt" o:allowincell="f" strokecolor="#00BFC4" strokeweight="1.07pt"/>
            </w:pict>
          </mc:Fallback>
        </mc:AlternateContent>
      </w:r>
    </w:p>
    <w:p>
      <w:pPr>
        <w:spacing w:after="0" w:line="278"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com dados do Departamento de Estatísticas do Banco Central</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both"/>
        <w:ind w:left="260" w:firstLine="850"/>
        <w:spacing w:after="0" w:line="414" w:lineRule="auto"/>
        <w:rPr>
          <w:sz w:val="20"/>
          <w:szCs w:val="20"/>
          <w:color w:val="auto"/>
        </w:rPr>
      </w:pPr>
      <w:r>
        <w:rPr>
          <w:rFonts w:ascii="Arial" w:cs="Arial" w:eastAsia="Arial" w:hAnsi="Arial"/>
          <w:sz w:val="24"/>
          <w:szCs w:val="24"/>
          <w:color w:val="auto"/>
        </w:rPr>
        <w:t>A Figura 7 demonstra a evolução do saldo de emissão de papel moeda e das reservas bancárias em termos correntes, entre 1995 e 2020, componentes da base monetária restrita. É possível observar que houve expressiva expansão do papel moeda emitido em termos correntes, e mesmo com elevação das reservas bancárias, houve uma desconexão entre as variáveis.</w:t>
      </w:r>
    </w:p>
    <w:p>
      <w:pPr>
        <w:spacing w:after="0" w:line="3" w:lineRule="exact"/>
        <w:rPr>
          <w:sz w:val="20"/>
          <w:szCs w:val="20"/>
          <w:color w:val="auto"/>
        </w:rPr>
      </w:pPr>
    </w:p>
    <w:p>
      <w:pPr>
        <w:ind w:left="1320"/>
        <w:spacing w:after="0"/>
        <w:rPr>
          <w:sz w:val="20"/>
          <w:szCs w:val="20"/>
          <w:color w:val="auto"/>
        </w:rPr>
      </w:pPr>
      <w:r>
        <w:rPr>
          <w:rFonts w:ascii="Arial" w:cs="Arial" w:eastAsia="Arial" w:hAnsi="Arial"/>
          <w:sz w:val="22"/>
          <w:szCs w:val="22"/>
          <w:color w:val="auto"/>
        </w:rPr>
        <w:t>Figura 7 – Evolução da emissão de Papel Moeda e Reservas Bancárias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1239520</wp:posOffset>
            </wp:positionH>
            <wp:positionV relativeFrom="paragraph">
              <wp:posOffset>314325</wp:posOffset>
            </wp:positionV>
            <wp:extent cx="4013835" cy="21844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extLst>
                    </a:blip>
                    <a:srcRect/>
                    <a:stretch>
                      <a:fillRect/>
                    </a:stretch>
                  </pic:blipFill>
                  <pic:spPr bwMode="auto">
                    <a:xfrm>
                      <a:off x="0" y="0"/>
                      <a:ext cx="4013835" cy="218440"/>
                    </a:xfrm>
                    <a:prstGeom prst="rect">
                      <a:avLst/>
                    </a:prstGeom>
                    <a:noFill/>
                  </pic:spPr>
                </pic:pic>
              </a:graphicData>
            </a:graphic>
          </wp:anchor>
        </w:drawing>
      </w:r>
    </w:p>
    <w:p>
      <w:pPr>
        <w:spacing w:after="0" w:line="200" w:lineRule="exact"/>
        <w:rPr>
          <w:sz w:val="20"/>
          <w:szCs w:val="20"/>
          <w:color w:val="auto"/>
        </w:rPr>
      </w:pPr>
    </w:p>
    <w:p>
      <w:pPr>
        <w:spacing w:after="0" w:line="344" w:lineRule="exact"/>
        <w:rPr>
          <w:sz w:val="20"/>
          <w:szCs w:val="20"/>
          <w:color w:val="auto"/>
        </w:rPr>
      </w:pPr>
    </w:p>
    <w:tbl>
      <w:tblPr>
        <w:tblLayout w:type="fixed"/>
        <w:tblInd w:w="1300" w:type="dxa"/>
        <w:tblCellMar>
          <w:top w:w="0" w:type="dxa"/>
          <w:left w:w="0" w:type="dxa"/>
          <w:bottom w:w="0" w:type="dxa"/>
          <w:right w:w="0" w:type="dxa"/>
        </w:tblCellMar>
      </w:tblPr>
      <w:tr>
        <w:trPr>
          <w:trHeight w:val="207"/>
        </w:trPr>
        <w:tc>
          <w:tcPr>
            <w:tcW w:w="200" w:type="dxa"/>
            <w:vAlign w:val="bottom"/>
          </w:tcPr>
          <w:p>
            <w:pPr>
              <w:spacing w:after="0"/>
              <w:rPr>
                <w:sz w:val="18"/>
                <w:szCs w:val="18"/>
                <w:color w:val="auto"/>
              </w:rPr>
            </w:pPr>
          </w:p>
        </w:tc>
        <w:tc>
          <w:tcPr>
            <w:tcW w:w="3640" w:type="dxa"/>
            <w:vAlign w:val="bottom"/>
          </w:tcPr>
          <w:p>
            <w:pPr>
              <w:jc w:val="right"/>
              <w:ind w:right="690"/>
              <w:spacing w:after="0"/>
              <w:rPr>
                <w:sz w:val="20"/>
                <w:szCs w:val="20"/>
                <w:color w:val="auto"/>
              </w:rPr>
            </w:pPr>
            <w:r>
              <w:rPr>
                <w:rFonts w:ascii="Helvetica" w:cs="Helvetica" w:eastAsia="Helvetica" w:hAnsi="Helvetica"/>
                <w:sz w:val="18"/>
                <w:szCs w:val="18"/>
                <w:color w:val="1A1A1A"/>
              </w:rPr>
              <w:t>Papel.Moeda.Emitido</w:t>
            </w:r>
          </w:p>
        </w:tc>
        <w:tc>
          <w:tcPr>
            <w:tcW w:w="3280" w:type="dxa"/>
            <w:vAlign w:val="bottom"/>
          </w:tcPr>
          <w:p>
            <w:pPr>
              <w:ind w:left="780"/>
              <w:spacing w:after="0"/>
              <w:rPr>
                <w:sz w:val="20"/>
                <w:szCs w:val="20"/>
                <w:color w:val="auto"/>
              </w:rPr>
            </w:pPr>
            <w:r>
              <w:rPr>
                <w:rFonts w:ascii="Helvetica" w:cs="Helvetica" w:eastAsia="Helvetica" w:hAnsi="Helvetica"/>
                <w:sz w:val="18"/>
                <w:szCs w:val="18"/>
                <w:color w:val="1A1A1A"/>
              </w:rPr>
              <w:t>Reservas.Bancárias</w:t>
            </w:r>
          </w:p>
        </w:tc>
        <w:tc>
          <w:tcPr>
            <w:tcW w:w="0" w:type="dxa"/>
            <w:vAlign w:val="bottom"/>
          </w:tcPr>
          <w:p>
            <w:pPr>
              <w:spacing w:after="0"/>
              <w:rPr>
                <w:sz w:val="1"/>
                <w:szCs w:val="1"/>
                <w:color w:val="auto"/>
              </w:rPr>
            </w:pPr>
          </w:p>
        </w:tc>
      </w:tr>
      <w:tr>
        <w:trPr>
          <w:trHeight w:val="621"/>
        </w:trPr>
        <w:tc>
          <w:tcPr>
            <w:tcW w:w="200" w:type="dxa"/>
            <w:vAlign w:val="bottom"/>
            <w:vMerge w:val="restart"/>
            <w:textDirection w:val="btLr"/>
          </w:tcPr>
          <w:p>
            <w:pPr>
              <w:spacing w:after="0"/>
              <w:rPr>
                <w:sz w:val="20"/>
                <w:szCs w:val="20"/>
                <w:color w:val="auto"/>
              </w:rPr>
            </w:pPr>
            <w:r>
              <w:rPr>
                <w:rFonts w:ascii="Helvetica" w:cs="Helvetica" w:eastAsia="Helvetica" w:hAnsi="Helvetica"/>
                <w:sz w:val="22"/>
                <w:szCs w:val="22"/>
                <w:color w:val="auto"/>
              </w:rPr>
              <w:t>Correntes</w:t>
            </w:r>
          </w:p>
        </w:tc>
        <w:tc>
          <w:tcPr>
            <w:tcW w:w="3640" w:type="dxa"/>
            <w:vAlign w:val="bottom"/>
          </w:tcPr>
          <w:p>
            <w:pPr>
              <w:jc w:val="right"/>
              <w:ind w:right="3190"/>
              <w:spacing w:after="0"/>
              <w:rPr>
                <w:sz w:val="20"/>
                <w:szCs w:val="20"/>
                <w:color w:val="auto"/>
              </w:rPr>
            </w:pPr>
            <w:r>
              <w:rPr>
                <w:rFonts w:ascii="Helvetica" w:cs="Helvetica" w:eastAsia="Helvetica" w:hAnsi="Helvetica"/>
                <w:sz w:val="18"/>
                <w:szCs w:val="18"/>
                <w:color w:val="4D4D4D"/>
              </w:rPr>
              <w:t>300</w:t>
            </w:r>
          </w:p>
        </w:tc>
        <w:tc>
          <w:tcPr>
            <w:tcW w:w="3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78"/>
        </w:trPr>
        <w:tc>
          <w:tcPr>
            <w:tcW w:w="200" w:type="dxa"/>
            <w:vAlign w:val="bottom"/>
            <w:vMerge w:val="continue"/>
          </w:tcPr>
          <w:p>
            <w:pPr>
              <w:spacing w:after="0"/>
              <w:rPr>
                <w:sz w:val="24"/>
                <w:szCs w:val="24"/>
                <w:color w:val="auto"/>
              </w:rPr>
            </w:pPr>
          </w:p>
        </w:tc>
        <w:tc>
          <w:tcPr>
            <w:tcW w:w="3640" w:type="dxa"/>
            <w:vAlign w:val="bottom"/>
          </w:tcPr>
          <w:p>
            <w:pPr>
              <w:jc w:val="right"/>
              <w:ind w:right="3190"/>
              <w:spacing w:after="0"/>
              <w:rPr>
                <w:sz w:val="20"/>
                <w:szCs w:val="20"/>
                <w:color w:val="auto"/>
              </w:rPr>
            </w:pPr>
            <w:r>
              <w:rPr>
                <w:rFonts w:ascii="Helvetica" w:cs="Helvetica" w:eastAsia="Helvetica" w:hAnsi="Helvetica"/>
                <w:sz w:val="18"/>
                <w:szCs w:val="18"/>
                <w:color w:val="4D4D4D"/>
              </w:rPr>
              <w:t>200</w:t>
            </w:r>
          </w:p>
        </w:tc>
        <w:tc>
          <w:tcPr>
            <w:tcW w:w="3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29"/>
        </w:trPr>
        <w:tc>
          <w:tcPr>
            <w:tcW w:w="200" w:type="dxa"/>
            <w:vAlign w:val="bottom"/>
            <w:textDirection w:val="btLr"/>
          </w:tcPr>
          <w:p>
            <w:pPr>
              <w:spacing w:after="0"/>
              <w:rPr>
                <w:sz w:val="20"/>
                <w:szCs w:val="20"/>
                <w:color w:val="auto"/>
              </w:rPr>
            </w:pPr>
            <w:r>
              <w:rPr>
                <w:rFonts w:ascii="Helvetica" w:cs="Helvetica" w:eastAsia="Helvetica" w:hAnsi="Helvetica"/>
                <w:sz w:val="22"/>
                <w:szCs w:val="22"/>
                <w:color w:val="auto"/>
                <w:w w:val="99"/>
              </w:rPr>
              <w:t>R$</w:t>
            </w:r>
          </w:p>
        </w:tc>
        <w:tc>
          <w:tcPr>
            <w:tcW w:w="3640" w:type="dxa"/>
            <w:vAlign w:val="bottom"/>
            <w:vMerge w:val="restart"/>
          </w:tcPr>
          <w:p>
            <w:pPr>
              <w:jc w:val="right"/>
              <w:ind w:right="3190"/>
              <w:spacing w:after="0"/>
              <w:rPr>
                <w:sz w:val="20"/>
                <w:szCs w:val="20"/>
                <w:color w:val="auto"/>
              </w:rPr>
            </w:pPr>
            <w:r>
              <w:rPr>
                <w:rFonts w:ascii="Helvetica" w:cs="Helvetica" w:eastAsia="Helvetica" w:hAnsi="Helvetica"/>
                <w:sz w:val="18"/>
                <w:szCs w:val="18"/>
                <w:color w:val="4D4D4D"/>
              </w:rPr>
              <w:t>100</w:t>
            </w:r>
          </w:p>
        </w:tc>
        <w:tc>
          <w:tcPr>
            <w:tcW w:w="3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3"/>
        </w:trPr>
        <w:tc>
          <w:tcPr>
            <w:tcW w:w="200" w:type="dxa"/>
            <w:vAlign w:val="bottom"/>
            <w:vMerge w:val="restart"/>
            <w:textDirection w:val="btLr"/>
          </w:tcPr>
          <w:p>
            <w:pPr>
              <w:spacing w:after="0"/>
              <w:rPr>
                <w:sz w:val="20"/>
                <w:szCs w:val="20"/>
                <w:color w:val="auto"/>
              </w:rPr>
            </w:pPr>
            <w:r>
              <w:rPr>
                <w:rFonts w:ascii="Helvetica" w:cs="Helvetica" w:eastAsia="Helvetica" w:hAnsi="Helvetica"/>
                <w:sz w:val="22"/>
                <w:szCs w:val="22"/>
                <w:color w:val="auto"/>
                <w:w w:val="88"/>
              </w:rPr>
              <w:t>bilhões</w:t>
            </w:r>
          </w:p>
        </w:tc>
        <w:tc>
          <w:tcPr>
            <w:tcW w:w="3640" w:type="dxa"/>
            <w:vAlign w:val="bottom"/>
            <w:vMerge w:val="continue"/>
          </w:tcPr>
          <w:p>
            <w:pPr>
              <w:spacing w:after="0"/>
              <w:rPr>
                <w:sz w:val="17"/>
                <w:szCs w:val="17"/>
                <w:color w:val="auto"/>
              </w:rPr>
            </w:pPr>
          </w:p>
        </w:tc>
        <w:tc>
          <w:tcPr>
            <w:tcW w:w="32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505"/>
        </w:trPr>
        <w:tc>
          <w:tcPr>
            <w:tcW w:w="200" w:type="dxa"/>
            <w:vAlign w:val="bottom"/>
            <w:vMerge w:val="continue"/>
          </w:tcPr>
          <w:p>
            <w:pPr>
              <w:spacing w:after="0"/>
              <w:rPr>
                <w:sz w:val="24"/>
                <w:szCs w:val="24"/>
                <w:color w:val="auto"/>
              </w:rPr>
            </w:pPr>
          </w:p>
        </w:tc>
        <w:tc>
          <w:tcPr>
            <w:tcW w:w="3640" w:type="dxa"/>
            <w:vAlign w:val="bottom"/>
          </w:tcPr>
          <w:p>
            <w:pPr>
              <w:jc w:val="right"/>
              <w:ind w:right="3190"/>
              <w:spacing w:after="0"/>
              <w:rPr>
                <w:sz w:val="20"/>
                <w:szCs w:val="20"/>
                <w:color w:val="auto"/>
              </w:rPr>
            </w:pPr>
            <w:r>
              <w:rPr>
                <w:rFonts w:ascii="Helvetica" w:cs="Helvetica" w:eastAsia="Helvetica" w:hAnsi="Helvetica"/>
                <w:sz w:val="18"/>
                <w:szCs w:val="18"/>
                <w:color w:val="4D4D4D"/>
              </w:rPr>
              <w:t>0</w:t>
            </w:r>
          </w:p>
        </w:tc>
        <w:tc>
          <w:tcPr>
            <w:tcW w:w="3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8"/>
        </w:trPr>
        <w:tc>
          <w:tcPr>
            <w:tcW w:w="200" w:type="dxa"/>
            <w:vAlign w:val="bottom"/>
          </w:tcPr>
          <w:p>
            <w:pPr>
              <w:spacing w:after="0"/>
              <w:rPr>
                <w:sz w:val="21"/>
                <w:szCs w:val="21"/>
                <w:color w:val="auto"/>
              </w:rPr>
            </w:pPr>
          </w:p>
        </w:tc>
        <w:tc>
          <w:tcPr>
            <w:tcW w:w="6900" w:type="dxa"/>
            <w:vAlign w:val="bottom"/>
            <w:gridSpan w:val="2"/>
          </w:tcPr>
          <w:p>
            <w:pPr>
              <w:ind w:left="280"/>
              <w:spacing w:after="0"/>
              <w:rPr>
                <w:sz w:val="20"/>
                <w:szCs w:val="20"/>
                <w:color w:val="auto"/>
              </w:rPr>
            </w:pPr>
            <w:r>
              <w:rPr>
                <w:rFonts w:ascii="Helvetica" w:cs="Helvetica" w:eastAsia="Helvetica" w:hAnsi="Helvetica"/>
                <w:sz w:val="18"/>
                <w:szCs w:val="18"/>
                <w:color w:val="4D4D4D"/>
                <w:w w:val="74"/>
              </w:rPr>
              <w:t>Jan 1995Jan 2000Jan 2005Jan 2010Jan 2015Jan 2020Jan 1995Jan 2000Jan 2005Jan 2010Jan 2015Jan 2020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1204595</wp:posOffset>
            </wp:positionH>
            <wp:positionV relativeFrom="paragraph">
              <wp:posOffset>-1470660</wp:posOffset>
            </wp:positionV>
            <wp:extent cx="4048760" cy="133604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extLst>
                    </a:blip>
                    <a:srcRect/>
                    <a:stretch>
                      <a:fillRect/>
                    </a:stretch>
                  </pic:blipFill>
                  <pic:spPr bwMode="auto">
                    <a:xfrm>
                      <a:off x="0" y="0"/>
                      <a:ext cx="4048760" cy="1336040"/>
                    </a:xfrm>
                    <a:prstGeom prst="rect">
                      <a:avLst/>
                    </a:prstGeom>
                    <a:noFill/>
                  </pic:spPr>
                </pic:pic>
              </a:graphicData>
            </a:graphic>
          </wp:anchor>
        </w:drawing>
      </w:r>
    </w:p>
    <w:p>
      <w:pPr>
        <w:spacing w:after="0" w:line="291"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com dados do Departamento de Estatísticas do Banco Central</w:t>
      </w:r>
    </w:p>
    <w:p>
      <w:pPr>
        <w:sectPr>
          <w:pgSz w:w="11900" w:h="16838" w:orient="portrait"/>
          <w:cols w:equalWidth="0" w:num="1">
            <w:col w:w="9320"/>
          </w:cols>
          <w:pgMar w:left="1440" w:top="991" w:right="1146" w:bottom="18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both"/>
        <w:ind w:left="260" w:firstLine="850"/>
        <w:spacing w:after="0" w:line="423" w:lineRule="auto"/>
        <w:rPr>
          <w:sz w:val="20"/>
          <w:szCs w:val="20"/>
          <w:color w:val="auto"/>
        </w:rPr>
      </w:pPr>
      <w:r>
        <w:rPr>
          <w:rFonts w:ascii="Arial" w:cs="Arial" w:eastAsia="Arial" w:hAnsi="Arial"/>
          <w:sz w:val="24"/>
          <w:szCs w:val="24"/>
          <w:color w:val="auto"/>
        </w:rPr>
        <w:t>A Figura 8 traz a visualização das variáveis de Depósitos compulsórios e emissão de títulos públicos, sendo os componentes adicionais da base monetária ampliada que a diferencia da base monetária restrita. E mostra a larga expansão de</w:t>
      </w:r>
    </w:p>
    <w:p>
      <w:pPr>
        <w:sectPr>
          <w:pgSz w:w="11900" w:h="16838" w:orient="portrait"/>
          <w:cols w:equalWidth="0" w:num="1">
            <w:col w:w="9320"/>
          </w:cols>
          <w:pgMar w:left="1440" w:top="991" w:right="1146" w:bottom="189" w:gutter="0" w:footer="0" w:header="0"/>
          <w:type w:val="continuous"/>
        </w:sectPr>
      </w:pPr>
    </w:p>
    <w:p>
      <w:pPr>
        <w:ind w:left="9060"/>
        <w:spacing w:after="0"/>
        <w:rPr>
          <w:sz w:val="20"/>
          <w:szCs w:val="20"/>
          <w:color w:val="auto"/>
        </w:rPr>
      </w:pPr>
      <w:r>
        <w:rPr>
          <w:rFonts w:ascii="Arial" w:cs="Arial" w:eastAsia="Arial" w:hAnsi="Arial"/>
          <w:sz w:val="24"/>
          <w:szCs w:val="24"/>
          <w:color w:val="auto"/>
        </w:rPr>
        <w:t>23</w:t>
      </w:r>
    </w:p>
    <w:p>
      <w:pPr>
        <w:spacing w:after="0" w:line="200" w:lineRule="exact"/>
        <w:rPr>
          <w:sz w:val="20"/>
          <w:szCs w:val="20"/>
          <w:color w:val="auto"/>
        </w:rPr>
      </w:pPr>
    </w:p>
    <w:p>
      <w:pPr>
        <w:spacing w:after="0" w:line="246" w:lineRule="exact"/>
        <w:rPr>
          <w:sz w:val="20"/>
          <w:szCs w:val="20"/>
          <w:color w:val="auto"/>
        </w:rPr>
      </w:pPr>
    </w:p>
    <w:p>
      <w:pPr>
        <w:ind w:left="260" w:right="40"/>
        <w:spacing w:after="0" w:line="421" w:lineRule="auto"/>
        <w:rPr>
          <w:sz w:val="20"/>
          <w:szCs w:val="20"/>
          <w:color w:val="auto"/>
        </w:rPr>
      </w:pPr>
      <w:r>
        <w:rPr>
          <w:rFonts w:ascii="Arial" w:cs="Arial" w:eastAsia="Arial" w:hAnsi="Arial"/>
          <w:sz w:val="24"/>
          <w:szCs w:val="24"/>
          <w:color w:val="auto"/>
        </w:rPr>
        <w:t>emissão de títulos públicos totais, o que vem essencialmente explicar a diferenciação entre as séries de base monetária.</w:t>
      </w:r>
    </w:p>
    <w:tbl>
      <w:tblPr>
        <w:tblLayout w:type="fixed"/>
        <w:tblInd w:w="980" w:type="dxa"/>
        <w:tblCellMar>
          <w:top w:w="0" w:type="dxa"/>
          <w:left w:w="0" w:type="dxa"/>
          <w:bottom w:w="0" w:type="dxa"/>
          <w:right w:w="0" w:type="dxa"/>
        </w:tblCellMar>
      </w:tblPr>
      <w:tr>
        <w:trPr>
          <w:trHeight w:val="269"/>
        </w:trPr>
        <w:tc>
          <w:tcPr>
            <w:tcW w:w="7620" w:type="dxa"/>
            <w:vAlign w:val="bottom"/>
            <w:gridSpan w:val="3"/>
          </w:tcPr>
          <w:p>
            <w:pPr>
              <w:spacing w:after="0"/>
              <w:rPr>
                <w:sz w:val="20"/>
                <w:szCs w:val="20"/>
                <w:color w:val="auto"/>
              </w:rPr>
            </w:pPr>
            <w:r>
              <w:rPr>
                <w:rFonts w:ascii="Arial" w:cs="Arial" w:eastAsia="Arial" w:hAnsi="Arial"/>
                <w:sz w:val="22"/>
                <w:szCs w:val="22"/>
                <w:color w:val="auto"/>
                <w:w w:val="98"/>
              </w:rPr>
              <w:t>Figura 8 – Evolução dos Depósitos Compulsórios e emissão de títulos públicos</w:t>
            </w:r>
          </w:p>
        </w:tc>
        <w:tc>
          <w:tcPr>
            <w:tcW w:w="0" w:type="dxa"/>
            <w:vAlign w:val="bottom"/>
          </w:tcPr>
          <w:p>
            <w:pPr>
              <w:spacing w:after="0"/>
              <w:rPr>
                <w:sz w:val="1"/>
                <w:szCs w:val="1"/>
                <w:color w:val="auto"/>
              </w:rPr>
            </w:pPr>
          </w:p>
        </w:tc>
      </w:tr>
      <w:tr>
        <w:trPr>
          <w:trHeight w:val="755"/>
        </w:trPr>
        <w:tc>
          <w:tcPr>
            <w:tcW w:w="520" w:type="dxa"/>
            <w:vAlign w:val="bottom"/>
          </w:tcPr>
          <w:p>
            <w:pPr>
              <w:spacing w:after="0"/>
              <w:rPr>
                <w:sz w:val="24"/>
                <w:szCs w:val="24"/>
                <w:color w:val="auto"/>
              </w:rPr>
            </w:pPr>
          </w:p>
        </w:tc>
        <w:tc>
          <w:tcPr>
            <w:tcW w:w="3720" w:type="dxa"/>
            <w:vAlign w:val="bottom"/>
          </w:tcPr>
          <w:p>
            <w:pPr>
              <w:jc w:val="right"/>
              <w:ind w:right="530"/>
              <w:spacing w:after="0"/>
              <w:rPr>
                <w:sz w:val="20"/>
                <w:szCs w:val="20"/>
                <w:color w:val="auto"/>
              </w:rPr>
            </w:pPr>
            <w:r>
              <w:rPr>
                <w:rFonts w:ascii="Helvetica" w:cs="Helvetica" w:eastAsia="Helvetica" w:hAnsi="Helvetica"/>
                <w:sz w:val="18"/>
                <w:szCs w:val="18"/>
                <w:color w:val="1A1A1A"/>
              </w:rPr>
              <w:t>Depósitos.compulsórios</w:t>
            </w:r>
          </w:p>
        </w:tc>
        <w:tc>
          <w:tcPr>
            <w:tcW w:w="3400" w:type="dxa"/>
            <w:vAlign w:val="bottom"/>
          </w:tcPr>
          <w:p>
            <w:pPr>
              <w:ind w:left="640"/>
              <w:spacing w:after="0"/>
              <w:rPr>
                <w:sz w:val="20"/>
                <w:szCs w:val="20"/>
                <w:color w:val="auto"/>
              </w:rPr>
            </w:pPr>
            <w:r>
              <w:rPr>
                <w:rFonts w:ascii="Helvetica" w:cs="Helvetica" w:eastAsia="Helvetica" w:hAnsi="Helvetica"/>
                <w:sz w:val="18"/>
                <w:szCs w:val="18"/>
                <w:color w:val="1A1A1A"/>
              </w:rPr>
              <w:t>Titulos.Públicos.Totais</w:t>
            </w:r>
          </w:p>
        </w:tc>
        <w:tc>
          <w:tcPr>
            <w:tcW w:w="0" w:type="dxa"/>
            <w:vAlign w:val="bottom"/>
          </w:tcPr>
          <w:p>
            <w:pPr>
              <w:spacing w:after="0"/>
              <w:rPr>
                <w:sz w:val="1"/>
                <w:szCs w:val="1"/>
                <w:color w:val="auto"/>
              </w:rPr>
            </w:pPr>
          </w:p>
        </w:tc>
      </w:tr>
      <w:tr>
        <w:trPr>
          <w:trHeight w:val="259"/>
        </w:trPr>
        <w:tc>
          <w:tcPr>
            <w:tcW w:w="520" w:type="dxa"/>
            <w:vAlign w:val="bottom"/>
            <w:vMerge w:val="restart"/>
            <w:textDirection w:val="btLr"/>
          </w:tcPr>
          <w:p>
            <w:pPr>
              <w:ind w:left="266"/>
              <w:spacing w:after="0"/>
              <w:rPr>
                <w:sz w:val="20"/>
                <w:szCs w:val="20"/>
                <w:color w:val="auto"/>
              </w:rPr>
            </w:pPr>
            <w:r>
              <w:rPr>
                <w:rFonts w:ascii="Helvetica" w:cs="Helvetica" w:eastAsia="Helvetica" w:hAnsi="Helvetica"/>
                <w:sz w:val="22"/>
                <w:szCs w:val="22"/>
                <w:color w:val="auto"/>
              </w:rPr>
              <w:t>R$ Correntes</w:t>
            </w:r>
          </w:p>
        </w:tc>
        <w:tc>
          <w:tcPr>
            <w:tcW w:w="3720" w:type="dxa"/>
            <w:vAlign w:val="bottom"/>
          </w:tcPr>
          <w:p>
            <w:pPr>
              <w:jc w:val="right"/>
              <w:ind w:right="3170"/>
              <w:spacing w:after="0"/>
              <w:rPr>
                <w:sz w:val="20"/>
                <w:szCs w:val="20"/>
                <w:color w:val="auto"/>
              </w:rPr>
            </w:pPr>
            <w:r>
              <w:rPr>
                <w:rFonts w:ascii="Helvetica" w:cs="Helvetica" w:eastAsia="Helvetica" w:hAnsi="Helvetica"/>
                <w:sz w:val="18"/>
                <w:szCs w:val="18"/>
                <w:color w:val="4D4D4D"/>
              </w:rPr>
              <w:t>6000</w:t>
            </w:r>
          </w:p>
        </w:tc>
        <w:tc>
          <w:tcPr>
            <w:tcW w:w="34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624"/>
        </w:trPr>
        <w:tc>
          <w:tcPr>
            <w:tcW w:w="520" w:type="dxa"/>
            <w:vAlign w:val="bottom"/>
            <w:vMerge w:val="continue"/>
          </w:tcPr>
          <w:p>
            <w:pPr>
              <w:spacing w:after="0"/>
              <w:rPr>
                <w:sz w:val="24"/>
                <w:szCs w:val="24"/>
                <w:color w:val="auto"/>
              </w:rPr>
            </w:pPr>
          </w:p>
        </w:tc>
        <w:tc>
          <w:tcPr>
            <w:tcW w:w="3720" w:type="dxa"/>
            <w:vAlign w:val="bottom"/>
          </w:tcPr>
          <w:p>
            <w:pPr>
              <w:jc w:val="right"/>
              <w:ind w:right="3170"/>
              <w:spacing w:after="0"/>
              <w:rPr>
                <w:sz w:val="20"/>
                <w:szCs w:val="20"/>
                <w:color w:val="auto"/>
              </w:rPr>
            </w:pPr>
            <w:r>
              <w:rPr>
                <w:rFonts w:ascii="Helvetica" w:cs="Helvetica" w:eastAsia="Helvetica" w:hAnsi="Helvetica"/>
                <w:sz w:val="18"/>
                <w:szCs w:val="18"/>
                <w:color w:val="4D4D4D"/>
              </w:rPr>
              <w:t>4000</w:t>
            </w:r>
          </w:p>
        </w:tc>
        <w:tc>
          <w:tcPr>
            <w:tcW w:w="3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45"/>
        </w:trPr>
        <w:tc>
          <w:tcPr>
            <w:tcW w:w="520" w:type="dxa"/>
            <w:vAlign w:val="bottom"/>
            <w:vMerge w:val="continue"/>
          </w:tcPr>
          <w:p>
            <w:pPr>
              <w:spacing w:after="0"/>
              <w:rPr>
                <w:sz w:val="24"/>
                <w:szCs w:val="24"/>
                <w:color w:val="auto"/>
              </w:rPr>
            </w:pPr>
          </w:p>
        </w:tc>
        <w:tc>
          <w:tcPr>
            <w:tcW w:w="3720" w:type="dxa"/>
            <w:vAlign w:val="bottom"/>
            <w:vMerge w:val="restart"/>
          </w:tcPr>
          <w:p>
            <w:pPr>
              <w:jc w:val="right"/>
              <w:ind w:right="3170"/>
              <w:spacing w:after="0"/>
              <w:rPr>
                <w:sz w:val="20"/>
                <w:szCs w:val="20"/>
                <w:color w:val="auto"/>
              </w:rPr>
            </w:pPr>
            <w:r>
              <w:rPr>
                <w:rFonts w:ascii="Helvetica" w:cs="Helvetica" w:eastAsia="Helvetica" w:hAnsi="Helvetica"/>
                <w:sz w:val="18"/>
                <w:szCs w:val="18"/>
                <w:color w:val="4D4D4D"/>
              </w:rPr>
              <w:t>2000</w:t>
            </w:r>
          </w:p>
        </w:tc>
        <w:tc>
          <w:tcPr>
            <w:tcW w:w="3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9"/>
        </w:trPr>
        <w:tc>
          <w:tcPr>
            <w:tcW w:w="520" w:type="dxa"/>
            <w:vAlign w:val="bottom"/>
            <w:vMerge w:val="restart"/>
            <w:textDirection w:val="btLr"/>
          </w:tcPr>
          <w:p>
            <w:pPr>
              <w:ind w:left="266"/>
              <w:spacing w:after="0"/>
              <w:rPr>
                <w:sz w:val="20"/>
                <w:szCs w:val="20"/>
                <w:color w:val="auto"/>
              </w:rPr>
            </w:pPr>
            <w:r>
              <w:rPr>
                <w:rFonts w:ascii="Helvetica" w:cs="Helvetica" w:eastAsia="Helvetica" w:hAnsi="Helvetica"/>
                <w:sz w:val="22"/>
                <w:szCs w:val="22"/>
                <w:color w:val="auto"/>
                <w:w w:val="91"/>
              </w:rPr>
              <w:t>bilhões</w:t>
            </w:r>
          </w:p>
        </w:tc>
        <w:tc>
          <w:tcPr>
            <w:tcW w:w="3720" w:type="dxa"/>
            <w:vAlign w:val="bottom"/>
            <w:vMerge w:val="continue"/>
          </w:tcPr>
          <w:p>
            <w:pPr>
              <w:spacing w:after="0"/>
              <w:rPr>
                <w:sz w:val="6"/>
                <w:szCs w:val="6"/>
                <w:color w:val="auto"/>
              </w:rPr>
            </w:pPr>
          </w:p>
        </w:tc>
        <w:tc>
          <w:tcPr>
            <w:tcW w:w="34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24"/>
        </w:trPr>
        <w:tc>
          <w:tcPr>
            <w:tcW w:w="520" w:type="dxa"/>
            <w:vAlign w:val="bottom"/>
            <w:vMerge w:val="continue"/>
          </w:tcPr>
          <w:p>
            <w:pPr>
              <w:spacing w:after="0"/>
              <w:rPr>
                <w:sz w:val="24"/>
                <w:szCs w:val="24"/>
                <w:color w:val="auto"/>
              </w:rPr>
            </w:pPr>
          </w:p>
        </w:tc>
        <w:tc>
          <w:tcPr>
            <w:tcW w:w="3720" w:type="dxa"/>
            <w:vAlign w:val="bottom"/>
          </w:tcPr>
          <w:p>
            <w:pPr>
              <w:jc w:val="right"/>
              <w:ind w:right="3170"/>
              <w:spacing w:after="0"/>
              <w:rPr>
                <w:sz w:val="20"/>
                <w:szCs w:val="20"/>
                <w:color w:val="auto"/>
              </w:rPr>
            </w:pPr>
            <w:r>
              <w:rPr>
                <w:rFonts w:ascii="Helvetica" w:cs="Helvetica" w:eastAsia="Helvetica" w:hAnsi="Helvetica"/>
                <w:sz w:val="18"/>
                <w:szCs w:val="18"/>
                <w:color w:val="4D4D4D"/>
              </w:rPr>
              <w:t>0</w:t>
            </w:r>
          </w:p>
        </w:tc>
        <w:tc>
          <w:tcPr>
            <w:tcW w:w="34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3"/>
        </w:trPr>
        <w:tc>
          <w:tcPr>
            <w:tcW w:w="520" w:type="dxa"/>
            <w:vAlign w:val="bottom"/>
          </w:tcPr>
          <w:p>
            <w:pPr>
              <w:spacing w:after="0"/>
              <w:rPr>
                <w:sz w:val="22"/>
                <w:szCs w:val="22"/>
                <w:color w:val="auto"/>
              </w:rPr>
            </w:pPr>
          </w:p>
        </w:tc>
        <w:tc>
          <w:tcPr>
            <w:tcW w:w="7100" w:type="dxa"/>
            <w:vAlign w:val="bottom"/>
            <w:gridSpan w:val="2"/>
          </w:tcPr>
          <w:p>
            <w:pPr>
              <w:ind w:left="380"/>
              <w:spacing w:after="0"/>
              <w:rPr>
                <w:sz w:val="20"/>
                <w:szCs w:val="20"/>
                <w:color w:val="auto"/>
              </w:rPr>
            </w:pPr>
            <w:r>
              <w:rPr>
                <w:rFonts w:ascii="Helvetica" w:cs="Helvetica" w:eastAsia="Helvetica" w:hAnsi="Helvetica"/>
                <w:sz w:val="18"/>
                <w:szCs w:val="18"/>
                <w:color w:val="4D4D4D"/>
                <w:w w:val="75"/>
              </w:rPr>
              <w:t>Jan 1995Jan 2000Jan 2005Jan 2010Jan 2015Jan 2020Jan 1995Jan 2000Jan 2005Jan 2010Jan 2015Jan 2020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1268095</wp:posOffset>
            </wp:positionH>
            <wp:positionV relativeFrom="paragraph">
              <wp:posOffset>-1689100</wp:posOffset>
            </wp:positionV>
            <wp:extent cx="3985260" cy="155448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extLst>
                        <a:ext uri="{28A0092B-C50C-407E-A947-70E740481C1C}"/>
                      </a:extLst>
                    </a:blip>
                    <a:srcRect/>
                    <a:stretch>
                      <a:fillRect/>
                    </a:stretch>
                  </pic:blipFill>
                  <pic:spPr bwMode="auto">
                    <a:xfrm>
                      <a:off x="0" y="0"/>
                      <a:ext cx="3985260" cy="1554480"/>
                    </a:xfrm>
                    <a:prstGeom prst="rect">
                      <a:avLst/>
                    </a:prstGeom>
                    <a:noFill/>
                  </pic:spPr>
                </pic:pic>
              </a:graphicData>
            </a:graphic>
          </wp:anchor>
        </w:drawing>
      </w:r>
    </w:p>
    <w:p>
      <w:pPr>
        <w:spacing w:after="0" w:line="291"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com dados do Departamento de Estatísticas do Banco Central</w:t>
      </w: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both"/>
        <w:ind w:left="260" w:firstLine="858"/>
        <w:spacing w:after="0" w:line="368" w:lineRule="auto"/>
        <w:rPr>
          <w:sz w:val="20"/>
          <w:szCs w:val="20"/>
          <w:color w:val="auto"/>
        </w:rPr>
      </w:pPr>
      <w:r>
        <w:rPr>
          <w:rFonts w:ascii="Arial" w:cs="Arial" w:eastAsia="Arial" w:hAnsi="Arial"/>
          <w:sz w:val="24"/>
          <w:szCs w:val="24"/>
          <w:color w:val="auto"/>
        </w:rPr>
        <w:t>Entre os Agregados Monetários estão o Meios de Pagamento na forma restrita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1</w:t>
      </w:r>
      <w:r>
        <w:rPr>
          <w:rFonts w:ascii="Arial" w:cs="Arial" w:eastAsia="Arial" w:hAnsi="Arial"/>
          <w:sz w:val="24"/>
          <w:szCs w:val="24"/>
          <w:color w:val="auto"/>
        </w:rPr>
        <w:t>), configurado por cédulas e moedas em poder do público (</w:t>
      </w:r>
      <w:r>
        <w:rPr>
          <w:rFonts w:ascii="Arial" w:cs="Arial" w:eastAsia="Arial" w:hAnsi="Arial"/>
          <w:sz w:val="24"/>
          <w:szCs w:val="24"/>
          <w:i w:val="1"/>
          <w:iCs w:val="1"/>
          <w:color w:val="auto"/>
        </w:rPr>
        <w:t>P M P P</w:t>
      </w:r>
      <w:r>
        <w:rPr>
          <w:rFonts w:ascii="Arial" w:cs="Arial" w:eastAsia="Arial" w:hAnsi="Arial"/>
          <w:sz w:val="24"/>
          <w:szCs w:val="24"/>
          <w:color w:val="auto"/>
        </w:rPr>
        <w:t xml:space="preserve"> ) e seus depósitos a vista (</w:t>
      </w:r>
      <w:r>
        <w:rPr>
          <w:rFonts w:ascii="Arial" w:cs="Arial" w:eastAsia="Arial" w:hAnsi="Arial"/>
          <w:sz w:val="24"/>
          <w:szCs w:val="24"/>
          <w:i w:val="1"/>
          <w:iCs w:val="1"/>
          <w:color w:val="auto"/>
        </w:rPr>
        <w:t>DAV</w:t>
      </w:r>
      <w:r>
        <w:rPr>
          <w:rFonts w:ascii="Arial" w:cs="Arial" w:eastAsia="Arial" w:hAnsi="Arial"/>
          <w:sz w:val="24"/>
          <w:szCs w:val="24"/>
          <w:color w:val="auto"/>
        </w:rPr>
        <w:t xml:space="preserve"> ), disponíveis prontamente para pagamentos de bens e serviços. O conceito de Meios de Pagamentos Ampliado adiciona à moeda legal os agregados considerados de elevada liquidez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2</w:t>
      </w:r>
      <w:r>
        <w:rPr>
          <w:rFonts w:ascii="Arial" w:cs="Arial" w:eastAsia="Arial" w:hAnsi="Arial"/>
          <w:sz w:val="24"/>
          <w:szCs w:val="24"/>
          <w:color w:val="auto"/>
        </w:rPr>
        <w:t>) e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3</w:t>
      </w:r>
      <w:r>
        <w:rPr>
          <w:rFonts w:ascii="Arial" w:cs="Arial" w:eastAsia="Arial" w:hAnsi="Arial"/>
          <w:sz w:val="24"/>
          <w:szCs w:val="24"/>
          <w:color w:val="auto"/>
        </w:rPr>
        <w:t>) (BACEN, 2019) (BACEN, S. S. G. d. S. T., 2020a).</w:t>
      </w:r>
    </w:p>
    <w:p>
      <w:pPr>
        <w:spacing w:after="0" w:line="3" w:lineRule="exact"/>
        <w:rPr>
          <w:sz w:val="20"/>
          <w:szCs w:val="20"/>
          <w:color w:val="auto"/>
        </w:rPr>
      </w:pPr>
    </w:p>
    <w:p>
      <w:pPr>
        <w:jc w:val="center"/>
        <w:ind w:right="-179"/>
        <w:spacing w:after="0"/>
        <w:rPr>
          <w:sz w:val="20"/>
          <w:szCs w:val="20"/>
          <w:color w:val="auto"/>
        </w:rPr>
      </w:pPr>
      <w:r>
        <w:rPr>
          <w:rFonts w:ascii="Arial" w:cs="Arial" w:eastAsia="Arial" w:hAnsi="Arial"/>
          <w:sz w:val="24"/>
          <w:szCs w:val="24"/>
          <w:i w:val="1"/>
          <w:iCs w:val="1"/>
          <w:color w:val="auto"/>
        </w:rPr>
        <w:t>M</w:t>
      </w:r>
      <w:r>
        <w:rPr>
          <w:rFonts w:ascii="Arial" w:cs="Arial" w:eastAsia="Arial" w:hAnsi="Arial"/>
          <w:sz w:val="31"/>
          <w:szCs w:val="31"/>
          <w:color w:val="auto"/>
          <w:vertAlign w:val="subscript"/>
        </w:rPr>
        <w:t>1</w:t>
      </w:r>
      <w:r>
        <w:rPr>
          <w:rFonts w:ascii="Arial" w:cs="Arial" w:eastAsia="Arial" w:hAnsi="Arial"/>
          <w:sz w:val="24"/>
          <w:szCs w:val="24"/>
          <w:color w:val="auto"/>
        </w:rPr>
        <w:t xml:space="preserve"> = </w:t>
      </w:r>
      <w:r>
        <w:rPr>
          <w:rFonts w:ascii="Arial" w:cs="Arial" w:eastAsia="Arial" w:hAnsi="Arial"/>
          <w:sz w:val="24"/>
          <w:szCs w:val="24"/>
          <w:i w:val="1"/>
          <w:iCs w:val="1"/>
          <w:color w:val="auto"/>
        </w:rPr>
        <w:t>PMPP</w:t>
      </w:r>
      <w:r>
        <w:rPr>
          <w:rFonts w:ascii="Arial" w:cs="Arial" w:eastAsia="Arial" w:hAnsi="Arial"/>
          <w:sz w:val="24"/>
          <w:szCs w:val="24"/>
          <w:color w:val="auto"/>
        </w:rPr>
        <w:t xml:space="preserve"> + </w:t>
      </w:r>
      <w:r>
        <w:rPr>
          <w:rFonts w:ascii="Arial" w:cs="Arial" w:eastAsia="Arial" w:hAnsi="Arial"/>
          <w:sz w:val="24"/>
          <w:szCs w:val="24"/>
          <w:i w:val="1"/>
          <w:iCs w:val="1"/>
          <w:color w:val="auto"/>
        </w:rPr>
        <w:t>DAV</w:t>
      </w:r>
    </w:p>
    <w:p>
      <w:pPr>
        <w:spacing w:after="0" w:line="200" w:lineRule="exact"/>
        <w:rPr>
          <w:sz w:val="20"/>
          <w:szCs w:val="20"/>
          <w:color w:val="auto"/>
        </w:rPr>
      </w:pPr>
    </w:p>
    <w:p>
      <w:pPr>
        <w:spacing w:after="0" w:line="251"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O Papel-moeda em poder do público (</w:t>
      </w:r>
      <w:r>
        <w:rPr>
          <w:rFonts w:ascii="Arial" w:cs="Arial" w:eastAsia="Arial" w:hAnsi="Arial"/>
          <w:sz w:val="24"/>
          <w:szCs w:val="24"/>
          <w:i w:val="1"/>
          <w:iCs w:val="1"/>
          <w:color w:val="auto"/>
        </w:rPr>
        <w:t>P M P P</w:t>
      </w:r>
      <w:r>
        <w:rPr>
          <w:rFonts w:ascii="Arial" w:cs="Arial" w:eastAsia="Arial" w:hAnsi="Arial"/>
          <w:sz w:val="24"/>
          <w:szCs w:val="24"/>
          <w:color w:val="auto"/>
        </w:rPr>
        <w:t xml:space="preserve"> ) é encontrado pelo resultado do papel moeda emitido (</w:t>
      </w:r>
      <w:r>
        <w:rPr>
          <w:rFonts w:ascii="Arial" w:cs="Arial" w:eastAsia="Arial" w:hAnsi="Arial"/>
          <w:sz w:val="24"/>
          <w:szCs w:val="24"/>
          <w:i w:val="1"/>
          <w:iCs w:val="1"/>
          <w:color w:val="auto"/>
        </w:rPr>
        <w:t>P M E</w:t>
      </w:r>
      <w:r>
        <w:rPr>
          <w:rFonts w:ascii="Arial" w:cs="Arial" w:eastAsia="Arial" w:hAnsi="Arial"/>
          <w:sz w:val="24"/>
          <w:szCs w:val="24"/>
          <w:color w:val="auto"/>
        </w:rPr>
        <w:t>) subtraído dos encaixes do sistema bancário, obtidos diari-amente em conta específica do balanço analítico Banco Central. Os depósitos a vista são aqueles remetem às captações pelos bancos criadores de moeda e transacionáveis por cheques ou meios eletrônicos (BACEN, S. S. G. d. S. T., 2020b).</w:t>
      </w:r>
    </w:p>
    <w:p>
      <w:pPr>
        <w:spacing w:after="0" w:line="21" w:lineRule="exact"/>
        <w:rPr>
          <w:sz w:val="20"/>
          <w:szCs w:val="20"/>
          <w:color w:val="auto"/>
        </w:rPr>
      </w:pPr>
    </w:p>
    <w:p>
      <w:pPr>
        <w:jc w:val="both"/>
        <w:ind w:left="260" w:right="40" w:firstLine="850"/>
        <w:spacing w:after="0" w:line="400" w:lineRule="auto"/>
        <w:rPr>
          <w:sz w:val="20"/>
          <w:szCs w:val="20"/>
          <w:color w:val="auto"/>
        </w:rPr>
      </w:pPr>
      <w:r>
        <w:rPr>
          <w:rFonts w:ascii="Arial" w:cs="Arial" w:eastAsia="Arial" w:hAnsi="Arial"/>
          <w:sz w:val="24"/>
          <w:szCs w:val="24"/>
          <w:color w:val="auto"/>
        </w:rPr>
        <w:t xml:space="preserve">Os meios de pagamentos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1</w:t>
      </w:r>
      <w:r>
        <w:rPr>
          <w:rFonts w:ascii="Arial" w:cs="Arial" w:eastAsia="Arial" w:hAnsi="Arial"/>
          <w:sz w:val="24"/>
          <w:szCs w:val="24"/>
          <w:color w:val="auto"/>
        </w:rPr>
        <w:t xml:space="preserve"> consistem no passivo monetário de liquidez imediata do Banco Central e de instituições com poder emissão de moeda escritural e cooperativas de crédito, sendo registrados por regime de competência e gerados</w:t>
      </w:r>
    </w:p>
    <w:p>
      <w:pPr>
        <w:sectPr>
          <w:pgSz w:w="11900" w:h="16838" w:orient="portrait"/>
          <w:cols w:equalWidth="0" w:num="1">
            <w:col w:w="9360"/>
          </w:cols>
          <w:pgMar w:left="1440" w:top="991" w:right="1106" w:bottom="1440" w:gutter="0" w:footer="0" w:header="0"/>
        </w:sectPr>
      </w:pPr>
    </w:p>
    <w:p>
      <w:pPr>
        <w:ind w:left="9060"/>
        <w:spacing w:after="0"/>
        <w:rPr>
          <w:sz w:val="20"/>
          <w:szCs w:val="20"/>
          <w:color w:val="auto"/>
        </w:rPr>
      </w:pPr>
      <w:r>
        <w:rPr>
          <w:rFonts w:ascii="Arial" w:cs="Arial" w:eastAsia="Arial" w:hAnsi="Arial"/>
          <w:sz w:val="24"/>
          <w:szCs w:val="24"/>
          <w:color w:val="auto"/>
        </w:rPr>
        <w:t>24</w:t>
      </w:r>
    </w:p>
    <w:p>
      <w:pPr>
        <w:spacing w:after="0" w:line="200" w:lineRule="exact"/>
        <w:rPr>
          <w:sz w:val="20"/>
          <w:szCs w:val="20"/>
          <w:color w:val="auto"/>
        </w:rPr>
      </w:pPr>
    </w:p>
    <w:p>
      <w:pPr>
        <w:spacing w:after="0" w:line="234" w:lineRule="exact"/>
        <w:rPr>
          <w:sz w:val="20"/>
          <w:szCs w:val="20"/>
          <w:color w:val="auto"/>
        </w:rPr>
      </w:pPr>
    </w:p>
    <w:p>
      <w:pPr>
        <w:jc w:val="both"/>
        <w:ind w:left="260" w:right="20"/>
        <w:spacing w:after="0" w:line="374" w:lineRule="auto"/>
        <w:rPr>
          <w:sz w:val="20"/>
          <w:szCs w:val="20"/>
          <w:color w:val="auto"/>
        </w:rPr>
      </w:pPr>
      <w:r>
        <w:rPr>
          <w:rFonts w:ascii="Arial" w:cs="Arial" w:eastAsia="Arial" w:hAnsi="Arial"/>
          <w:sz w:val="24"/>
          <w:szCs w:val="24"/>
          <w:color w:val="auto"/>
        </w:rPr>
        <w:t>por estas instituições através do COSIF</w:t>
      </w:r>
      <w:r>
        <w:rPr>
          <w:rFonts w:ascii="Arial" w:cs="Arial" w:eastAsia="Arial" w:hAnsi="Arial"/>
          <w:sz w:val="31"/>
          <w:szCs w:val="31"/>
          <w:color w:val="auto"/>
          <w:vertAlign w:val="superscript"/>
        </w:rPr>
        <w:t>3</w:t>
      </w:r>
      <w:r>
        <w:rPr>
          <w:rFonts w:ascii="Arial" w:cs="Arial" w:eastAsia="Arial" w:hAnsi="Arial"/>
          <w:sz w:val="24"/>
          <w:szCs w:val="24"/>
          <w:color w:val="auto"/>
        </w:rPr>
        <w:t>, SISBACEN</w:t>
      </w:r>
      <w:r>
        <w:rPr>
          <w:rFonts w:ascii="Arial" w:cs="Arial" w:eastAsia="Arial" w:hAnsi="Arial"/>
          <w:sz w:val="31"/>
          <w:szCs w:val="31"/>
          <w:color w:val="auto"/>
          <w:vertAlign w:val="superscript"/>
        </w:rPr>
        <w:t>4</w:t>
      </w:r>
      <w:r>
        <w:rPr>
          <w:rFonts w:ascii="Arial" w:cs="Arial" w:eastAsia="Arial" w:hAnsi="Arial"/>
          <w:sz w:val="24"/>
          <w:szCs w:val="24"/>
          <w:color w:val="auto"/>
        </w:rPr>
        <w:t xml:space="preserve"> e por instituições emissoras instrumentos monetários (BACEN, S. S. G. d. S. T., 2020b) (BACEN, S. S. G. d. S. T., 2020a).</w:t>
      </w:r>
    </w:p>
    <w:p>
      <w:pPr>
        <w:spacing w:after="0" w:line="150"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A Figura 9 traz a visualização da evolução dos saldos mensais de papel moeda em poder do público e dos depósitos a vista entre 1995 e 2020, em termos correntes. Nota-se que até o ano de 2015 ou depósitos a vista superavam o papel moeda em poder do público, quando essa relação se inverteu até meados de 2019 e passou a apresentar comportamento de igualdade até 2020.</w:t>
      </w:r>
    </w:p>
    <w:p>
      <w:pPr>
        <w:spacing w:after="0" w:line="44" w:lineRule="exact"/>
        <w:rPr>
          <w:sz w:val="20"/>
          <w:szCs w:val="20"/>
          <w:color w:val="auto"/>
        </w:rPr>
      </w:pPr>
    </w:p>
    <w:p>
      <w:pPr>
        <w:ind w:left="260"/>
        <w:spacing w:after="0"/>
        <w:rPr>
          <w:sz w:val="20"/>
          <w:szCs w:val="20"/>
          <w:color w:val="auto"/>
        </w:rPr>
      </w:pPr>
      <w:r>
        <w:rPr>
          <w:rFonts w:ascii="Arial" w:cs="Arial" w:eastAsia="Arial" w:hAnsi="Arial"/>
          <w:sz w:val="22"/>
          <w:szCs w:val="22"/>
          <w:color w:val="auto"/>
        </w:rPr>
        <w:t>Figura 9 – Evolução dos componentes que formam os Meios de pagamentos restritos M1 —</w:t>
      </w:r>
    </w:p>
    <w:p>
      <w:pPr>
        <w:spacing w:after="0" w:line="18" w:lineRule="exact"/>
        <w:rPr>
          <w:sz w:val="20"/>
          <w:szCs w:val="20"/>
          <w:color w:val="auto"/>
        </w:rPr>
      </w:pPr>
    </w:p>
    <w:tbl>
      <w:tblPr>
        <w:tblLayout w:type="fixed"/>
        <w:tblInd w:w="1300" w:type="dxa"/>
        <w:tblCellMar>
          <w:top w:w="0" w:type="dxa"/>
          <w:left w:w="0" w:type="dxa"/>
          <w:bottom w:w="0" w:type="dxa"/>
          <w:right w:w="0" w:type="dxa"/>
        </w:tblCellMar>
      </w:tblPr>
      <w:tr>
        <w:trPr>
          <w:trHeight w:val="269"/>
        </w:trPr>
        <w:tc>
          <w:tcPr>
            <w:tcW w:w="2680" w:type="dxa"/>
            <w:vAlign w:val="bottom"/>
            <w:gridSpan w:val="2"/>
          </w:tcPr>
          <w:p>
            <w:pPr>
              <w:spacing w:after="0"/>
              <w:rPr>
                <w:sz w:val="20"/>
                <w:szCs w:val="20"/>
                <w:color w:val="auto"/>
              </w:rPr>
            </w:pPr>
            <w:r>
              <w:rPr>
                <w:rFonts w:ascii="Arial" w:cs="Arial" w:eastAsia="Arial" w:hAnsi="Arial"/>
                <w:sz w:val="22"/>
                <w:szCs w:val="22"/>
                <w:color w:val="auto"/>
              </w:rPr>
              <w:t>1995 à 2020</w:t>
            </w:r>
          </w:p>
        </w:tc>
        <w:tc>
          <w:tcPr>
            <w:tcW w:w="820" w:type="dxa"/>
            <w:vAlign w:val="bottom"/>
          </w:tcPr>
          <w:p>
            <w:pPr>
              <w:spacing w:after="0"/>
              <w:rPr>
                <w:sz w:val="23"/>
                <w:szCs w:val="23"/>
                <w:color w:val="auto"/>
              </w:rPr>
            </w:pPr>
          </w:p>
        </w:tc>
        <w:tc>
          <w:tcPr>
            <w:tcW w:w="680" w:type="dxa"/>
            <w:vAlign w:val="bottom"/>
          </w:tcPr>
          <w:p>
            <w:pPr>
              <w:spacing w:after="0"/>
              <w:rPr>
                <w:sz w:val="23"/>
                <w:szCs w:val="23"/>
                <w:color w:val="auto"/>
              </w:rPr>
            </w:pPr>
          </w:p>
        </w:tc>
        <w:tc>
          <w:tcPr>
            <w:tcW w:w="1520" w:type="dxa"/>
            <w:vAlign w:val="bottom"/>
          </w:tcPr>
          <w:p>
            <w:pPr>
              <w:spacing w:after="0"/>
              <w:rPr>
                <w:sz w:val="23"/>
                <w:szCs w:val="23"/>
                <w:color w:val="auto"/>
              </w:rPr>
            </w:pPr>
          </w:p>
        </w:tc>
        <w:tc>
          <w:tcPr>
            <w:tcW w:w="11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854"/>
        </w:trPr>
        <w:tc>
          <w:tcPr>
            <w:tcW w:w="260" w:type="dxa"/>
            <w:vAlign w:val="bottom"/>
          </w:tcPr>
          <w:p>
            <w:pPr>
              <w:spacing w:after="0"/>
              <w:rPr>
                <w:sz w:val="24"/>
                <w:szCs w:val="24"/>
                <w:color w:val="auto"/>
              </w:rPr>
            </w:pPr>
          </w:p>
        </w:tc>
        <w:tc>
          <w:tcPr>
            <w:tcW w:w="2420" w:type="dxa"/>
            <w:vAlign w:val="bottom"/>
          </w:tcPr>
          <w:p>
            <w:pPr>
              <w:jc w:val="right"/>
              <w:ind w:right="1990"/>
              <w:spacing w:after="0"/>
              <w:rPr>
                <w:sz w:val="20"/>
                <w:szCs w:val="20"/>
                <w:color w:val="auto"/>
              </w:rPr>
            </w:pPr>
            <w:r>
              <w:rPr>
                <w:rFonts w:ascii="Helvetica" w:cs="Helvetica" w:eastAsia="Helvetica" w:hAnsi="Helvetica"/>
                <w:sz w:val="18"/>
                <w:szCs w:val="18"/>
                <w:color w:val="4D4D4D"/>
              </w:rPr>
              <w:t>300</w:t>
            </w:r>
          </w:p>
        </w:tc>
        <w:tc>
          <w:tcPr>
            <w:tcW w:w="82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63"/>
        </w:trPr>
        <w:tc>
          <w:tcPr>
            <w:tcW w:w="260" w:type="dxa"/>
            <w:vAlign w:val="bottom"/>
            <w:vMerge w:val="restart"/>
            <w:textDirection w:val="btLr"/>
          </w:tcPr>
          <w:p>
            <w:pPr>
              <w:spacing w:after="0"/>
              <w:rPr>
                <w:sz w:val="20"/>
                <w:szCs w:val="20"/>
                <w:color w:val="auto"/>
              </w:rPr>
            </w:pPr>
            <w:r>
              <w:rPr>
                <w:rFonts w:ascii="Helvetica" w:cs="Helvetica" w:eastAsia="Helvetica" w:hAnsi="Helvetica"/>
                <w:sz w:val="22"/>
                <w:szCs w:val="22"/>
                <w:color w:val="auto"/>
                <w:w w:val="99"/>
              </w:rPr>
              <w:t>R$ Correntes</w:t>
            </w:r>
          </w:p>
        </w:tc>
        <w:tc>
          <w:tcPr>
            <w:tcW w:w="2420" w:type="dxa"/>
            <w:vAlign w:val="bottom"/>
          </w:tcPr>
          <w:p>
            <w:pPr>
              <w:jc w:val="right"/>
              <w:ind w:right="1990"/>
              <w:spacing w:after="0"/>
              <w:rPr>
                <w:sz w:val="20"/>
                <w:szCs w:val="20"/>
                <w:color w:val="auto"/>
              </w:rPr>
            </w:pPr>
            <w:r>
              <w:rPr>
                <w:rFonts w:ascii="Helvetica" w:cs="Helvetica" w:eastAsia="Helvetica" w:hAnsi="Helvetica"/>
                <w:sz w:val="18"/>
                <w:szCs w:val="18"/>
                <w:color w:val="4D4D4D"/>
              </w:rPr>
              <w:t>200</w:t>
            </w:r>
          </w:p>
        </w:tc>
        <w:tc>
          <w:tcPr>
            <w:tcW w:w="82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22"/>
        </w:trPr>
        <w:tc>
          <w:tcPr>
            <w:tcW w:w="260" w:type="dxa"/>
            <w:vAlign w:val="bottom"/>
            <w:vMerge w:val="continue"/>
          </w:tcPr>
          <w:p>
            <w:pPr>
              <w:spacing w:after="0"/>
              <w:rPr>
                <w:sz w:val="24"/>
                <w:szCs w:val="24"/>
                <w:color w:val="auto"/>
              </w:rPr>
            </w:pPr>
          </w:p>
        </w:tc>
        <w:tc>
          <w:tcPr>
            <w:tcW w:w="242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2"/>
        </w:trPr>
        <w:tc>
          <w:tcPr>
            <w:tcW w:w="260" w:type="dxa"/>
            <w:vAlign w:val="bottom"/>
            <w:vMerge w:val="restart"/>
            <w:textDirection w:val="btLr"/>
          </w:tcPr>
          <w:p>
            <w:pPr>
              <w:spacing w:after="0"/>
              <w:rPr>
                <w:sz w:val="20"/>
                <w:szCs w:val="20"/>
                <w:color w:val="auto"/>
              </w:rPr>
            </w:pPr>
            <w:r>
              <w:rPr>
                <w:rFonts w:ascii="Helvetica" w:cs="Helvetica" w:eastAsia="Helvetica" w:hAnsi="Helvetica"/>
                <w:sz w:val="22"/>
                <w:szCs w:val="22"/>
                <w:color w:val="auto"/>
                <w:w w:val="91"/>
              </w:rPr>
              <w:t>bilhões</w:t>
            </w:r>
          </w:p>
        </w:tc>
        <w:tc>
          <w:tcPr>
            <w:tcW w:w="2420" w:type="dxa"/>
            <w:vAlign w:val="bottom"/>
          </w:tcPr>
          <w:p>
            <w:pPr>
              <w:jc w:val="right"/>
              <w:ind w:right="1990"/>
              <w:spacing w:after="0"/>
              <w:rPr>
                <w:sz w:val="20"/>
                <w:szCs w:val="20"/>
                <w:color w:val="auto"/>
              </w:rPr>
            </w:pPr>
            <w:r>
              <w:rPr>
                <w:rFonts w:ascii="Helvetica" w:cs="Helvetica" w:eastAsia="Helvetica" w:hAnsi="Helvetica"/>
                <w:sz w:val="18"/>
                <w:szCs w:val="18"/>
                <w:color w:val="4D4D4D"/>
              </w:rPr>
              <w:t>100</w:t>
            </w:r>
          </w:p>
        </w:tc>
        <w:tc>
          <w:tcPr>
            <w:tcW w:w="82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5"/>
        </w:trPr>
        <w:tc>
          <w:tcPr>
            <w:tcW w:w="260" w:type="dxa"/>
            <w:vAlign w:val="bottom"/>
            <w:vMerge w:val="continue"/>
          </w:tcPr>
          <w:p>
            <w:pPr>
              <w:spacing w:after="0"/>
              <w:rPr>
                <w:sz w:val="22"/>
                <w:szCs w:val="22"/>
                <w:color w:val="auto"/>
              </w:rPr>
            </w:pPr>
          </w:p>
        </w:tc>
        <w:tc>
          <w:tcPr>
            <w:tcW w:w="2420" w:type="dxa"/>
            <w:vAlign w:val="bottom"/>
          </w:tcPr>
          <w:p>
            <w:pPr>
              <w:spacing w:after="0"/>
              <w:rPr>
                <w:sz w:val="22"/>
                <w:szCs w:val="22"/>
                <w:color w:val="auto"/>
              </w:rPr>
            </w:pPr>
          </w:p>
        </w:tc>
        <w:tc>
          <w:tcPr>
            <w:tcW w:w="820" w:type="dxa"/>
            <w:vAlign w:val="bottom"/>
          </w:tcPr>
          <w:p>
            <w:pPr>
              <w:spacing w:after="0"/>
              <w:rPr>
                <w:sz w:val="22"/>
                <w:szCs w:val="22"/>
                <w:color w:val="auto"/>
              </w:rPr>
            </w:pPr>
          </w:p>
        </w:tc>
        <w:tc>
          <w:tcPr>
            <w:tcW w:w="680" w:type="dxa"/>
            <w:vAlign w:val="bottom"/>
          </w:tcPr>
          <w:p>
            <w:pPr>
              <w:spacing w:after="0"/>
              <w:rPr>
                <w:sz w:val="22"/>
                <w:szCs w:val="22"/>
                <w:color w:val="auto"/>
              </w:rPr>
            </w:pPr>
          </w:p>
        </w:tc>
        <w:tc>
          <w:tcPr>
            <w:tcW w:w="1520" w:type="dxa"/>
            <w:vAlign w:val="bottom"/>
          </w:tcPr>
          <w:p>
            <w:pPr>
              <w:spacing w:after="0"/>
              <w:rPr>
                <w:sz w:val="22"/>
                <w:szCs w:val="22"/>
                <w:color w:val="auto"/>
              </w:rPr>
            </w:pPr>
          </w:p>
        </w:tc>
        <w:tc>
          <w:tcPr>
            <w:tcW w:w="11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759"/>
        </w:trPr>
        <w:tc>
          <w:tcPr>
            <w:tcW w:w="260" w:type="dxa"/>
            <w:vAlign w:val="bottom"/>
          </w:tcPr>
          <w:p>
            <w:pPr>
              <w:spacing w:after="0"/>
              <w:rPr>
                <w:sz w:val="24"/>
                <w:szCs w:val="24"/>
                <w:color w:val="auto"/>
              </w:rPr>
            </w:pPr>
          </w:p>
        </w:tc>
        <w:tc>
          <w:tcPr>
            <w:tcW w:w="2420" w:type="dxa"/>
            <w:vAlign w:val="bottom"/>
          </w:tcPr>
          <w:p>
            <w:pPr>
              <w:jc w:val="right"/>
              <w:ind w:right="290"/>
              <w:spacing w:after="0"/>
              <w:rPr>
                <w:sz w:val="20"/>
                <w:szCs w:val="20"/>
                <w:color w:val="auto"/>
              </w:rPr>
            </w:pPr>
            <w:r>
              <w:rPr>
                <w:rFonts w:ascii="Helvetica" w:cs="Helvetica" w:eastAsia="Helvetica" w:hAnsi="Helvetica"/>
                <w:sz w:val="18"/>
                <w:szCs w:val="18"/>
                <w:color w:val="4D4D4D"/>
              </w:rPr>
              <w:t>Jan 2005</w:t>
            </w:r>
          </w:p>
        </w:tc>
        <w:tc>
          <w:tcPr>
            <w:tcW w:w="1500" w:type="dxa"/>
            <w:vAlign w:val="bottom"/>
            <w:gridSpan w:val="2"/>
          </w:tcPr>
          <w:p>
            <w:pPr>
              <w:ind w:left="380"/>
              <w:spacing w:after="0"/>
              <w:rPr>
                <w:sz w:val="20"/>
                <w:szCs w:val="20"/>
                <w:color w:val="auto"/>
              </w:rPr>
            </w:pPr>
            <w:r>
              <w:rPr>
                <w:rFonts w:ascii="Helvetica" w:cs="Helvetica" w:eastAsia="Helvetica" w:hAnsi="Helvetica"/>
                <w:sz w:val="18"/>
                <w:szCs w:val="18"/>
                <w:color w:val="4D4D4D"/>
              </w:rPr>
              <w:t>Jan 2010</w:t>
            </w:r>
          </w:p>
        </w:tc>
        <w:tc>
          <w:tcPr>
            <w:tcW w:w="1520" w:type="dxa"/>
            <w:vAlign w:val="bottom"/>
          </w:tcPr>
          <w:p>
            <w:pPr>
              <w:ind w:left="400"/>
              <w:spacing w:after="0"/>
              <w:rPr>
                <w:sz w:val="20"/>
                <w:szCs w:val="20"/>
                <w:color w:val="auto"/>
              </w:rPr>
            </w:pPr>
            <w:r>
              <w:rPr>
                <w:rFonts w:ascii="Helvetica" w:cs="Helvetica" w:eastAsia="Helvetica" w:hAnsi="Helvetica"/>
                <w:sz w:val="18"/>
                <w:szCs w:val="18"/>
                <w:color w:val="4D4D4D"/>
              </w:rPr>
              <w:t>Jan 2015</w:t>
            </w:r>
          </w:p>
        </w:tc>
        <w:tc>
          <w:tcPr>
            <w:tcW w:w="1140" w:type="dxa"/>
            <w:vAlign w:val="bottom"/>
          </w:tcPr>
          <w:p>
            <w:pPr>
              <w:ind w:left="380"/>
              <w:spacing w:after="0"/>
              <w:rPr>
                <w:sz w:val="20"/>
                <w:szCs w:val="20"/>
                <w:color w:val="auto"/>
              </w:rPr>
            </w:pPr>
            <w:r>
              <w:rPr>
                <w:rFonts w:ascii="Helvetica" w:cs="Helvetica" w:eastAsia="Helvetica" w:hAnsi="Helvetica"/>
                <w:sz w:val="18"/>
                <w:szCs w:val="18"/>
                <w:color w:val="4D4D4D"/>
                <w:w w:val="97"/>
              </w:rPr>
              <w:t>Jan 2020</w:t>
            </w:r>
          </w:p>
        </w:tc>
        <w:tc>
          <w:tcPr>
            <w:tcW w:w="0" w:type="dxa"/>
            <w:vAlign w:val="bottom"/>
          </w:tcPr>
          <w:p>
            <w:pPr>
              <w:spacing w:after="0"/>
              <w:rPr>
                <w:sz w:val="1"/>
                <w:szCs w:val="1"/>
                <w:color w:val="auto"/>
              </w:rPr>
            </w:pPr>
          </w:p>
        </w:tc>
      </w:tr>
      <w:tr>
        <w:trPr>
          <w:trHeight w:val="606"/>
        </w:trPr>
        <w:tc>
          <w:tcPr>
            <w:tcW w:w="260" w:type="dxa"/>
            <w:vAlign w:val="bottom"/>
          </w:tcPr>
          <w:p>
            <w:pPr>
              <w:spacing w:after="0"/>
              <w:rPr>
                <w:sz w:val="24"/>
                <w:szCs w:val="24"/>
                <w:color w:val="auto"/>
              </w:rPr>
            </w:pPr>
          </w:p>
        </w:tc>
        <w:tc>
          <w:tcPr>
            <w:tcW w:w="3240" w:type="dxa"/>
            <w:vAlign w:val="bottom"/>
            <w:gridSpan w:val="2"/>
          </w:tcPr>
          <w:p>
            <w:pPr>
              <w:ind w:left="1540"/>
              <w:spacing w:after="0"/>
              <w:rPr>
                <w:sz w:val="20"/>
                <w:szCs w:val="20"/>
                <w:color w:val="auto"/>
              </w:rPr>
            </w:pPr>
            <w:r>
              <w:rPr>
                <w:rFonts w:ascii="Helvetica" w:cs="Helvetica" w:eastAsia="Helvetica" w:hAnsi="Helvetica"/>
                <w:sz w:val="18"/>
                <w:szCs w:val="18"/>
                <w:color w:val="auto"/>
              </w:rPr>
              <w:t>Depósitos.à.Vista</w:t>
            </w:r>
          </w:p>
        </w:tc>
        <w:tc>
          <w:tcPr>
            <w:tcW w:w="3320" w:type="dxa"/>
            <w:vAlign w:val="bottom"/>
            <w:gridSpan w:val="3"/>
          </w:tcPr>
          <w:p>
            <w:pPr>
              <w:ind w:left="260"/>
              <w:spacing w:after="0"/>
              <w:rPr>
                <w:sz w:val="20"/>
                <w:szCs w:val="20"/>
                <w:color w:val="auto"/>
              </w:rPr>
            </w:pPr>
            <w:r>
              <w:rPr>
                <w:rFonts w:ascii="Helvetica" w:cs="Helvetica" w:eastAsia="Helvetica" w:hAnsi="Helvetica"/>
                <w:sz w:val="18"/>
                <w:szCs w:val="18"/>
                <w:color w:val="auto"/>
              </w:rPr>
              <w:t>Papel.Moeda.em.poder.do.público</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1236345</wp:posOffset>
            </wp:positionH>
            <wp:positionV relativeFrom="paragraph">
              <wp:posOffset>-2490470</wp:posOffset>
            </wp:positionV>
            <wp:extent cx="4048760" cy="197104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extLst>
                    </a:blip>
                    <a:srcRect/>
                    <a:stretch>
                      <a:fillRect/>
                    </a:stretch>
                  </pic:blipFill>
                  <pic:spPr bwMode="auto">
                    <a:xfrm>
                      <a:off x="0" y="0"/>
                      <a:ext cx="4048760" cy="197104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1704975</wp:posOffset>
                </wp:positionH>
                <wp:positionV relativeFrom="paragraph">
                  <wp:posOffset>-66040</wp:posOffset>
                </wp:positionV>
                <wp:extent cx="17526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260" cy="4763"/>
                        </a:xfrm>
                        <a:prstGeom prst="line">
                          <a:avLst/>
                        </a:prstGeom>
                        <a:solidFill>
                          <a:srgbClr val="FFFFFF"/>
                        </a:solidFill>
                        <a:ln w="13589">
                          <a:solidFill>
                            <a:srgbClr val="F8766D"/>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4.25pt,-5.1999pt" to="148.05pt,-5.1999pt" o:allowincell="f" strokecolor="#F8766D" strokeweight="1.07pt"/>
            </w:pict>
          </mc:Fallback>
        </mc:AlternateContent>
        <mc:AlternateContent>
          <mc:Choice Requires="wps">
            <w:drawing>
              <wp:anchor simplePos="0" relativeHeight="251657728" behindDoc="1" locked="0" layoutInCell="0" allowOverlap="1">
                <wp:simplePos x="0" y="0"/>
                <wp:positionH relativeFrom="column">
                  <wp:posOffset>2951480</wp:posOffset>
                </wp:positionH>
                <wp:positionV relativeFrom="paragraph">
                  <wp:posOffset>-66040</wp:posOffset>
                </wp:positionV>
                <wp:extent cx="17526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260" cy="4763"/>
                        </a:xfrm>
                        <a:prstGeom prst="line">
                          <a:avLst/>
                        </a:prstGeom>
                        <a:solidFill>
                          <a:srgbClr val="FFFFFF"/>
                        </a:solidFill>
                        <a:ln w="13589">
                          <a:solidFill>
                            <a:srgbClr val="00BFC4"/>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4pt,-5.1999pt" to="246.2pt,-5.1999pt" o:allowincell="f" strokecolor="#00BFC4" strokeweight="1.07pt"/>
            </w:pict>
          </mc:Fallback>
        </mc:AlternateContent>
      </w:r>
    </w:p>
    <w:p>
      <w:pPr>
        <w:spacing w:after="0" w:line="270"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com dados do Departamento de Estatísticas do Banco Central</w:t>
      </w: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both"/>
        <w:ind w:left="260" w:right="20" w:firstLine="858"/>
        <w:spacing w:after="0" w:line="391" w:lineRule="auto"/>
        <w:rPr>
          <w:sz w:val="20"/>
          <w:szCs w:val="20"/>
          <w:color w:val="auto"/>
        </w:rPr>
      </w:pPr>
      <w:r>
        <w:rPr>
          <w:rFonts w:ascii="Arial" w:cs="Arial" w:eastAsia="Arial" w:hAnsi="Arial"/>
          <w:sz w:val="24"/>
          <w:szCs w:val="24"/>
          <w:color w:val="auto"/>
        </w:rPr>
        <w:t xml:space="preserve">O Meios de Pagamentos Ampliados </w:t>
      </w:r>
      <w:r>
        <w:rPr>
          <w:rFonts w:ascii="Arial" w:cs="Arial" w:eastAsia="Arial" w:hAnsi="Arial"/>
          <w:sz w:val="24"/>
          <w:szCs w:val="24"/>
          <w:i w:val="1"/>
          <w:iCs w:val="1"/>
          <w:color w:val="auto"/>
        </w:rPr>
        <w:t>M P a</w:t>
      </w:r>
      <w:r>
        <w:rPr>
          <w:rFonts w:ascii="Arial" w:cs="Arial" w:eastAsia="Arial" w:hAnsi="Arial"/>
          <w:sz w:val="24"/>
          <w:szCs w:val="24"/>
          <w:color w:val="auto"/>
        </w:rPr>
        <w:t xml:space="preserve"> consistem no conjunto de instumen-tos monetários que remetem de forma antecipada à demanda por moeda, configurando uma avaliação do grau de liquidez da economia de uma forma mais precisa. Os meios de pagamentos amplos são formados pelos agregados monetários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1</w:t>
      </w:r>
      <w:r>
        <w:rPr>
          <w:rFonts w:ascii="Arial" w:cs="Arial" w:eastAsia="Arial" w:hAnsi="Arial"/>
          <w:sz w:val="24"/>
          <w:szCs w:val="24"/>
          <w:color w:val="auto"/>
        </w:rPr>
        <w:t xml:space="preserve">,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2</w:t>
      </w:r>
      <w:r>
        <w:rPr>
          <w:rFonts w:ascii="Arial" w:cs="Arial" w:eastAsia="Arial" w:hAnsi="Arial"/>
          <w:sz w:val="24"/>
          <w:szCs w:val="24"/>
          <w:color w:val="auto"/>
        </w:rPr>
        <w:t xml:space="preserve">,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3</w:t>
      </w:r>
      <w:r>
        <w:rPr>
          <w:rFonts w:ascii="Arial" w:cs="Arial" w:eastAsia="Arial" w:hAnsi="Arial"/>
          <w:sz w:val="24"/>
          <w:szCs w:val="24"/>
          <w:color w:val="auto"/>
        </w:rPr>
        <w:t xml:space="preserve">) e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4</w:t>
      </w:r>
      <w:r>
        <w:rPr>
          <w:rFonts w:ascii="Arial" w:cs="Arial" w:eastAsia="Arial" w:hAnsi="Arial"/>
          <w:sz w:val="24"/>
          <w:szCs w:val="24"/>
          <w:color w:val="auto"/>
        </w:rPr>
        <w:t xml:space="preserve"> (BACEN, S. S. G. d. S. T., 2020a).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171450</wp:posOffset>
                </wp:positionV>
                <wp:extent cx="230251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3.5pt" to="194.25pt,13.5pt" o:allowincell="f" strokecolor="#000000" strokeweight="0.398pt"/>
            </w:pict>
          </mc:Fallback>
        </mc:AlternateContent>
      </w:r>
    </w:p>
    <w:p>
      <w:pPr>
        <w:spacing w:after="0" w:line="212" w:lineRule="exact"/>
        <w:rPr>
          <w:sz w:val="20"/>
          <w:szCs w:val="20"/>
          <w:color w:val="auto"/>
        </w:rPr>
      </w:pPr>
    </w:p>
    <w:p>
      <w:pPr>
        <w:ind w:left="540" w:hanging="281"/>
        <w:spacing w:after="0"/>
        <w:tabs>
          <w:tab w:leader="none" w:pos="540" w:val="left"/>
        </w:tabs>
        <w:numPr>
          <w:ilvl w:val="0"/>
          <w:numId w:val="10"/>
        </w:numPr>
        <w:rPr>
          <w:rFonts w:ascii="Arial" w:cs="Arial" w:eastAsia="Arial" w:hAnsi="Arial"/>
          <w:sz w:val="28"/>
          <w:szCs w:val="28"/>
          <w:color w:val="auto"/>
          <w:vertAlign w:val="superscript"/>
        </w:rPr>
      </w:pPr>
      <w:r>
        <w:rPr>
          <w:rFonts w:ascii="Arial" w:cs="Arial" w:eastAsia="Arial" w:hAnsi="Arial"/>
          <w:sz w:val="20"/>
          <w:szCs w:val="20"/>
          <w:color w:val="auto"/>
        </w:rPr>
        <w:t>Realizados por meio de dados das demonstrações contábeis padronizadas</w:t>
      </w:r>
    </w:p>
    <w:p>
      <w:pPr>
        <w:ind w:left="540" w:hanging="281"/>
        <w:spacing w:after="0" w:line="181" w:lineRule="auto"/>
        <w:tabs>
          <w:tab w:leader="none" w:pos="540" w:val="left"/>
        </w:tabs>
        <w:numPr>
          <w:ilvl w:val="0"/>
          <w:numId w:val="11"/>
        </w:numPr>
        <w:rPr>
          <w:rFonts w:ascii="Arial" w:cs="Arial" w:eastAsia="Arial" w:hAnsi="Arial"/>
          <w:sz w:val="28"/>
          <w:szCs w:val="28"/>
          <w:color w:val="auto"/>
          <w:vertAlign w:val="superscript"/>
        </w:rPr>
      </w:pPr>
      <w:r>
        <w:rPr>
          <w:rFonts w:ascii="Arial" w:cs="Arial" w:eastAsia="Arial" w:hAnsi="Arial"/>
          <w:sz w:val="20"/>
          <w:szCs w:val="20"/>
          <w:color w:val="auto"/>
        </w:rPr>
        <w:t>Dados de relatórios extracontábeis</w:t>
      </w:r>
    </w:p>
    <w:p>
      <w:pPr>
        <w:sectPr>
          <w:pgSz w:w="11900" w:h="16838" w:orient="portrait"/>
          <w:cols w:equalWidth="0" w:num="1">
            <w:col w:w="9380"/>
          </w:cols>
          <w:pgMar w:left="1440" w:top="991" w:right="1086" w:bottom="1440" w:gutter="0" w:footer="0" w:header="0"/>
        </w:sectPr>
      </w:pPr>
    </w:p>
    <w:p>
      <w:pPr>
        <w:ind w:left="9060"/>
        <w:spacing w:after="0"/>
        <w:rPr>
          <w:sz w:val="20"/>
          <w:szCs w:val="20"/>
          <w:color w:val="auto"/>
        </w:rPr>
      </w:pPr>
      <w:r>
        <w:rPr>
          <w:rFonts w:ascii="Arial" w:cs="Arial" w:eastAsia="Arial" w:hAnsi="Arial"/>
          <w:sz w:val="24"/>
          <w:szCs w:val="24"/>
          <w:color w:val="auto"/>
        </w:rPr>
        <w:t>25</w:t>
      </w:r>
    </w:p>
    <w:p>
      <w:pPr>
        <w:spacing w:after="0" w:line="200" w:lineRule="exact"/>
        <w:rPr>
          <w:sz w:val="20"/>
          <w:szCs w:val="20"/>
          <w:color w:val="auto"/>
        </w:rPr>
      </w:pPr>
    </w:p>
    <w:p>
      <w:pPr>
        <w:spacing w:after="0" w:line="246" w:lineRule="exact"/>
        <w:rPr>
          <w:sz w:val="20"/>
          <w:szCs w:val="20"/>
          <w:color w:val="auto"/>
        </w:rPr>
      </w:pPr>
    </w:p>
    <w:p>
      <w:pPr>
        <w:jc w:val="both"/>
        <w:ind w:left="260" w:right="40" w:firstLine="858"/>
        <w:spacing w:after="0" w:line="419" w:lineRule="auto"/>
        <w:rPr>
          <w:sz w:val="20"/>
          <w:szCs w:val="20"/>
          <w:color w:val="auto"/>
        </w:rPr>
      </w:pPr>
      <w:r>
        <w:rPr>
          <w:rFonts w:ascii="Arial" w:cs="Arial" w:eastAsia="Arial" w:hAnsi="Arial"/>
          <w:sz w:val="24"/>
          <w:szCs w:val="24"/>
          <w:color w:val="auto"/>
        </w:rPr>
        <w:t>No Brasil, a apuração e divulgação dos agregados monetários seguem as normas internacionais instituídas no Manual de Estatísticas Monetárias e Financeiras (MEMF), elaborado pelo Fundo Monetário Internacional (FMI) com a colaboração dos países participantes (BACEN, S. S. G. d. S. T., 2020a), o que vem trazer grandes vantagens técnicas para os países que aderem a estas normas.</w:t>
      </w:r>
    </w:p>
    <w:p>
      <w:pPr>
        <w:spacing w:after="0" w:line="21" w:lineRule="exact"/>
        <w:rPr>
          <w:sz w:val="20"/>
          <w:szCs w:val="20"/>
          <w:color w:val="auto"/>
        </w:rPr>
      </w:pPr>
    </w:p>
    <w:p>
      <w:pPr>
        <w:jc w:val="both"/>
        <w:ind w:left="260" w:firstLine="849"/>
        <w:spacing w:after="0" w:line="372" w:lineRule="auto"/>
        <w:tabs>
          <w:tab w:leader="none" w:pos="1362" w:val="left"/>
        </w:tabs>
        <w:numPr>
          <w:ilvl w:val="0"/>
          <w:numId w:val="12"/>
        </w:numPr>
        <w:rPr>
          <w:rFonts w:ascii="Arial" w:cs="Arial" w:eastAsia="Arial" w:hAnsi="Arial"/>
          <w:sz w:val="24"/>
          <w:szCs w:val="24"/>
          <w:color w:val="auto"/>
        </w:rPr>
      </w:pPr>
      <w:r>
        <w:rPr>
          <w:rFonts w:ascii="Arial" w:cs="Arial" w:eastAsia="Arial" w:hAnsi="Arial"/>
          <w:sz w:val="24"/>
          <w:szCs w:val="24"/>
          <w:color w:val="auto"/>
        </w:rPr>
        <w:t xml:space="preserve">Agregado Monetário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2</w:t>
      </w:r>
      <w:r>
        <w:rPr>
          <w:rFonts w:ascii="Arial" w:cs="Arial" w:eastAsia="Arial" w:hAnsi="Arial"/>
          <w:sz w:val="24"/>
          <w:szCs w:val="24"/>
          <w:color w:val="auto"/>
        </w:rPr>
        <w:t xml:space="preserve">, contempla o Agregado Monetário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1</w:t>
      </w:r>
      <w:r>
        <w:rPr>
          <w:rFonts w:ascii="Arial" w:cs="Arial" w:eastAsia="Arial" w:hAnsi="Arial"/>
          <w:sz w:val="24"/>
          <w:szCs w:val="24"/>
          <w:color w:val="auto"/>
        </w:rPr>
        <w:t xml:space="preserve"> mais o resul-tante das emissões primárias por instituições depositárias no mercado interno, que realizam a multiplicação de crédito, consistindo em depósitos de poupança (</w:t>
      </w:r>
      <w:r>
        <w:rPr>
          <w:rFonts w:ascii="Arial" w:cs="Arial" w:eastAsia="Arial" w:hAnsi="Arial"/>
          <w:sz w:val="24"/>
          <w:szCs w:val="24"/>
          <w:i w:val="1"/>
          <w:iCs w:val="1"/>
          <w:color w:val="auto"/>
        </w:rPr>
        <w:t>DP</w:t>
      </w:r>
      <w:r>
        <w:rPr>
          <w:rFonts w:ascii="Arial" w:cs="Arial" w:eastAsia="Arial" w:hAnsi="Arial"/>
          <w:sz w:val="24"/>
          <w:szCs w:val="24"/>
          <w:color w:val="auto"/>
        </w:rPr>
        <w:t xml:space="preserve"> ) e títu-los privados emitidos pelas instituições depositárias (</w:t>
      </w:r>
      <w:r>
        <w:rPr>
          <w:rFonts w:ascii="Arial" w:cs="Arial" w:eastAsia="Arial" w:hAnsi="Arial"/>
          <w:sz w:val="24"/>
          <w:szCs w:val="24"/>
          <w:i w:val="1"/>
          <w:iCs w:val="1"/>
          <w:color w:val="auto"/>
        </w:rPr>
        <w:t>T EID</w:t>
      </w:r>
      <w:r>
        <w:rPr>
          <w:rFonts w:ascii="Arial" w:cs="Arial" w:eastAsia="Arial" w:hAnsi="Arial"/>
          <w:sz w:val="24"/>
          <w:szCs w:val="24"/>
          <w:color w:val="auto"/>
        </w:rPr>
        <w:t>)</w:t>
      </w:r>
      <w:r>
        <w:rPr>
          <w:rFonts w:ascii="Arial" w:cs="Arial" w:eastAsia="Arial" w:hAnsi="Arial"/>
          <w:sz w:val="31"/>
          <w:szCs w:val="31"/>
          <w:color w:val="auto"/>
          <w:vertAlign w:val="superscript"/>
        </w:rPr>
        <w:t>5</w:t>
      </w:r>
      <w:r>
        <w:rPr>
          <w:rFonts w:ascii="Arial" w:cs="Arial" w:eastAsia="Arial" w:hAnsi="Arial"/>
          <w:sz w:val="24"/>
          <w:szCs w:val="24"/>
          <w:color w:val="auto"/>
        </w:rPr>
        <w:t xml:space="preserve"> (BACEN, S. S. G. d. S. T., 2020a).</w:t>
      </w:r>
    </w:p>
    <w:p>
      <w:pPr>
        <w:spacing w:after="0" w:line="2"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M</w:t>
      </w:r>
      <w:r>
        <w:rPr>
          <w:rFonts w:ascii="Arial" w:cs="Arial" w:eastAsia="Arial" w:hAnsi="Arial"/>
          <w:sz w:val="31"/>
          <w:szCs w:val="31"/>
          <w:color w:val="auto"/>
          <w:vertAlign w:val="subscript"/>
        </w:rPr>
        <w:t>2</w:t>
      </w:r>
      <w:r>
        <w:rPr>
          <w:rFonts w:ascii="Arial" w:cs="Arial" w:eastAsia="Arial" w:hAnsi="Arial"/>
          <w:sz w:val="24"/>
          <w:szCs w:val="24"/>
          <w:color w:val="auto"/>
        </w:rPr>
        <w:t xml:space="preserve">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1</w:t>
      </w:r>
      <w:r>
        <w:rPr>
          <w:rFonts w:ascii="Arial" w:cs="Arial" w:eastAsia="Arial" w:hAnsi="Arial"/>
          <w:sz w:val="24"/>
          <w:szCs w:val="24"/>
          <w:color w:val="auto"/>
        </w:rPr>
        <w:t>+</w:t>
      </w:r>
      <w:r>
        <w:rPr>
          <w:rFonts w:ascii="Arial" w:cs="Arial" w:eastAsia="Arial" w:hAnsi="Arial"/>
          <w:sz w:val="24"/>
          <w:szCs w:val="24"/>
          <w:i w:val="1"/>
          <w:iCs w:val="1"/>
          <w:color w:val="auto"/>
        </w:rPr>
        <w:t>DP</w:t>
      </w:r>
      <w:r>
        <w:rPr>
          <w:rFonts w:ascii="Arial" w:cs="Arial" w:eastAsia="Arial" w:hAnsi="Arial"/>
          <w:sz w:val="24"/>
          <w:szCs w:val="24"/>
          <w:color w:val="auto"/>
        </w:rPr>
        <w:t xml:space="preserve"> +</w:t>
      </w:r>
      <w:r>
        <w:rPr>
          <w:rFonts w:ascii="Arial" w:cs="Arial" w:eastAsia="Arial" w:hAnsi="Arial"/>
          <w:sz w:val="24"/>
          <w:szCs w:val="24"/>
          <w:i w:val="1"/>
          <w:iCs w:val="1"/>
          <w:color w:val="auto"/>
        </w:rPr>
        <w:t>TEID</w:t>
      </w:r>
    </w:p>
    <w:p>
      <w:pPr>
        <w:spacing w:after="0" w:line="371" w:lineRule="exact"/>
        <w:rPr>
          <w:sz w:val="20"/>
          <w:szCs w:val="20"/>
          <w:color w:val="auto"/>
        </w:rPr>
      </w:pPr>
    </w:p>
    <w:p>
      <w:pPr>
        <w:jc w:val="both"/>
        <w:ind w:left="260" w:right="20" w:firstLine="858"/>
        <w:spacing w:after="0" w:line="395" w:lineRule="auto"/>
        <w:rPr>
          <w:sz w:val="20"/>
          <w:szCs w:val="20"/>
          <w:color w:val="auto"/>
        </w:rPr>
      </w:pPr>
      <w:r>
        <w:rPr>
          <w:rFonts w:ascii="Arial" w:cs="Arial" w:eastAsia="Arial" w:hAnsi="Arial"/>
          <w:sz w:val="24"/>
          <w:szCs w:val="24"/>
          <w:color w:val="auto"/>
        </w:rPr>
        <w:t xml:space="preserve">O Agregado Monetário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3</w:t>
      </w:r>
      <w:r>
        <w:rPr>
          <w:rFonts w:ascii="Arial" w:cs="Arial" w:eastAsia="Arial" w:hAnsi="Arial"/>
          <w:sz w:val="24"/>
          <w:szCs w:val="24"/>
          <w:color w:val="auto"/>
        </w:rPr>
        <w:t xml:space="preserve"> contempla o Agregado Monetário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2</w:t>
      </w:r>
      <w:r>
        <w:rPr>
          <w:rFonts w:ascii="Arial" w:cs="Arial" w:eastAsia="Arial" w:hAnsi="Arial"/>
          <w:sz w:val="24"/>
          <w:szCs w:val="24"/>
          <w:color w:val="auto"/>
        </w:rPr>
        <w:t>) adicionado das captações internas intermediadas pelos posição líquida de detentores moeda de renda fixa e das carteiras de títulos públicos federais registrados no Sistema Especial de liquidação e Custodia (Selic) e Bolsa de Valores. Consiste em quotas de fundos de renda fixa (</w:t>
      </w:r>
      <w:r>
        <w:rPr>
          <w:rFonts w:ascii="Arial" w:cs="Arial" w:eastAsia="Arial" w:hAnsi="Arial"/>
          <w:sz w:val="24"/>
          <w:szCs w:val="24"/>
          <w:i w:val="1"/>
          <w:iCs w:val="1"/>
          <w:color w:val="auto"/>
        </w:rPr>
        <w:t>QF RF</w:t>
      </w:r>
      <w:r>
        <w:rPr>
          <w:rFonts w:ascii="Arial" w:cs="Arial" w:eastAsia="Arial" w:hAnsi="Arial"/>
          <w:sz w:val="24"/>
          <w:szCs w:val="24"/>
          <w:color w:val="auto"/>
        </w:rPr>
        <w:t xml:space="preserve"> )</w:t>
      </w:r>
      <w:r>
        <w:rPr>
          <w:rFonts w:ascii="Arial" w:cs="Arial" w:eastAsia="Arial" w:hAnsi="Arial"/>
          <w:sz w:val="31"/>
          <w:szCs w:val="31"/>
          <w:color w:val="auto"/>
          <w:vertAlign w:val="superscript"/>
        </w:rPr>
        <w:t>6</w:t>
      </w:r>
      <w:r>
        <w:rPr>
          <w:rFonts w:ascii="Arial" w:cs="Arial" w:eastAsia="Arial" w:hAnsi="Arial"/>
          <w:sz w:val="24"/>
          <w:szCs w:val="24"/>
          <w:color w:val="auto"/>
        </w:rPr>
        <w:t xml:space="preserve"> e operações compromissadas registradas no Selic</w:t>
      </w:r>
      <w:r>
        <w:rPr>
          <w:rFonts w:ascii="Arial" w:cs="Arial" w:eastAsia="Arial" w:hAnsi="Arial"/>
          <w:sz w:val="31"/>
          <w:szCs w:val="31"/>
          <w:color w:val="auto"/>
          <w:vertAlign w:val="superscript"/>
        </w:rPr>
        <w:t>7</w:t>
      </w:r>
      <w:r>
        <w:rPr>
          <w:rFonts w:ascii="Arial" w:cs="Arial" w:eastAsia="Arial" w:hAnsi="Arial"/>
          <w:sz w:val="24"/>
          <w:szCs w:val="24"/>
          <w:color w:val="auto"/>
        </w:rPr>
        <w:t xml:space="preserve"> (</w:t>
      </w:r>
      <w:r>
        <w:rPr>
          <w:rFonts w:ascii="Arial" w:cs="Arial" w:eastAsia="Arial" w:hAnsi="Arial"/>
          <w:sz w:val="24"/>
          <w:szCs w:val="24"/>
          <w:i w:val="1"/>
          <w:iCs w:val="1"/>
          <w:color w:val="auto"/>
        </w:rPr>
        <w:t>OCRS</w:t>
      </w:r>
      <w:r>
        <w:rPr>
          <w:rFonts w:ascii="Arial" w:cs="Arial" w:eastAsia="Arial" w:hAnsi="Arial"/>
          <w:sz w:val="24"/>
          <w:szCs w:val="24"/>
          <w:color w:val="auto"/>
        </w:rPr>
        <w:t>) (BACEN, 2019) (BACEN, S. S. G. d. S. T., 2020a).</w:t>
      </w:r>
    </w:p>
    <w:p>
      <w:pPr>
        <w:spacing w:after="0" w:line="118"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M</w:t>
      </w:r>
      <w:r>
        <w:rPr>
          <w:rFonts w:ascii="Arial" w:cs="Arial" w:eastAsia="Arial" w:hAnsi="Arial"/>
          <w:sz w:val="31"/>
          <w:szCs w:val="31"/>
          <w:color w:val="auto"/>
          <w:vertAlign w:val="subscript"/>
        </w:rPr>
        <w:t>3</w:t>
      </w:r>
      <w:r>
        <w:rPr>
          <w:rFonts w:ascii="Arial" w:cs="Arial" w:eastAsia="Arial" w:hAnsi="Arial"/>
          <w:sz w:val="24"/>
          <w:szCs w:val="24"/>
          <w:color w:val="auto"/>
        </w:rPr>
        <w:t xml:space="preserve"> =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2</w:t>
      </w:r>
      <w:r>
        <w:rPr>
          <w:rFonts w:ascii="Arial" w:cs="Arial" w:eastAsia="Arial" w:hAnsi="Arial"/>
          <w:sz w:val="24"/>
          <w:szCs w:val="24"/>
          <w:color w:val="auto"/>
        </w:rPr>
        <w:t xml:space="preserve"> + </w:t>
      </w:r>
      <w:r>
        <w:rPr>
          <w:rFonts w:ascii="Arial" w:cs="Arial" w:eastAsia="Arial" w:hAnsi="Arial"/>
          <w:sz w:val="24"/>
          <w:szCs w:val="24"/>
          <w:i w:val="1"/>
          <w:iCs w:val="1"/>
          <w:color w:val="auto"/>
        </w:rPr>
        <w:t>QFRF</w:t>
      </w:r>
      <w:r>
        <w:rPr>
          <w:rFonts w:ascii="Arial" w:cs="Arial" w:eastAsia="Arial" w:hAnsi="Arial"/>
          <w:sz w:val="24"/>
          <w:szCs w:val="24"/>
          <w:color w:val="auto"/>
        </w:rPr>
        <w:t xml:space="preserve"> + </w:t>
      </w:r>
      <w:r>
        <w:rPr>
          <w:rFonts w:ascii="Arial" w:cs="Arial" w:eastAsia="Arial" w:hAnsi="Arial"/>
          <w:sz w:val="24"/>
          <w:szCs w:val="24"/>
          <w:i w:val="1"/>
          <w:iCs w:val="1"/>
          <w:color w:val="auto"/>
        </w:rPr>
        <w:t>OCRS</w:t>
      </w:r>
    </w:p>
    <w:p>
      <w:pPr>
        <w:spacing w:after="0" w:line="200" w:lineRule="exact"/>
        <w:rPr>
          <w:sz w:val="20"/>
          <w:szCs w:val="20"/>
          <w:color w:val="auto"/>
        </w:rPr>
      </w:pPr>
    </w:p>
    <w:p>
      <w:pPr>
        <w:spacing w:after="0" w:line="280" w:lineRule="exact"/>
        <w:rPr>
          <w:sz w:val="20"/>
          <w:szCs w:val="20"/>
          <w:color w:val="auto"/>
        </w:rPr>
      </w:pPr>
    </w:p>
    <w:p>
      <w:pPr>
        <w:jc w:val="both"/>
        <w:ind w:left="260" w:firstLine="850"/>
        <w:spacing w:after="0" w:line="394" w:lineRule="auto"/>
        <w:rPr>
          <w:sz w:val="20"/>
          <w:szCs w:val="20"/>
          <w:color w:val="auto"/>
        </w:rPr>
      </w:pPr>
      <w:r>
        <w:rPr>
          <w:rFonts w:ascii="Arial" w:cs="Arial" w:eastAsia="Arial" w:hAnsi="Arial"/>
          <w:sz w:val="23"/>
          <w:szCs w:val="23"/>
          <w:color w:val="auto"/>
        </w:rPr>
        <w:t xml:space="preserve">O Agregado Monetário </w:t>
      </w:r>
      <w:r>
        <w:rPr>
          <w:rFonts w:ascii="Arial" w:cs="Arial" w:eastAsia="Arial" w:hAnsi="Arial"/>
          <w:sz w:val="23"/>
          <w:szCs w:val="23"/>
          <w:i w:val="1"/>
          <w:iCs w:val="1"/>
          <w:color w:val="auto"/>
        </w:rPr>
        <w:t>M</w:t>
      </w:r>
      <w:r>
        <w:rPr>
          <w:rFonts w:ascii="Arial" w:cs="Arial" w:eastAsia="Arial" w:hAnsi="Arial"/>
          <w:sz w:val="30"/>
          <w:szCs w:val="30"/>
          <w:color w:val="auto"/>
          <w:vertAlign w:val="subscript"/>
        </w:rPr>
        <w:t>4</w:t>
      </w:r>
      <w:r>
        <w:rPr>
          <w:rFonts w:ascii="Arial" w:cs="Arial" w:eastAsia="Arial" w:hAnsi="Arial"/>
          <w:sz w:val="23"/>
          <w:szCs w:val="23"/>
          <w:color w:val="auto"/>
        </w:rPr>
        <w:t xml:space="preserve">, que recebe o conceito de poupança financeira, contempla o Agregado Monetário </w:t>
      </w:r>
      <w:r>
        <w:rPr>
          <w:rFonts w:ascii="Arial" w:cs="Arial" w:eastAsia="Arial" w:hAnsi="Arial"/>
          <w:sz w:val="23"/>
          <w:szCs w:val="23"/>
          <w:i w:val="1"/>
          <w:iCs w:val="1"/>
          <w:color w:val="auto"/>
        </w:rPr>
        <w:t>M</w:t>
      </w:r>
      <w:r>
        <w:rPr>
          <w:rFonts w:ascii="Arial" w:cs="Arial" w:eastAsia="Arial" w:hAnsi="Arial"/>
          <w:sz w:val="30"/>
          <w:szCs w:val="30"/>
          <w:color w:val="auto"/>
          <w:vertAlign w:val="subscript"/>
        </w:rPr>
        <w:t>3</w:t>
      </w:r>
      <w:r>
        <w:rPr>
          <w:rFonts w:ascii="Arial" w:cs="Arial" w:eastAsia="Arial" w:hAnsi="Arial"/>
          <w:sz w:val="23"/>
          <w:szCs w:val="23"/>
          <w:color w:val="auto"/>
        </w:rPr>
        <w:t xml:space="preserve"> mais a carteira livre de títulos públicos federais</w:t>
      </w:r>
      <w:r>
        <w:rPr>
          <w:rFonts w:ascii="Arial" w:cs="Arial" w:eastAsia="Arial" w:hAnsi="Arial"/>
          <w:sz w:val="30"/>
          <w:szCs w:val="30"/>
          <w:color w:val="auto"/>
          <w:vertAlign w:val="superscript"/>
        </w:rPr>
        <w:t>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103505</wp:posOffset>
                </wp:positionV>
                <wp:extent cx="230251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15pt" to="194.25pt,8.15pt" o:allowincell="f" strokecolor="#000000" strokeweight="0.398pt"/>
            </w:pict>
          </mc:Fallback>
        </mc:AlternateContent>
      </w:r>
    </w:p>
    <w:p>
      <w:pPr>
        <w:spacing w:after="0" w:line="177" w:lineRule="exact"/>
        <w:rPr>
          <w:sz w:val="20"/>
          <w:szCs w:val="20"/>
          <w:color w:val="auto"/>
        </w:rPr>
      </w:pPr>
    </w:p>
    <w:p>
      <w:pPr>
        <w:jc w:val="both"/>
        <w:ind w:left="540" w:hanging="281"/>
        <w:spacing w:after="0" w:line="228" w:lineRule="auto"/>
        <w:tabs>
          <w:tab w:leader="none" w:pos="540" w:val="left"/>
        </w:tabs>
        <w:numPr>
          <w:ilvl w:val="0"/>
          <w:numId w:val="13"/>
        </w:numPr>
        <w:rPr>
          <w:rFonts w:ascii="Arial" w:cs="Arial" w:eastAsia="Arial" w:hAnsi="Arial"/>
          <w:sz w:val="28"/>
          <w:szCs w:val="28"/>
          <w:color w:val="auto"/>
          <w:vertAlign w:val="superscript"/>
        </w:rPr>
      </w:pPr>
      <w:r>
        <w:rPr>
          <w:rFonts w:ascii="Arial" w:cs="Arial" w:eastAsia="Arial" w:hAnsi="Arial"/>
          <w:sz w:val="20"/>
          <w:szCs w:val="20"/>
          <w:color w:val="auto"/>
        </w:rPr>
        <w:t>Os títulos privados são compostos por Depósitos a prazo; Letras financeiras (LF); Letras de crédito do agronegócio (LCA); Letras de crédito imobiliárias (LCI); entre outros como aceites de letras de câmbio, Letras hipotecárias, Letras imobiliárias e Certificados de operações estruturadas (BACEN, S. S. G. d. S. T., 2020a).</w:t>
      </w:r>
    </w:p>
    <w:p>
      <w:pPr>
        <w:spacing w:after="0" w:line="2" w:lineRule="exact"/>
        <w:rPr>
          <w:sz w:val="20"/>
          <w:szCs w:val="20"/>
          <w:color w:val="auto"/>
        </w:rPr>
      </w:pPr>
    </w:p>
    <w:p>
      <w:pPr>
        <w:jc w:val="both"/>
        <w:ind w:left="540" w:hanging="281"/>
        <w:spacing w:after="0" w:line="227" w:lineRule="auto"/>
        <w:tabs>
          <w:tab w:leader="none" w:pos="540" w:val="left"/>
        </w:tabs>
        <w:numPr>
          <w:ilvl w:val="0"/>
          <w:numId w:val="14"/>
        </w:numPr>
        <w:rPr>
          <w:rFonts w:ascii="Arial" w:cs="Arial" w:eastAsia="Arial" w:hAnsi="Arial"/>
          <w:sz w:val="28"/>
          <w:szCs w:val="28"/>
          <w:color w:val="auto"/>
          <w:vertAlign w:val="superscript"/>
        </w:rPr>
      </w:pPr>
      <w:r>
        <w:rPr>
          <w:rFonts w:ascii="Arial" w:cs="Arial" w:eastAsia="Arial" w:hAnsi="Arial"/>
          <w:sz w:val="20"/>
          <w:szCs w:val="20"/>
          <w:color w:val="auto"/>
        </w:rPr>
        <w:t>São considerados somente os fundos cambiais, renda fixa e multimercado. excluídos os fundos de ações, fundos de dívida externa e os fundos de investimentos em quotas de fundos de investimentos , por serem considerados agentes não depositários, que não produzem liquidez ao mercado (BACEN, S. S. G. d. S. T., 2020a)</w:t>
      </w:r>
    </w:p>
    <w:p>
      <w:pPr>
        <w:ind w:left="540" w:hanging="281"/>
        <w:spacing w:after="0" w:line="180" w:lineRule="auto"/>
        <w:tabs>
          <w:tab w:leader="none" w:pos="540" w:val="left"/>
        </w:tabs>
        <w:numPr>
          <w:ilvl w:val="0"/>
          <w:numId w:val="15"/>
        </w:numPr>
        <w:rPr>
          <w:rFonts w:ascii="Arial" w:cs="Arial" w:eastAsia="Arial" w:hAnsi="Arial"/>
          <w:sz w:val="28"/>
          <w:szCs w:val="28"/>
          <w:color w:val="auto"/>
          <w:vertAlign w:val="superscript"/>
        </w:rPr>
      </w:pPr>
      <w:r>
        <w:rPr>
          <w:rFonts w:ascii="Arial" w:cs="Arial" w:eastAsia="Arial" w:hAnsi="Arial"/>
          <w:sz w:val="20"/>
          <w:szCs w:val="20"/>
          <w:color w:val="auto"/>
        </w:rPr>
        <w:t>As que são lastreadas em títulos públicos federais</w:t>
      </w:r>
    </w:p>
    <w:p>
      <w:pPr>
        <w:spacing w:after="0" w:line="17" w:lineRule="exact"/>
        <w:rPr>
          <w:sz w:val="20"/>
          <w:szCs w:val="20"/>
          <w:color w:val="auto"/>
        </w:rPr>
      </w:pPr>
    </w:p>
    <w:p>
      <w:pPr>
        <w:jc w:val="both"/>
        <w:ind w:left="540" w:right="40" w:hanging="281"/>
        <w:spacing w:after="0" w:line="216" w:lineRule="auto"/>
        <w:tabs>
          <w:tab w:leader="none" w:pos="540" w:val="left"/>
        </w:tabs>
        <w:numPr>
          <w:ilvl w:val="0"/>
          <w:numId w:val="16"/>
        </w:numPr>
        <w:rPr>
          <w:rFonts w:ascii="Arial" w:cs="Arial" w:eastAsia="Arial" w:hAnsi="Arial"/>
          <w:sz w:val="28"/>
          <w:szCs w:val="28"/>
          <w:color w:val="auto"/>
          <w:vertAlign w:val="superscript"/>
        </w:rPr>
      </w:pPr>
      <w:r>
        <w:rPr>
          <w:rFonts w:ascii="Arial" w:cs="Arial" w:eastAsia="Arial" w:hAnsi="Arial"/>
          <w:sz w:val="20"/>
          <w:szCs w:val="20"/>
          <w:color w:val="auto"/>
        </w:rPr>
        <w:t>Consistindo somente os que estão devidamente registrados no Sistema Especial de Liquidação e Custódia (Selic), mesmo com elevada liquidez, há consenso que a classificação de quase-moeda deve ser restrita por não se configurar em uma instituição componente do Sistema Financeiro</w:t>
      </w:r>
    </w:p>
    <w:p>
      <w:pPr>
        <w:sectPr>
          <w:pgSz w:w="11900" w:h="16838" w:orient="portrait"/>
          <w:cols w:equalWidth="0" w:num="1">
            <w:col w:w="9360"/>
          </w:cols>
          <w:pgMar w:left="1440" w:top="991" w:right="1106" w:bottom="855" w:gutter="0" w:footer="0" w:header="0"/>
        </w:sectPr>
      </w:pPr>
    </w:p>
    <w:p>
      <w:pPr>
        <w:ind w:left="9060"/>
        <w:spacing w:after="0"/>
        <w:rPr>
          <w:sz w:val="20"/>
          <w:szCs w:val="20"/>
          <w:color w:val="auto"/>
        </w:rPr>
      </w:pPr>
      <w:r>
        <w:rPr>
          <w:rFonts w:ascii="Arial" w:cs="Arial" w:eastAsia="Arial" w:hAnsi="Arial"/>
          <w:sz w:val="23"/>
          <w:szCs w:val="23"/>
          <w:color w:val="auto"/>
        </w:rPr>
        <w:t>26</w:t>
      </w:r>
    </w:p>
    <w:p>
      <w:pPr>
        <w:spacing w:after="0" w:line="200" w:lineRule="exact"/>
        <w:rPr>
          <w:sz w:val="20"/>
          <w:szCs w:val="20"/>
          <w:color w:val="auto"/>
        </w:rPr>
      </w:pPr>
    </w:p>
    <w:p>
      <w:pPr>
        <w:spacing w:after="0" w:line="257" w:lineRule="exact"/>
        <w:rPr>
          <w:sz w:val="20"/>
          <w:szCs w:val="20"/>
          <w:color w:val="auto"/>
        </w:rPr>
      </w:pPr>
    </w:p>
    <w:p>
      <w:pPr>
        <w:ind w:left="260"/>
        <w:spacing w:after="0"/>
        <w:rPr>
          <w:sz w:val="20"/>
          <w:szCs w:val="20"/>
          <w:color w:val="auto"/>
        </w:rPr>
      </w:pPr>
      <w:r>
        <w:rPr>
          <w:rFonts w:ascii="Arial" w:cs="Arial" w:eastAsia="Arial" w:hAnsi="Arial"/>
          <w:sz w:val="24"/>
          <w:szCs w:val="24"/>
          <w:color w:val="auto"/>
        </w:rPr>
        <w:t>de elevada liquidez (</w:t>
      </w:r>
      <w:r>
        <w:rPr>
          <w:rFonts w:ascii="Arial" w:cs="Arial" w:eastAsia="Arial" w:hAnsi="Arial"/>
          <w:sz w:val="24"/>
          <w:szCs w:val="24"/>
          <w:i w:val="1"/>
          <w:iCs w:val="1"/>
          <w:color w:val="auto"/>
        </w:rPr>
        <w:t>T P F</w:t>
      </w:r>
      <w:r>
        <w:rPr>
          <w:rFonts w:ascii="Arial" w:cs="Arial" w:eastAsia="Arial" w:hAnsi="Arial"/>
          <w:sz w:val="24"/>
          <w:szCs w:val="24"/>
          <w:color w:val="auto"/>
        </w:rPr>
        <w:t xml:space="preserve"> ) (BACEN, 2019).</w:t>
      </w:r>
    </w:p>
    <w:p>
      <w:pPr>
        <w:spacing w:after="0" w:line="361" w:lineRule="exact"/>
        <w:rPr>
          <w:sz w:val="20"/>
          <w:szCs w:val="20"/>
          <w:color w:val="auto"/>
        </w:rPr>
      </w:pPr>
    </w:p>
    <w:p>
      <w:pPr>
        <w:jc w:val="center"/>
        <w:ind w:right="-239"/>
        <w:spacing w:after="0"/>
        <w:rPr>
          <w:sz w:val="20"/>
          <w:szCs w:val="20"/>
          <w:color w:val="auto"/>
        </w:rPr>
      </w:pPr>
      <w:r>
        <w:rPr>
          <w:rFonts w:ascii="Arial" w:cs="Arial" w:eastAsia="Arial" w:hAnsi="Arial"/>
          <w:sz w:val="24"/>
          <w:szCs w:val="24"/>
          <w:i w:val="1"/>
          <w:iCs w:val="1"/>
          <w:color w:val="auto"/>
        </w:rPr>
        <w:t>M</w:t>
      </w:r>
      <w:r>
        <w:rPr>
          <w:rFonts w:ascii="Arial" w:cs="Arial" w:eastAsia="Arial" w:hAnsi="Arial"/>
          <w:sz w:val="31"/>
          <w:szCs w:val="31"/>
          <w:color w:val="auto"/>
          <w:vertAlign w:val="subscript"/>
        </w:rPr>
        <w:t>4</w:t>
      </w:r>
      <w:r>
        <w:rPr>
          <w:rFonts w:ascii="Arial" w:cs="Arial" w:eastAsia="Arial" w:hAnsi="Arial"/>
          <w:sz w:val="24"/>
          <w:szCs w:val="24"/>
          <w:color w:val="auto"/>
        </w:rPr>
        <w:t xml:space="preserve">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3</w:t>
      </w:r>
      <w:r>
        <w:rPr>
          <w:rFonts w:ascii="Arial" w:cs="Arial" w:eastAsia="Arial" w:hAnsi="Arial"/>
          <w:sz w:val="24"/>
          <w:szCs w:val="24"/>
          <w:color w:val="auto"/>
        </w:rPr>
        <w:t>+</w:t>
      </w:r>
      <w:r>
        <w:rPr>
          <w:rFonts w:ascii="Arial" w:cs="Arial" w:eastAsia="Arial" w:hAnsi="Arial"/>
          <w:sz w:val="24"/>
          <w:szCs w:val="24"/>
          <w:i w:val="1"/>
          <w:iCs w:val="1"/>
          <w:color w:val="auto"/>
        </w:rPr>
        <w:t>TPF</w:t>
      </w:r>
    </w:p>
    <w:p>
      <w:pPr>
        <w:spacing w:after="0" w:line="200" w:lineRule="exact"/>
        <w:rPr>
          <w:sz w:val="20"/>
          <w:szCs w:val="20"/>
          <w:color w:val="auto"/>
        </w:rPr>
      </w:pPr>
    </w:p>
    <w:p>
      <w:pPr>
        <w:spacing w:after="0" w:line="280" w:lineRule="exact"/>
        <w:rPr>
          <w:sz w:val="20"/>
          <w:szCs w:val="20"/>
          <w:color w:val="auto"/>
        </w:rPr>
      </w:pPr>
    </w:p>
    <w:p>
      <w:pPr>
        <w:jc w:val="both"/>
        <w:ind w:left="260" w:firstLine="849"/>
        <w:spacing w:after="0" w:line="369" w:lineRule="auto"/>
        <w:tabs>
          <w:tab w:leader="none" w:pos="1380" w:val="left"/>
        </w:tabs>
        <w:numPr>
          <w:ilvl w:val="0"/>
          <w:numId w:val="17"/>
        </w:numPr>
        <w:rPr>
          <w:rFonts w:ascii="Arial" w:cs="Arial" w:eastAsia="Arial" w:hAnsi="Arial"/>
          <w:sz w:val="24"/>
          <w:szCs w:val="24"/>
          <w:color w:val="auto"/>
        </w:rPr>
      </w:pPr>
      <w:r>
        <w:rPr>
          <w:rFonts w:ascii="Arial" w:cs="Arial" w:eastAsia="Arial" w:hAnsi="Arial"/>
          <w:sz w:val="24"/>
          <w:szCs w:val="24"/>
          <w:color w:val="auto"/>
        </w:rPr>
        <w:t xml:space="preserve">possível chegar ao conceito de Agregado Monetário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5</w:t>
      </w:r>
      <w:r>
        <w:rPr>
          <w:rFonts w:ascii="Arial" w:cs="Arial" w:eastAsia="Arial" w:hAnsi="Arial"/>
          <w:sz w:val="24"/>
          <w:szCs w:val="24"/>
          <w:color w:val="auto"/>
        </w:rPr>
        <w:t xml:space="preserve"> que engloba o Agregado Monetário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4</w:t>
      </w:r>
      <w:r>
        <w:rPr>
          <w:rFonts w:ascii="Arial" w:cs="Arial" w:eastAsia="Arial" w:hAnsi="Arial"/>
          <w:sz w:val="24"/>
          <w:szCs w:val="24"/>
          <w:color w:val="auto"/>
        </w:rPr>
        <w:t xml:space="preserve"> incluindo a capacidade disponível de aquisição de cartões de crédito ativos (</w:t>
      </w:r>
      <w:r>
        <w:rPr>
          <w:rFonts w:ascii="Arial" w:cs="Arial" w:eastAsia="Arial" w:hAnsi="Arial"/>
          <w:sz w:val="24"/>
          <w:szCs w:val="24"/>
          <w:i w:val="1"/>
          <w:iCs w:val="1"/>
          <w:color w:val="auto"/>
        </w:rPr>
        <w:t>CACC</w:t>
      </w:r>
      <w:r>
        <w:rPr>
          <w:rFonts w:ascii="Arial" w:cs="Arial" w:eastAsia="Arial" w:hAnsi="Arial"/>
          <w:sz w:val="24"/>
          <w:szCs w:val="24"/>
          <w:color w:val="auto"/>
        </w:rPr>
        <w:t>) (CÓRDOBA, 1996).</w:t>
      </w:r>
    </w:p>
    <w:p>
      <w:pPr>
        <w:spacing w:after="0" w:line="153" w:lineRule="exact"/>
        <w:rPr>
          <w:sz w:val="20"/>
          <w:szCs w:val="20"/>
          <w:color w:val="auto"/>
        </w:rPr>
      </w:pPr>
    </w:p>
    <w:p>
      <w:pPr>
        <w:jc w:val="center"/>
        <w:ind w:right="-259"/>
        <w:spacing w:after="0"/>
        <w:rPr>
          <w:sz w:val="20"/>
          <w:szCs w:val="20"/>
          <w:color w:val="auto"/>
        </w:rPr>
      </w:pPr>
      <w:r>
        <w:rPr>
          <w:rFonts w:ascii="Arial" w:cs="Arial" w:eastAsia="Arial" w:hAnsi="Arial"/>
          <w:sz w:val="24"/>
          <w:szCs w:val="24"/>
          <w:i w:val="1"/>
          <w:iCs w:val="1"/>
          <w:color w:val="auto"/>
        </w:rPr>
        <w:t>M</w:t>
      </w:r>
      <w:r>
        <w:rPr>
          <w:rFonts w:ascii="Arial" w:cs="Arial" w:eastAsia="Arial" w:hAnsi="Arial"/>
          <w:sz w:val="31"/>
          <w:szCs w:val="31"/>
          <w:color w:val="auto"/>
          <w:vertAlign w:val="subscript"/>
        </w:rPr>
        <w:t>5</w:t>
      </w:r>
      <w:r>
        <w:rPr>
          <w:rFonts w:ascii="Arial" w:cs="Arial" w:eastAsia="Arial" w:hAnsi="Arial"/>
          <w:sz w:val="24"/>
          <w:szCs w:val="24"/>
          <w:color w:val="auto"/>
        </w:rPr>
        <w:t xml:space="preserve"> =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4</w:t>
      </w:r>
      <w:r>
        <w:rPr>
          <w:rFonts w:ascii="Arial" w:cs="Arial" w:eastAsia="Arial" w:hAnsi="Arial"/>
          <w:sz w:val="24"/>
          <w:szCs w:val="24"/>
          <w:color w:val="auto"/>
        </w:rPr>
        <w:t xml:space="preserve"> + </w:t>
      </w:r>
      <w:r>
        <w:rPr>
          <w:rFonts w:ascii="Arial" w:cs="Arial" w:eastAsia="Arial" w:hAnsi="Arial"/>
          <w:sz w:val="24"/>
          <w:szCs w:val="24"/>
          <w:i w:val="1"/>
          <w:iCs w:val="1"/>
          <w:color w:val="auto"/>
        </w:rPr>
        <w:t>CACC</w:t>
      </w:r>
    </w:p>
    <w:p>
      <w:pPr>
        <w:spacing w:after="0" w:line="200" w:lineRule="exact"/>
        <w:rPr>
          <w:sz w:val="20"/>
          <w:szCs w:val="20"/>
          <w:color w:val="auto"/>
        </w:rPr>
      </w:pPr>
    </w:p>
    <w:p>
      <w:pPr>
        <w:spacing w:after="0" w:line="280" w:lineRule="exact"/>
        <w:rPr>
          <w:sz w:val="20"/>
          <w:szCs w:val="20"/>
          <w:color w:val="auto"/>
        </w:rPr>
      </w:pPr>
    </w:p>
    <w:p>
      <w:pPr>
        <w:jc w:val="both"/>
        <w:ind w:left="260" w:firstLine="850"/>
        <w:spacing w:after="0" w:line="366" w:lineRule="auto"/>
        <w:rPr>
          <w:sz w:val="20"/>
          <w:szCs w:val="20"/>
          <w:color w:val="auto"/>
        </w:rPr>
      </w:pPr>
      <w:r>
        <w:rPr>
          <w:rFonts w:ascii="Arial" w:cs="Arial" w:eastAsia="Arial" w:hAnsi="Arial"/>
          <w:sz w:val="24"/>
          <w:szCs w:val="24"/>
          <w:color w:val="auto"/>
        </w:rPr>
        <w:t xml:space="preserve">A Figura 10 demonstra a evolução dos agregados monetários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1</w:t>
      </w:r>
      <w:r>
        <w:rPr>
          <w:rFonts w:ascii="Arial" w:cs="Arial" w:eastAsia="Arial" w:hAnsi="Arial"/>
          <w:sz w:val="24"/>
          <w:szCs w:val="24"/>
          <w:color w:val="auto"/>
        </w:rPr>
        <w:t xml:space="preserve">,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2</w:t>
      </w:r>
      <w:r>
        <w:rPr>
          <w:rFonts w:ascii="Arial" w:cs="Arial" w:eastAsia="Arial" w:hAnsi="Arial"/>
          <w:sz w:val="24"/>
          <w:szCs w:val="24"/>
          <w:color w:val="auto"/>
        </w:rPr>
        <w:t xml:space="preserve">,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3</w:t>
      </w:r>
      <w:r>
        <w:rPr>
          <w:rFonts w:ascii="Arial" w:cs="Arial" w:eastAsia="Arial" w:hAnsi="Arial"/>
          <w:sz w:val="24"/>
          <w:szCs w:val="24"/>
          <w:color w:val="auto"/>
        </w:rPr>
        <w:t xml:space="preserve"> e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4</w:t>
      </w:r>
      <w:r>
        <w:rPr>
          <w:rFonts w:ascii="Arial" w:cs="Arial" w:eastAsia="Arial" w:hAnsi="Arial"/>
          <w:sz w:val="24"/>
          <w:szCs w:val="24"/>
          <w:color w:val="auto"/>
        </w:rPr>
        <w:t xml:space="preserve"> em termos correntes, entre 2001 e 2020. É notado que os meios de pagamentos</w:t>
      </w:r>
      <w:r>
        <w:rPr>
          <w:rFonts w:ascii="Arial" w:cs="Arial" w:eastAsia="Arial" w:hAnsi="Arial"/>
          <w:sz w:val="24"/>
          <w:szCs w:val="24"/>
          <w:i w:val="1"/>
          <w:iCs w:val="1"/>
          <w:color w:val="auto"/>
        </w:rPr>
        <w:t xml:space="preserve"> </w:t>
      </w:r>
      <w:r>
        <w:rPr>
          <w:rFonts w:ascii="Arial" w:cs="Arial" w:eastAsia="Arial" w:hAnsi="Arial"/>
          <w:sz w:val="24"/>
          <w:szCs w:val="24"/>
          <w:color w:val="auto"/>
        </w:rPr>
        <w:t xml:space="preserve">restritos </w:t>
      </w:r>
      <w:r>
        <w:rPr>
          <w:rFonts w:ascii="Arial" w:cs="Arial" w:eastAsia="Arial" w:hAnsi="Arial"/>
          <w:sz w:val="24"/>
          <w:szCs w:val="24"/>
          <w:i w:val="1"/>
          <w:iCs w:val="1"/>
          <w:color w:val="auto"/>
        </w:rPr>
        <w:t>M</w:t>
      </w:r>
      <w:r>
        <w:rPr>
          <w:rFonts w:ascii="Arial" w:cs="Arial" w:eastAsia="Arial" w:hAnsi="Arial"/>
          <w:sz w:val="24"/>
          <w:szCs w:val="24"/>
          <w:color w:val="auto"/>
        </w:rPr>
        <w:t xml:space="preserve">1 sofreram expansão irrisória. Nos meios de pagamentos ampliados, no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2</w:t>
      </w:r>
      <w:r>
        <w:rPr>
          <w:rFonts w:ascii="Arial" w:cs="Arial" w:eastAsia="Arial" w:hAnsi="Arial"/>
          <w:sz w:val="24"/>
          <w:szCs w:val="24"/>
          <w:color w:val="auto"/>
        </w:rPr>
        <w:t xml:space="preserve"> é percebida uma considerável elevação, no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3</w:t>
      </w:r>
      <w:r>
        <w:rPr>
          <w:rFonts w:ascii="Arial" w:cs="Arial" w:eastAsia="Arial" w:hAnsi="Arial"/>
          <w:sz w:val="24"/>
          <w:szCs w:val="24"/>
          <w:color w:val="auto"/>
        </w:rPr>
        <w:t xml:space="preserve"> e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4</w:t>
      </w:r>
      <w:r>
        <w:rPr>
          <w:rFonts w:ascii="Arial" w:cs="Arial" w:eastAsia="Arial" w:hAnsi="Arial"/>
          <w:sz w:val="24"/>
          <w:szCs w:val="24"/>
          <w:color w:val="auto"/>
        </w:rPr>
        <w:t xml:space="preserve"> a expansão seguiu níveis</w:t>
      </w:r>
      <w:r>
        <w:rPr>
          <w:rFonts w:ascii="Arial" w:cs="Arial" w:eastAsia="Arial" w:hAnsi="Arial"/>
          <w:sz w:val="24"/>
          <w:szCs w:val="24"/>
          <w:i w:val="1"/>
          <w:iCs w:val="1"/>
          <w:color w:val="auto"/>
        </w:rPr>
        <w:t xml:space="preserve"> </w:t>
      </w:r>
      <w:r>
        <w:rPr>
          <w:rFonts w:ascii="Arial" w:cs="Arial" w:eastAsia="Arial" w:hAnsi="Arial"/>
          <w:sz w:val="24"/>
          <w:szCs w:val="24"/>
          <w:color w:val="auto"/>
        </w:rPr>
        <w:t>exponenciais até o final do período.</w:t>
      </w:r>
    </w:p>
    <w:p>
      <w:pPr>
        <w:spacing w:after="0" w:line="58" w:lineRule="exact"/>
        <w:rPr>
          <w:sz w:val="20"/>
          <w:szCs w:val="20"/>
          <w:color w:val="auto"/>
        </w:rPr>
      </w:pPr>
    </w:p>
    <w:tbl>
      <w:tblPr>
        <w:tblLayout w:type="fixed"/>
        <w:tblInd w:w="1340" w:type="dxa"/>
        <w:tblCellMar>
          <w:top w:w="0" w:type="dxa"/>
          <w:left w:w="0" w:type="dxa"/>
          <w:bottom w:w="0" w:type="dxa"/>
          <w:right w:w="0" w:type="dxa"/>
        </w:tblCellMar>
      </w:tblPr>
      <w:tr>
        <w:trPr>
          <w:trHeight w:val="269"/>
        </w:trPr>
        <w:tc>
          <w:tcPr>
            <w:tcW w:w="220" w:type="dxa"/>
            <w:vAlign w:val="bottom"/>
          </w:tcPr>
          <w:p>
            <w:pPr>
              <w:spacing w:after="0"/>
              <w:rPr>
                <w:sz w:val="23"/>
                <w:szCs w:val="23"/>
                <w:color w:val="auto"/>
              </w:rPr>
            </w:pPr>
          </w:p>
        </w:tc>
        <w:tc>
          <w:tcPr>
            <w:tcW w:w="6580" w:type="dxa"/>
            <w:vAlign w:val="bottom"/>
            <w:gridSpan w:val="5"/>
          </w:tcPr>
          <w:p>
            <w:pPr>
              <w:jc w:val="center"/>
              <w:ind w:right="30"/>
              <w:spacing w:after="0"/>
              <w:rPr>
                <w:sz w:val="20"/>
                <w:szCs w:val="20"/>
                <w:color w:val="auto"/>
              </w:rPr>
            </w:pPr>
            <w:r>
              <w:rPr>
                <w:rFonts w:ascii="Arial" w:cs="Arial" w:eastAsia="Arial" w:hAnsi="Arial"/>
                <w:sz w:val="22"/>
                <w:szCs w:val="22"/>
                <w:color w:val="auto"/>
                <w:w w:val="98"/>
              </w:rPr>
              <w:t>Figura 10 – Evolução dos Agregados monetários — 2001 à 2020</w:t>
            </w:r>
          </w:p>
        </w:tc>
        <w:tc>
          <w:tcPr>
            <w:tcW w:w="0" w:type="dxa"/>
            <w:vAlign w:val="bottom"/>
          </w:tcPr>
          <w:p>
            <w:pPr>
              <w:spacing w:after="0"/>
              <w:rPr>
                <w:sz w:val="1"/>
                <w:szCs w:val="1"/>
                <w:color w:val="auto"/>
              </w:rPr>
            </w:pPr>
          </w:p>
        </w:tc>
      </w:tr>
      <w:tr>
        <w:trPr>
          <w:trHeight w:val="878"/>
        </w:trPr>
        <w:tc>
          <w:tcPr>
            <w:tcW w:w="220" w:type="dxa"/>
            <w:vAlign w:val="bottom"/>
          </w:tcPr>
          <w:p>
            <w:pPr>
              <w:spacing w:after="0"/>
              <w:rPr>
                <w:sz w:val="24"/>
                <w:szCs w:val="24"/>
                <w:color w:val="auto"/>
              </w:rPr>
            </w:pPr>
          </w:p>
        </w:tc>
        <w:tc>
          <w:tcPr>
            <w:tcW w:w="2840" w:type="dxa"/>
            <w:vAlign w:val="bottom"/>
          </w:tcPr>
          <w:p>
            <w:pPr>
              <w:jc w:val="right"/>
              <w:ind w:right="2308"/>
              <w:spacing w:after="0"/>
              <w:rPr>
                <w:sz w:val="20"/>
                <w:szCs w:val="20"/>
                <w:color w:val="auto"/>
              </w:rPr>
            </w:pPr>
            <w:r>
              <w:rPr>
                <w:rFonts w:ascii="Helvetica" w:cs="Helvetica" w:eastAsia="Helvetica" w:hAnsi="Helvetica"/>
                <w:sz w:val="18"/>
                <w:szCs w:val="18"/>
                <w:color w:val="4D4D4D"/>
              </w:rPr>
              <w:t>8000</w:t>
            </w:r>
          </w:p>
        </w:tc>
        <w:tc>
          <w:tcPr>
            <w:tcW w:w="11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60"/>
        </w:trPr>
        <w:tc>
          <w:tcPr>
            <w:tcW w:w="220" w:type="dxa"/>
            <w:vAlign w:val="bottom"/>
            <w:vMerge w:val="restart"/>
            <w:textDirection w:val="btLr"/>
          </w:tcPr>
          <w:p>
            <w:pPr>
              <w:spacing w:after="0"/>
              <w:rPr>
                <w:sz w:val="20"/>
                <w:szCs w:val="20"/>
                <w:color w:val="auto"/>
              </w:rPr>
            </w:pPr>
            <w:r>
              <w:rPr>
                <w:rFonts w:ascii="Helvetica" w:cs="Helvetica" w:eastAsia="Helvetica" w:hAnsi="Helvetica"/>
                <w:sz w:val="22"/>
                <w:szCs w:val="22"/>
                <w:color w:val="auto"/>
                <w:w w:val="99"/>
              </w:rPr>
              <w:t>Correntes</w:t>
            </w:r>
          </w:p>
        </w:tc>
        <w:tc>
          <w:tcPr>
            <w:tcW w:w="2840" w:type="dxa"/>
            <w:vAlign w:val="bottom"/>
          </w:tcPr>
          <w:p>
            <w:pPr>
              <w:jc w:val="right"/>
              <w:ind w:right="2308"/>
              <w:spacing w:after="0"/>
              <w:rPr>
                <w:sz w:val="20"/>
                <w:szCs w:val="20"/>
                <w:color w:val="auto"/>
              </w:rPr>
            </w:pPr>
            <w:r>
              <w:rPr>
                <w:rFonts w:ascii="Helvetica" w:cs="Helvetica" w:eastAsia="Helvetica" w:hAnsi="Helvetica"/>
                <w:sz w:val="18"/>
                <w:szCs w:val="18"/>
                <w:color w:val="4D4D4D"/>
              </w:rPr>
              <w:t>6000</w:t>
            </w:r>
          </w:p>
        </w:tc>
        <w:tc>
          <w:tcPr>
            <w:tcW w:w="11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59"/>
        </w:trPr>
        <w:tc>
          <w:tcPr>
            <w:tcW w:w="220" w:type="dxa"/>
            <w:vAlign w:val="bottom"/>
            <w:vMerge w:val="continue"/>
          </w:tcPr>
          <w:p>
            <w:pPr>
              <w:spacing w:after="0"/>
              <w:rPr>
                <w:sz w:val="24"/>
                <w:szCs w:val="24"/>
                <w:color w:val="auto"/>
              </w:rPr>
            </w:pPr>
          </w:p>
        </w:tc>
        <w:tc>
          <w:tcPr>
            <w:tcW w:w="2840" w:type="dxa"/>
            <w:vAlign w:val="bottom"/>
            <w:vMerge w:val="restart"/>
          </w:tcPr>
          <w:p>
            <w:pPr>
              <w:jc w:val="right"/>
              <w:ind w:right="2308"/>
              <w:spacing w:after="0"/>
              <w:rPr>
                <w:sz w:val="20"/>
                <w:szCs w:val="20"/>
                <w:color w:val="auto"/>
              </w:rPr>
            </w:pPr>
            <w:r>
              <w:rPr>
                <w:rFonts w:ascii="Helvetica" w:cs="Helvetica" w:eastAsia="Helvetica" w:hAnsi="Helvetica"/>
                <w:sz w:val="18"/>
                <w:szCs w:val="18"/>
                <w:color w:val="4D4D4D"/>
              </w:rPr>
              <w:t>4000</w:t>
            </w:r>
          </w:p>
        </w:tc>
        <w:tc>
          <w:tcPr>
            <w:tcW w:w="11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1"/>
        </w:trPr>
        <w:tc>
          <w:tcPr>
            <w:tcW w:w="220" w:type="dxa"/>
            <w:vAlign w:val="bottom"/>
            <w:vMerge w:val="restart"/>
            <w:textDirection w:val="btLr"/>
          </w:tcPr>
          <w:p>
            <w:pPr>
              <w:spacing w:after="0"/>
              <w:rPr>
                <w:sz w:val="20"/>
                <w:szCs w:val="20"/>
                <w:color w:val="auto"/>
              </w:rPr>
            </w:pPr>
            <w:r>
              <w:rPr>
                <w:rFonts w:ascii="Helvetica" w:cs="Helvetica" w:eastAsia="Helvetica" w:hAnsi="Helvetica"/>
                <w:sz w:val="22"/>
                <w:szCs w:val="22"/>
                <w:color w:val="auto"/>
                <w:w w:val="99"/>
              </w:rPr>
              <w:t>R$</w:t>
            </w:r>
          </w:p>
        </w:tc>
        <w:tc>
          <w:tcPr>
            <w:tcW w:w="2840" w:type="dxa"/>
            <w:vAlign w:val="bottom"/>
            <w:vMerge w:val="continue"/>
          </w:tcPr>
          <w:p>
            <w:pPr>
              <w:spacing w:after="0"/>
              <w:rPr>
                <w:sz w:val="17"/>
                <w:szCs w:val="17"/>
                <w:color w:val="auto"/>
              </w:rPr>
            </w:pPr>
          </w:p>
        </w:tc>
        <w:tc>
          <w:tcPr>
            <w:tcW w:w="110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82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41"/>
        </w:trPr>
        <w:tc>
          <w:tcPr>
            <w:tcW w:w="220" w:type="dxa"/>
            <w:vAlign w:val="bottom"/>
            <w:vMerge w:val="continue"/>
          </w:tcPr>
          <w:p>
            <w:pPr>
              <w:spacing w:after="0"/>
              <w:rPr>
                <w:sz w:val="12"/>
                <w:szCs w:val="12"/>
                <w:color w:val="auto"/>
              </w:rPr>
            </w:pPr>
          </w:p>
        </w:tc>
        <w:tc>
          <w:tcPr>
            <w:tcW w:w="2840" w:type="dxa"/>
            <w:vAlign w:val="bottom"/>
          </w:tcPr>
          <w:p>
            <w:pPr>
              <w:spacing w:after="0"/>
              <w:rPr>
                <w:sz w:val="12"/>
                <w:szCs w:val="12"/>
                <w:color w:val="auto"/>
              </w:rPr>
            </w:pPr>
          </w:p>
        </w:tc>
        <w:tc>
          <w:tcPr>
            <w:tcW w:w="1100" w:type="dxa"/>
            <w:vAlign w:val="bottom"/>
          </w:tcPr>
          <w:p>
            <w:pPr>
              <w:spacing w:after="0"/>
              <w:rPr>
                <w:sz w:val="12"/>
                <w:szCs w:val="12"/>
                <w:color w:val="auto"/>
              </w:rPr>
            </w:pPr>
          </w:p>
        </w:tc>
        <w:tc>
          <w:tcPr>
            <w:tcW w:w="800" w:type="dxa"/>
            <w:vAlign w:val="bottom"/>
          </w:tcPr>
          <w:p>
            <w:pPr>
              <w:spacing w:after="0"/>
              <w:rPr>
                <w:sz w:val="12"/>
                <w:szCs w:val="12"/>
                <w:color w:val="auto"/>
              </w:rPr>
            </w:pPr>
          </w:p>
        </w:tc>
        <w:tc>
          <w:tcPr>
            <w:tcW w:w="820" w:type="dxa"/>
            <w:vAlign w:val="bottom"/>
          </w:tcPr>
          <w:p>
            <w:pPr>
              <w:spacing w:after="0"/>
              <w:rPr>
                <w:sz w:val="12"/>
                <w:szCs w:val="12"/>
                <w:color w:val="auto"/>
              </w:rPr>
            </w:pPr>
          </w:p>
        </w:tc>
        <w:tc>
          <w:tcPr>
            <w:tcW w:w="10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519"/>
        </w:trPr>
        <w:tc>
          <w:tcPr>
            <w:tcW w:w="220" w:type="dxa"/>
            <w:vAlign w:val="bottom"/>
            <w:vMerge w:val="restart"/>
            <w:textDirection w:val="btLr"/>
          </w:tcPr>
          <w:p>
            <w:pPr>
              <w:spacing w:after="0"/>
              <w:rPr>
                <w:sz w:val="20"/>
                <w:szCs w:val="20"/>
                <w:color w:val="auto"/>
              </w:rPr>
            </w:pPr>
            <w:r>
              <w:rPr>
                <w:rFonts w:ascii="Helvetica" w:cs="Helvetica" w:eastAsia="Helvetica" w:hAnsi="Helvetica"/>
                <w:sz w:val="22"/>
                <w:szCs w:val="22"/>
                <w:color w:val="auto"/>
                <w:w w:val="91"/>
              </w:rPr>
              <w:t>bilhões</w:t>
            </w:r>
          </w:p>
        </w:tc>
        <w:tc>
          <w:tcPr>
            <w:tcW w:w="2840" w:type="dxa"/>
            <w:vAlign w:val="bottom"/>
          </w:tcPr>
          <w:p>
            <w:pPr>
              <w:jc w:val="right"/>
              <w:ind w:right="2308"/>
              <w:spacing w:after="0"/>
              <w:rPr>
                <w:sz w:val="20"/>
                <w:szCs w:val="20"/>
                <w:color w:val="auto"/>
              </w:rPr>
            </w:pPr>
            <w:r>
              <w:rPr>
                <w:rFonts w:ascii="Helvetica" w:cs="Helvetica" w:eastAsia="Helvetica" w:hAnsi="Helvetica"/>
                <w:sz w:val="18"/>
                <w:szCs w:val="18"/>
                <w:color w:val="4D4D4D"/>
              </w:rPr>
              <w:t>2000</w:t>
            </w:r>
          </w:p>
        </w:tc>
        <w:tc>
          <w:tcPr>
            <w:tcW w:w="11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8"/>
        </w:trPr>
        <w:tc>
          <w:tcPr>
            <w:tcW w:w="220" w:type="dxa"/>
            <w:vAlign w:val="bottom"/>
            <w:vMerge w:val="continue"/>
          </w:tcPr>
          <w:p>
            <w:pPr>
              <w:spacing w:after="0"/>
              <w:rPr>
                <w:sz w:val="15"/>
                <w:szCs w:val="15"/>
                <w:color w:val="auto"/>
              </w:rPr>
            </w:pPr>
          </w:p>
        </w:tc>
        <w:tc>
          <w:tcPr>
            <w:tcW w:w="284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820" w:type="dxa"/>
            <w:vAlign w:val="bottom"/>
          </w:tcPr>
          <w:p>
            <w:pPr>
              <w:spacing w:after="0"/>
              <w:rPr>
                <w:sz w:val="15"/>
                <w:szCs w:val="15"/>
                <w:color w:val="auto"/>
              </w:rPr>
            </w:pPr>
          </w:p>
        </w:tc>
        <w:tc>
          <w:tcPr>
            <w:tcW w:w="10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82"/>
        </w:trPr>
        <w:tc>
          <w:tcPr>
            <w:tcW w:w="220" w:type="dxa"/>
            <w:vAlign w:val="bottom"/>
          </w:tcPr>
          <w:p>
            <w:pPr>
              <w:spacing w:after="0"/>
              <w:rPr>
                <w:sz w:val="24"/>
                <w:szCs w:val="24"/>
                <w:color w:val="auto"/>
              </w:rPr>
            </w:pPr>
          </w:p>
        </w:tc>
        <w:tc>
          <w:tcPr>
            <w:tcW w:w="2840" w:type="dxa"/>
            <w:vAlign w:val="bottom"/>
          </w:tcPr>
          <w:p>
            <w:pPr>
              <w:jc w:val="right"/>
              <w:ind w:right="2308"/>
              <w:spacing w:after="0"/>
              <w:rPr>
                <w:sz w:val="20"/>
                <w:szCs w:val="20"/>
                <w:color w:val="auto"/>
              </w:rPr>
            </w:pPr>
            <w:r>
              <w:rPr>
                <w:rFonts w:ascii="Helvetica" w:cs="Helvetica" w:eastAsia="Helvetica" w:hAnsi="Helvetica"/>
                <w:sz w:val="18"/>
                <w:szCs w:val="18"/>
                <w:color w:val="4D4D4D"/>
              </w:rPr>
              <w:t>0</w:t>
            </w:r>
          </w:p>
        </w:tc>
        <w:tc>
          <w:tcPr>
            <w:tcW w:w="11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7"/>
        </w:trPr>
        <w:tc>
          <w:tcPr>
            <w:tcW w:w="220" w:type="dxa"/>
            <w:vAlign w:val="bottom"/>
          </w:tcPr>
          <w:p>
            <w:pPr>
              <w:spacing w:after="0"/>
              <w:rPr>
                <w:sz w:val="24"/>
                <w:szCs w:val="24"/>
                <w:color w:val="auto"/>
              </w:rPr>
            </w:pPr>
          </w:p>
        </w:tc>
        <w:tc>
          <w:tcPr>
            <w:tcW w:w="2840" w:type="dxa"/>
            <w:vAlign w:val="bottom"/>
          </w:tcPr>
          <w:p>
            <w:pPr>
              <w:jc w:val="right"/>
              <w:ind w:right="628"/>
              <w:spacing w:after="0"/>
              <w:rPr>
                <w:sz w:val="20"/>
                <w:szCs w:val="20"/>
                <w:color w:val="auto"/>
              </w:rPr>
            </w:pPr>
            <w:r>
              <w:rPr>
                <w:rFonts w:ascii="Helvetica" w:cs="Helvetica" w:eastAsia="Helvetica" w:hAnsi="Helvetica"/>
                <w:sz w:val="18"/>
                <w:szCs w:val="18"/>
                <w:color w:val="4D4D4D"/>
              </w:rPr>
              <w:t>Jan 2005</w:t>
            </w:r>
          </w:p>
        </w:tc>
        <w:tc>
          <w:tcPr>
            <w:tcW w:w="1100" w:type="dxa"/>
            <w:vAlign w:val="bottom"/>
          </w:tcPr>
          <w:p>
            <w:pPr>
              <w:jc w:val="center"/>
              <w:ind w:right="230"/>
              <w:spacing w:after="0"/>
              <w:rPr>
                <w:sz w:val="20"/>
                <w:szCs w:val="20"/>
                <w:color w:val="auto"/>
              </w:rPr>
            </w:pPr>
            <w:r>
              <w:rPr>
                <w:rFonts w:ascii="Helvetica" w:cs="Helvetica" w:eastAsia="Helvetica" w:hAnsi="Helvetica"/>
                <w:sz w:val="18"/>
                <w:szCs w:val="18"/>
                <w:color w:val="4D4D4D"/>
                <w:w w:val="99"/>
              </w:rPr>
              <w:t>Jan 2010</w:t>
            </w:r>
          </w:p>
        </w:tc>
        <w:tc>
          <w:tcPr>
            <w:tcW w:w="1620" w:type="dxa"/>
            <w:vAlign w:val="bottom"/>
            <w:gridSpan w:val="2"/>
          </w:tcPr>
          <w:p>
            <w:pPr>
              <w:ind w:left="420"/>
              <w:spacing w:after="0"/>
              <w:rPr>
                <w:sz w:val="20"/>
                <w:szCs w:val="20"/>
                <w:color w:val="auto"/>
              </w:rPr>
            </w:pPr>
            <w:r>
              <w:rPr>
                <w:rFonts w:ascii="Helvetica" w:cs="Helvetica" w:eastAsia="Helvetica" w:hAnsi="Helvetica"/>
                <w:sz w:val="18"/>
                <w:szCs w:val="18"/>
                <w:color w:val="4D4D4D"/>
              </w:rPr>
              <w:t>Jan 2015</w:t>
            </w:r>
          </w:p>
        </w:tc>
        <w:tc>
          <w:tcPr>
            <w:tcW w:w="1040" w:type="dxa"/>
            <w:vAlign w:val="bottom"/>
          </w:tcPr>
          <w:p>
            <w:pPr>
              <w:ind w:left="280"/>
              <w:spacing w:after="0"/>
              <w:rPr>
                <w:sz w:val="20"/>
                <w:szCs w:val="20"/>
                <w:color w:val="auto"/>
              </w:rPr>
            </w:pPr>
            <w:r>
              <w:rPr>
                <w:rFonts w:ascii="Helvetica" w:cs="Helvetica" w:eastAsia="Helvetica" w:hAnsi="Helvetica"/>
                <w:sz w:val="18"/>
                <w:szCs w:val="18"/>
                <w:color w:val="4D4D4D"/>
                <w:w w:val="97"/>
              </w:rPr>
              <w:t>Jan 2020</w:t>
            </w:r>
          </w:p>
        </w:tc>
        <w:tc>
          <w:tcPr>
            <w:tcW w:w="0" w:type="dxa"/>
            <w:vAlign w:val="bottom"/>
          </w:tcPr>
          <w:p>
            <w:pPr>
              <w:spacing w:after="0"/>
              <w:rPr>
                <w:sz w:val="1"/>
                <w:szCs w:val="1"/>
                <w:color w:val="auto"/>
              </w:rPr>
            </w:pPr>
          </w:p>
        </w:tc>
      </w:tr>
      <w:tr>
        <w:trPr>
          <w:trHeight w:val="606"/>
        </w:trPr>
        <w:tc>
          <w:tcPr>
            <w:tcW w:w="220" w:type="dxa"/>
            <w:vAlign w:val="bottom"/>
          </w:tcPr>
          <w:p>
            <w:pPr>
              <w:spacing w:after="0"/>
              <w:rPr>
                <w:sz w:val="24"/>
                <w:szCs w:val="24"/>
                <w:color w:val="auto"/>
              </w:rPr>
            </w:pPr>
          </w:p>
        </w:tc>
        <w:tc>
          <w:tcPr>
            <w:tcW w:w="2840" w:type="dxa"/>
            <w:vAlign w:val="bottom"/>
          </w:tcPr>
          <w:p>
            <w:pPr>
              <w:jc w:val="right"/>
              <w:spacing w:after="0"/>
              <w:rPr>
                <w:sz w:val="20"/>
                <w:szCs w:val="20"/>
                <w:color w:val="auto"/>
              </w:rPr>
            </w:pPr>
            <w:r>
              <w:rPr>
                <w:rFonts w:ascii="Helvetica" w:cs="Helvetica" w:eastAsia="Helvetica" w:hAnsi="Helvetica"/>
                <w:sz w:val="18"/>
                <w:szCs w:val="18"/>
                <w:color w:val="auto"/>
              </w:rPr>
              <w:t>M1</w:t>
            </w:r>
          </w:p>
        </w:tc>
        <w:tc>
          <w:tcPr>
            <w:tcW w:w="1100" w:type="dxa"/>
            <w:vAlign w:val="bottom"/>
          </w:tcPr>
          <w:p>
            <w:pPr>
              <w:ind w:left="560"/>
              <w:spacing w:after="0"/>
              <w:rPr>
                <w:sz w:val="20"/>
                <w:szCs w:val="20"/>
                <w:color w:val="auto"/>
              </w:rPr>
            </w:pPr>
            <w:r>
              <w:rPr>
                <w:rFonts w:ascii="Helvetica" w:cs="Helvetica" w:eastAsia="Helvetica" w:hAnsi="Helvetica"/>
                <w:sz w:val="18"/>
                <w:szCs w:val="18"/>
                <w:color w:val="auto"/>
              </w:rPr>
              <w:t>M2</w:t>
            </w:r>
          </w:p>
        </w:tc>
        <w:tc>
          <w:tcPr>
            <w:tcW w:w="800" w:type="dxa"/>
            <w:vAlign w:val="bottom"/>
          </w:tcPr>
          <w:p>
            <w:pPr>
              <w:ind w:left="280"/>
              <w:spacing w:after="0"/>
              <w:rPr>
                <w:sz w:val="20"/>
                <w:szCs w:val="20"/>
                <w:color w:val="auto"/>
              </w:rPr>
            </w:pPr>
            <w:r>
              <w:rPr>
                <w:rFonts w:ascii="Helvetica" w:cs="Helvetica" w:eastAsia="Helvetica" w:hAnsi="Helvetica"/>
                <w:sz w:val="18"/>
                <w:szCs w:val="18"/>
                <w:color w:val="auto"/>
              </w:rPr>
              <w:t>M3</w:t>
            </w:r>
          </w:p>
        </w:tc>
        <w:tc>
          <w:tcPr>
            <w:tcW w:w="820" w:type="dxa"/>
            <w:vAlign w:val="bottom"/>
          </w:tcPr>
          <w:p>
            <w:pPr>
              <w:ind w:left="300"/>
              <w:spacing w:after="0"/>
              <w:rPr>
                <w:sz w:val="20"/>
                <w:szCs w:val="20"/>
                <w:color w:val="auto"/>
              </w:rPr>
            </w:pPr>
            <w:r>
              <w:rPr>
                <w:rFonts w:ascii="Helvetica" w:cs="Helvetica" w:eastAsia="Helvetica" w:hAnsi="Helvetica"/>
                <w:sz w:val="18"/>
                <w:szCs w:val="18"/>
                <w:color w:val="auto"/>
              </w:rPr>
              <w:t>M4</w:t>
            </w:r>
          </w:p>
        </w:tc>
        <w:tc>
          <w:tcPr>
            <w:tcW w:w="104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1299845</wp:posOffset>
            </wp:positionH>
            <wp:positionV relativeFrom="paragraph">
              <wp:posOffset>-2490470</wp:posOffset>
            </wp:positionV>
            <wp:extent cx="3985260" cy="197104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extLst>
                    </a:blip>
                    <a:srcRect/>
                    <a:stretch>
                      <a:fillRect/>
                    </a:stretch>
                  </pic:blipFill>
                  <pic:spPr bwMode="auto">
                    <a:xfrm>
                      <a:off x="0" y="0"/>
                      <a:ext cx="3985260" cy="197104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2366010</wp:posOffset>
                </wp:positionH>
                <wp:positionV relativeFrom="paragraph">
                  <wp:posOffset>-66040</wp:posOffset>
                </wp:positionV>
                <wp:extent cx="17589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895" cy="4763"/>
                        </a:xfrm>
                        <a:prstGeom prst="line">
                          <a:avLst/>
                        </a:prstGeom>
                        <a:solidFill>
                          <a:srgbClr val="FFFFFF"/>
                        </a:solidFill>
                        <a:ln w="13589">
                          <a:solidFill>
                            <a:srgbClr val="F8766D"/>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3pt,-5.1999pt" to="200.15pt,-5.1999pt" o:allowincell="f" strokecolor="#F8766D" strokeweight="1.07pt"/>
            </w:pict>
          </mc:Fallback>
        </mc:AlternateContent>
        <mc:AlternateContent>
          <mc:Choice Requires="wps">
            <w:drawing>
              <wp:anchor simplePos="0" relativeHeight="251657728" behindDoc="1" locked="0" layoutInCell="0" allowOverlap="1">
                <wp:simplePos x="0" y="0"/>
                <wp:positionH relativeFrom="column">
                  <wp:posOffset>2883535</wp:posOffset>
                </wp:positionH>
                <wp:positionV relativeFrom="paragraph">
                  <wp:posOffset>-66040</wp:posOffset>
                </wp:positionV>
                <wp:extent cx="17526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260" cy="4763"/>
                        </a:xfrm>
                        <a:prstGeom prst="line">
                          <a:avLst/>
                        </a:prstGeom>
                        <a:solidFill>
                          <a:srgbClr val="FFFFFF"/>
                        </a:solidFill>
                        <a:ln w="13589">
                          <a:solidFill>
                            <a:srgbClr val="7CAE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05pt,-5.1999pt" to="240.85pt,-5.1999pt" o:allowincell="f" strokecolor="#7CAE00" strokeweight="1.07pt"/>
            </w:pict>
          </mc:Fallback>
        </mc:AlternateContent>
        <mc:AlternateContent>
          <mc:Choice Requires="wps">
            <w:drawing>
              <wp:anchor simplePos="0" relativeHeight="251657728" behindDoc="1" locked="0" layoutInCell="0" allowOverlap="1">
                <wp:simplePos x="0" y="0"/>
                <wp:positionH relativeFrom="column">
                  <wp:posOffset>3401060</wp:posOffset>
                </wp:positionH>
                <wp:positionV relativeFrom="paragraph">
                  <wp:posOffset>-66040</wp:posOffset>
                </wp:positionV>
                <wp:extent cx="17526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260" cy="4763"/>
                        </a:xfrm>
                        <a:prstGeom prst="line">
                          <a:avLst/>
                        </a:prstGeom>
                        <a:solidFill>
                          <a:srgbClr val="FFFFFF"/>
                        </a:solidFill>
                        <a:ln w="13589">
                          <a:solidFill>
                            <a:srgbClr val="00BFC4"/>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7.8pt,-5.1999pt" to="281.6pt,-5.1999pt" o:allowincell="f" strokecolor="#00BFC4" strokeweight="1.07pt"/>
            </w:pict>
          </mc:Fallback>
        </mc:AlternateContent>
        <mc:AlternateContent>
          <mc:Choice Requires="wps">
            <w:drawing>
              <wp:anchor simplePos="0" relativeHeight="251657728" behindDoc="1" locked="0" layoutInCell="0" allowOverlap="1">
                <wp:simplePos x="0" y="0"/>
                <wp:positionH relativeFrom="column">
                  <wp:posOffset>3918585</wp:posOffset>
                </wp:positionH>
                <wp:positionV relativeFrom="paragraph">
                  <wp:posOffset>-66040</wp:posOffset>
                </wp:positionV>
                <wp:extent cx="17526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260" cy="4763"/>
                        </a:xfrm>
                        <a:prstGeom prst="line">
                          <a:avLst/>
                        </a:prstGeom>
                        <a:solidFill>
                          <a:srgbClr val="FFFFFF"/>
                        </a:solidFill>
                        <a:ln w="13589">
                          <a:solidFill>
                            <a:srgbClr val="C77CFF"/>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8.55pt,-5.1999pt" to="322.35pt,-5.1999pt" o:allowincell="f" strokecolor="#C77CFF" strokeweight="1.07pt"/>
            </w:pict>
          </mc:Fallback>
        </mc:AlternateContent>
      </w:r>
    </w:p>
    <w:p>
      <w:pPr>
        <w:spacing w:after="0" w:line="230" w:lineRule="exact"/>
        <w:rPr>
          <w:sz w:val="20"/>
          <w:szCs w:val="20"/>
          <w:color w:val="auto"/>
        </w:rPr>
      </w:pPr>
    </w:p>
    <w:p>
      <w:pPr>
        <w:ind w:left="104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com dados do Departamento de Estatísticas do Banco Central</w: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both"/>
        <w:ind w:left="260" w:firstLine="858"/>
        <w:spacing w:after="0" w:line="442" w:lineRule="auto"/>
        <w:rPr>
          <w:sz w:val="20"/>
          <w:szCs w:val="20"/>
          <w:color w:val="auto"/>
        </w:rPr>
      </w:pPr>
      <w:r>
        <w:rPr>
          <w:rFonts w:ascii="Arial" w:cs="Arial" w:eastAsia="Arial" w:hAnsi="Arial"/>
          <w:sz w:val="23"/>
          <w:szCs w:val="23"/>
          <w:color w:val="auto"/>
        </w:rPr>
        <w:t>A teoria quantitativa da moeda, prega que o nível de preços (</w:t>
      </w:r>
      <w:r>
        <w:rPr>
          <w:rFonts w:ascii="Arial" w:cs="Arial" w:eastAsia="Arial" w:hAnsi="Arial"/>
          <w:sz w:val="23"/>
          <w:szCs w:val="23"/>
          <w:i w:val="1"/>
          <w:iCs w:val="1"/>
          <w:color w:val="auto"/>
        </w:rPr>
        <w:t>P</w:t>
      </w:r>
      <w:r>
        <w:rPr>
          <w:rFonts w:ascii="Arial" w:cs="Arial" w:eastAsia="Arial" w:hAnsi="Arial"/>
          <w:sz w:val="23"/>
          <w:szCs w:val="23"/>
          <w:color w:val="auto"/>
        </w:rPr>
        <w:t xml:space="preserve"> ) em uma economia guarda relação com a quantidade de moeda em circulação (</w:t>
      </w:r>
      <w:r>
        <w:rPr>
          <w:rFonts w:ascii="Arial" w:cs="Arial" w:eastAsia="Arial" w:hAnsi="Arial"/>
          <w:sz w:val="23"/>
          <w:szCs w:val="23"/>
          <w:i w:val="1"/>
          <w:iCs w:val="1"/>
          <w:color w:val="auto"/>
        </w:rPr>
        <w:t>M</w:t>
      </w:r>
      <w:r>
        <w:rPr>
          <w:rFonts w:ascii="Arial" w:cs="Arial" w:eastAsia="Arial" w:hAnsi="Arial"/>
          <w:sz w:val="23"/>
          <w:szCs w:val="23"/>
          <w:color w:val="auto"/>
        </w:rPr>
        <w:t>) e a velocidade (</w:t>
      </w:r>
      <w:r>
        <w:rPr>
          <w:rFonts w:ascii="Arial" w:cs="Arial" w:eastAsia="Arial" w:hAnsi="Arial"/>
          <w:sz w:val="23"/>
          <w:szCs w:val="23"/>
          <w:i w:val="1"/>
          <w:iCs w:val="1"/>
          <w:color w:val="auto"/>
        </w:rPr>
        <w:t>V</w:t>
      </w:r>
      <w:r>
        <w:rPr>
          <w:rFonts w:ascii="Arial" w:cs="Arial" w:eastAsia="Arial" w:hAnsi="Arial"/>
          <w:sz w:val="23"/>
          <w:szCs w:val="23"/>
          <w:color w:val="auto"/>
        </w:rPr>
        <w:t xml:space="preserve"> ) de cirulação — frequência média em que uma unidade monetária é consumida em um período de tempo —, diante seu produto real (</w:t>
      </w:r>
      <w:r>
        <w:rPr>
          <w:rFonts w:ascii="Arial" w:cs="Arial" w:eastAsia="Arial" w:hAnsi="Arial"/>
          <w:sz w:val="23"/>
          <w:szCs w:val="23"/>
          <w:i w:val="1"/>
          <w:iCs w:val="1"/>
          <w:color w:val="auto"/>
        </w:rPr>
        <w:t>y</w:t>
      </w:r>
      <w:r>
        <w:rPr>
          <w:rFonts w:ascii="Arial" w:cs="Arial" w:eastAsia="Arial" w:hAnsi="Arial"/>
          <w:sz w:val="23"/>
          <w:szCs w:val="23"/>
          <w:color w:val="auto"/>
        </w:rPr>
        <w:t>), com a premissa que no curto</w:t>
      </w:r>
    </w:p>
    <w:p>
      <w:pPr>
        <w:sectPr>
          <w:pgSz w:w="11900" w:h="16838" w:orient="portrait"/>
          <w:cols w:equalWidth="0" w:num="1">
            <w:col w:w="9320"/>
          </w:cols>
          <w:pgMar w:left="1440" w:top="991" w:right="1146" w:bottom="217" w:gutter="0" w:footer="0" w:header="0"/>
        </w:sectPr>
      </w:pPr>
    </w:p>
    <w:p>
      <w:pPr>
        <w:ind w:left="9060"/>
        <w:spacing w:after="0"/>
        <w:rPr>
          <w:sz w:val="20"/>
          <w:szCs w:val="20"/>
          <w:color w:val="auto"/>
        </w:rPr>
      </w:pPr>
      <w:r>
        <w:rPr>
          <w:rFonts w:ascii="Arial" w:cs="Arial" w:eastAsia="Arial" w:hAnsi="Arial"/>
          <w:sz w:val="23"/>
          <w:szCs w:val="23"/>
          <w:color w:val="auto"/>
        </w:rPr>
        <w:t>27</w:t>
      </w:r>
    </w:p>
    <w:p>
      <w:pPr>
        <w:spacing w:after="0" w:line="200" w:lineRule="exact"/>
        <w:rPr>
          <w:sz w:val="20"/>
          <w:szCs w:val="20"/>
          <w:color w:val="auto"/>
        </w:rPr>
      </w:pPr>
    </w:p>
    <w:p>
      <w:pPr>
        <w:spacing w:after="0" w:line="227" w:lineRule="exact"/>
        <w:rPr>
          <w:sz w:val="20"/>
          <w:szCs w:val="20"/>
          <w:color w:val="auto"/>
        </w:rPr>
      </w:pPr>
    </w:p>
    <w:p>
      <w:pPr>
        <w:ind w:left="1240"/>
        <w:spacing w:after="0"/>
        <w:rPr>
          <w:sz w:val="20"/>
          <w:szCs w:val="20"/>
          <w:color w:val="auto"/>
        </w:rPr>
      </w:pPr>
      <w:r>
        <w:rPr>
          <w:rFonts w:ascii="Arial" w:cs="Arial" w:eastAsia="Arial" w:hAnsi="Arial"/>
          <w:sz w:val="22"/>
          <w:szCs w:val="22"/>
          <w:color w:val="auto"/>
        </w:rPr>
        <w:t>Tabela 4 – Tabela indicativa das Demonstrações Contábeis Padronizadas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154940</wp:posOffset>
                </wp:positionV>
                <wp:extent cx="575691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69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466.25pt,12.2pt" o:allowincell="f" strokecolor="#000000" strokeweight="0.936pt"/>
            </w:pict>
          </mc:Fallback>
        </mc:AlternateContent>
      </w:r>
    </w:p>
    <w:p>
      <w:pPr>
        <w:spacing w:after="0" w:line="278" w:lineRule="exact"/>
        <w:rPr>
          <w:sz w:val="20"/>
          <w:szCs w:val="20"/>
          <w:color w:val="auto"/>
        </w:rPr>
      </w:pPr>
    </w:p>
    <w:tbl>
      <w:tblPr>
        <w:tblLayout w:type="fixed"/>
        <w:tblInd w:w="260" w:type="dxa"/>
        <w:tblCellMar>
          <w:top w:w="0" w:type="dxa"/>
          <w:left w:w="0" w:type="dxa"/>
          <w:bottom w:w="0" w:type="dxa"/>
          <w:right w:w="0" w:type="dxa"/>
        </w:tblCellMar>
      </w:tblPr>
      <w:tr>
        <w:trPr>
          <w:trHeight w:val="246"/>
        </w:trPr>
        <w:tc>
          <w:tcPr>
            <w:tcW w:w="1760" w:type="dxa"/>
            <w:vAlign w:val="bottom"/>
          </w:tcPr>
          <w:p>
            <w:pPr>
              <w:ind w:left="120"/>
              <w:spacing w:after="0"/>
              <w:rPr>
                <w:sz w:val="20"/>
                <w:szCs w:val="20"/>
                <w:color w:val="auto"/>
              </w:rPr>
            </w:pPr>
            <w:r>
              <w:rPr>
                <w:rFonts w:ascii="Arial" w:cs="Arial" w:eastAsia="Arial" w:hAnsi="Arial"/>
                <w:sz w:val="20"/>
                <w:szCs w:val="20"/>
                <w:color w:val="auto"/>
              </w:rPr>
              <w:t>Documento</w:t>
            </w:r>
          </w:p>
        </w:tc>
        <w:tc>
          <w:tcPr>
            <w:tcW w:w="2720" w:type="dxa"/>
            <w:vAlign w:val="bottom"/>
          </w:tcPr>
          <w:p>
            <w:pPr>
              <w:ind w:left="620"/>
              <w:spacing w:after="0"/>
              <w:rPr>
                <w:sz w:val="20"/>
                <w:szCs w:val="20"/>
                <w:color w:val="auto"/>
              </w:rPr>
            </w:pPr>
            <w:r>
              <w:rPr>
                <w:rFonts w:ascii="Arial" w:cs="Arial" w:eastAsia="Arial" w:hAnsi="Arial"/>
                <w:sz w:val="20"/>
                <w:szCs w:val="20"/>
                <w:color w:val="auto"/>
              </w:rPr>
              <w:t>Tipo</w:t>
            </w:r>
          </w:p>
        </w:tc>
        <w:tc>
          <w:tcPr>
            <w:tcW w:w="2320" w:type="dxa"/>
            <w:vAlign w:val="bottom"/>
          </w:tcPr>
          <w:p>
            <w:pPr>
              <w:ind w:left="180"/>
              <w:spacing w:after="0"/>
              <w:rPr>
                <w:sz w:val="20"/>
                <w:szCs w:val="20"/>
                <w:color w:val="auto"/>
              </w:rPr>
            </w:pPr>
            <w:r>
              <w:rPr>
                <w:rFonts w:ascii="Arial" w:cs="Arial" w:eastAsia="Arial" w:hAnsi="Arial"/>
                <w:sz w:val="20"/>
                <w:szCs w:val="20"/>
                <w:color w:val="auto"/>
              </w:rPr>
              <w:t>Códigos</w:t>
            </w:r>
          </w:p>
        </w:tc>
        <w:tc>
          <w:tcPr>
            <w:tcW w:w="2280" w:type="dxa"/>
            <w:vAlign w:val="bottom"/>
          </w:tcPr>
          <w:p>
            <w:pPr>
              <w:ind w:left="120"/>
              <w:spacing w:after="0"/>
              <w:rPr>
                <w:sz w:val="20"/>
                <w:szCs w:val="20"/>
                <w:color w:val="auto"/>
              </w:rPr>
            </w:pPr>
            <w:r>
              <w:rPr>
                <w:rFonts w:ascii="Arial" w:cs="Arial" w:eastAsia="Arial" w:hAnsi="Arial"/>
                <w:sz w:val="20"/>
                <w:szCs w:val="20"/>
                <w:color w:val="auto"/>
              </w:rPr>
              <w:t>Periodicidade</w:t>
            </w:r>
          </w:p>
        </w:tc>
        <w:tc>
          <w:tcPr>
            <w:tcW w:w="0" w:type="dxa"/>
            <w:vAlign w:val="bottom"/>
          </w:tcPr>
          <w:p>
            <w:pPr>
              <w:spacing w:after="0"/>
              <w:rPr>
                <w:sz w:val="1"/>
                <w:szCs w:val="1"/>
                <w:color w:val="auto"/>
              </w:rPr>
            </w:pPr>
          </w:p>
        </w:tc>
      </w:tr>
      <w:tr>
        <w:trPr>
          <w:trHeight w:val="57"/>
        </w:trPr>
        <w:tc>
          <w:tcPr>
            <w:tcW w:w="1760" w:type="dxa"/>
            <w:vAlign w:val="bottom"/>
            <w:tcBorders>
              <w:bottom w:val="single" w:sz="8" w:color="auto"/>
            </w:tcBorders>
          </w:tcPr>
          <w:p>
            <w:pPr>
              <w:spacing w:after="0"/>
              <w:rPr>
                <w:sz w:val="4"/>
                <w:szCs w:val="4"/>
                <w:color w:val="auto"/>
              </w:rPr>
            </w:pPr>
          </w:p>
        </w:tc>
        <w:tc>
          <w:tcPr>
            <w:tcW w:w="2720" w:type="dxa"/>
            <w:vAlign w:val="bottom"/>
            <w:tcBorders>
              <w:bottom w:val="single" w:sz="8" w:color="auto"/>
            </w:tcBorders>
          </w:tcPr>
          <w:p>
            <w:pPr>
              <w:spacing w:after="0"/>
              <w:rPr>
                <w:sz w:val="4"/>
                <w:szCs w:val="4"/>
                <w:color w:val="auto"/>
              </w:rPr>
            </w:pPr>
          </w:p>
        </w:tc>
        <w:tc>
          <w:tcPr>
            <w:tcW w:w="2320" w:type="dxa"/>
            <w:vAlign w:val="bottom"/>
            <w:tcBorders>
              <w:bottom w:val="single" w:sz="8" w:color="auto"/>
            </w:tcBorders>
          </w:tcPr>
          <w:p>
            <w:pPr>
              <w:spacing w:after="0"/>
              <w:rPr>
                <w:sz w:val="4"/>
                <w:szCs w:val="4"/>
                <w:color w:val="auto"/>
              </w:rPr>
            </w:pPr>
          </w:p>
        </w:tc>
        <w:tc>
          <w:tcPr>
            <w:tcW w:w="22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75"/>
        </w:trPr>
        <w:tc>
          <w:tcPr>
            <w:tcW w:w="1760" w:type="dxa"/>
            <w:vAlign w:val="bottom"/>
          </w:tcPr>
          <w:p>
            <w:pPr>
              <w:ind w:left="120"/>
              <w:spacing w:after="0"/>
              <w:rPr>
                <w:sz w:val="20"/>
                <w:szCs w:val="20"/>
                <w:color w:val="auto"/>
              </w:rPr>
            </w:pPr>
            <w:r>
              <w:rPr>
                <w:rFonts w:ascii="Arial" w:cs="Arial" w:eastAsia="Arial" w:hAnsi="Arial"/>
                <w:sz w:val="20"/>
                <w:szCs w:val="20"/>
                <w:color w:val="auto"/>
              </w:rPr>
              <w:t>Balancete</w:t>
            </w:r>
          </w:p>
        </w:tc>
        <w:tc>
          <w:tcPr>
            <w:tcW w:w="2720" w:type="dxa"/>
            <w:vAlign w:val="bottom"/>
          </w:tcPr>
          <w:p>
            <w:pPr>
              <w:ind w:left="620"/>
              <w:spacing w:after="0"/>
              <w:rPr>
                <w:sz w:val="20"/>
                <w:szCs w:val="20"/>
                <w:color w:val="auto"/>
              </w:rPr>
            </w:pPr>
            <w:r>
              <w:rPr>
                <w:rFonts w:ascii="Arial" w:cs="Arial" w:eastAsia="Arial" w:hAnsi="Arial"/>
                <w:sz w:val="20"/>
                <w:szCs w:val="20"/>
                <w:color w:val="auto"/>
              </w:rPr>
              <w:t>Analítico</w:t>
            </w:r>
          </w:p>
        </w:tc>
        <w:tc>
          <w:tcPr>
            <w:tcW w:w="2320" w:type="dxa"/>
            <w:vAlign w:val="bottom"/>
          </w:tcPr>
          <w:p>
            <w:pPr>
              <w:ind w:left="160"/>
              <w:spacing w:after="0"/>
              <w:rPr>
                <w:sz w:val="20"/>
                <w:szCs w:val="20"/>
                <w:color w:val="auto"/>
              </w:rPr>
            </w:pPr>
            <w:r>
              <w:rPr>
                <w:rFonts w:ascii="Arial" w:cs="Arial" w:eastAsia="Arial" w:hAnsi="Arial"/>
                <w:sz w:val="20"/>
                <w:szCs w:val="20"/>
                <w:color w:val="auto"/>
              </w:rPr>
              <w:t>4010, 4020, 4413,</w:t>
            </w:r>
          </w:p>
        </w:tc>
        <w:tc>
          <w:tcPr>
            <w:tcW w:w="2280" w:type="dxa"/>
            <w:vAlign w:val="bottom"/>
          </w:tcPr>
          <w:p>
            <w:pPr>
              <w:ind w:left="120"/>
              <w:spacing w:after="0"/>
              <w:rPr>
                <w:sz w:val="20"/>
                <w:szCs w:val="20"/>
                <w:color w:val="auto"/>
              </w:rPr>
            </w:pPr>
            <w:r>
              <w:rPr>
                <w:rFonts w:ascii="Arial" w:cs="Arial" w:eastAsia="Arial" w:hAnsi="Arial"/>
                <w:sz w:val="20"/>
                <w:szCs w:val="20"/>
                <w:color w:val="auto"/>
              </w:rPr>
              <w:t>Mensal ou Trimestral</w:t>
            </w:r>
          </w:p>
        </w:tc>
        <w:tc>
          <w:tcPr>
            <w:tcW w:w="0" w:type="dxa"/>
            <w:vAlign w:val="bottom"/>
          </w:tcPr>
          <w:p>
            <w:pPr>
              <w:spacing w:after="0"/>
              <w:rPr>
                <w:sz w:val="1"/>
                <w:szCs w:val="1"/>
                <w:color w:val="auto"/>
              </w:rPr>
            </w:pPr>
          </w:p>
        </w:tc>
      </w:tr>
      <w:tr>
        <w:trPr>
          <w:trHeight w:val="190"/>
        </w:trPr>
        <w:tc>
          <w:tcPr>
            <w:tcW w:w="1760" w:type="dxa"/>
            <w:vAlign w:val="bottom"/>
            <w:vMerge w:val="restart"/>
          </w:tcPr>
          <w:p>
            <w:pPr>
              <w:ind w:left="120"/>
              <w:spacing w:after="0"/>
              <w:rPr>
                <w:sz w:val="20"/>
                <w:szCs w:val="20"/>
                <w:color w:val="auto"/>
              </w:rPr>
            </w:pPr>
            <w:r>
              <w:rPr>
                <w:rFonts w:ascii="Arial" w:cs="Arial" w:eastAsia="Arial" w:hAnsi="Arial"/>
                <w:sz w:val="20"/>
                <w:szCs w:val="20"/>
                <w:color w:val="auto"/>
              </w:rPr>
              <w:t>Balancete</w:t>
            </w:r>
          </w:p>
        </w:tc>
        <w:tc>
          <w:tcPr>
            <w:tcW w:w="2720" w:type="dxa"/>
            <w:vAlign w:val="bottom"/>
            <w:vMerge w:val="restart"/>
          </w:tcPr>
          <w:p>
            <w:pPr>
              <w:ind w:left="620"/>
              <w:spacing w:after="0"/>
              <w:rPr>
                <w:sz w:val="20"/>
                <w:szCs w:val="20"/>
                <w:color w:val="auto"/>
              </w:rPr>
            </w:pPr>
            <w:r>
              <w:rPr>
                <w:rFonts w:ascii="Arial" w:cs="Arial" w:eastAsia="Arial" w:hAnsi="Arial"/>
                <w:sz w:val="20"/>
                <w:szCs w:val="20"/>
                <w:color w:val="auto"/>
              </w:rPr>
              <w:t>Analítico Consolidado</w:t>
            </w:r>
          </w:p>
        </w:tc>
        <w:tc>
          <w:tcPr>
            <w:tcW w:w="2320" w:type="dxa"/>
            <w:vAlign w:val="bottom"/>
          </w:tcPr>
          <w:p>
            <w:pPr>
              <w:ind w:left="160"/>
              <w:spacing w:after="0" w:line="190" w:lineRule="exact"/>
              <w:rPr>
                <w:sz w:val="20"/>
                <w:szCs w:val="20"/>
                <w:color w:val="auto"/>
              </w:rPr>
            </w:pPr>
            <w:r>
              <w:rPr>
                <w:rFonts w:ascii="Arial" w:cs="Arial" w:eastAsia="Arial" w:hAnsi="Arial"/>
                <w:sz w:val="20"/>
                <w:szCs w:val="20"/>
                <w:color w:val="auto"/>
              </w:rPr>
              <w:t>4433</w:t>
            </w:r>
          </w:p>
        </w:tc>
        <w:tc>
          <w:tcPr>
            <w:tcW w:w="2280" w:type="dxa"/>
            <w:vAlign w:val="bottom"/>
            <w:vMerge w:val="restart"/>
          </w:tcPr>
          <w:p>
            <w:pPr>
              <w:ind w:left="120"/>
              <w:spacing w:after="0"/>
              <w:rPr>
                <w:sz w:val="20"/>
                <w:szCs w:val="20"/>
                <w:color w:val="auto"/>
              </w:rPr>
            </w:pPr>
            <w:r>
              <w:rPr>
                <w:rFonts w:ascii="Arial" w:cs="Arial" w:eastAsia="Arial" w:hAnsi="Arial"/>
                <w:sz w:val="20"/>
                <w:szCs w:val="20"/>
                <w:color w:val="auto"/>
              </w:rPr>
              <w:t>Mensal ou Trimestral</w:t>
            </w:r>
          </w:p>
        </w:tc>
        <w:tc>
          <w:tcPr>
            <w:tcW w:w="0" w:type="dxa"/>
            <w:vAlign w:val="bottom"/>
          </w:tcPr>
          <w:p>
            <w:pPr>
              <w:spacing w:after="0"/>
              <w:rPr>
                <w:sz w:val="1"/>
                <w:szCs w:val="1"/>
                <w:color w:val="auto"/>
              </w:rPr>
            </w:pPr>
          </w:p>
        </w:tc>
      </w:tr>
      <w:tr>
        <w:trPr>
          <w:trHeight w:val="221"/>
        </w:trPr>
        <w:tc>
          <w:tcPr>
            <w:tcW w:w="1760" w:type="dxa"/>
            <w:vAlign w:val="bottom"/>
            <w:vMerge w:val="continue"/>
          </w:tcPr>
          <w:p>
            <w:pPr>
              <w:spacing w:after="0"/>
              <w:rPr>
                <w:sz w:val="19"/>
                <w:szCs w:val="19"/>
                <w:color w:val="auto"/>
              </w:rPr>
            </w:pPr>
          </w:p>
        </w:tc>
        <w:tc>
          <w:tcPr>
            <w:tcW w:w="2720" w:type="dxa"/>
            <w:vAlign w:val="bottom"/>
            <w:vMerge w:val="continue"/>
          </w:tcPr>
          <w:p>
            <w:pPr>
              <w:spacing w:after="0"/>
              <w:rPr>
                <w:sz w:val="19"/>
                <w:szCs w:val="19"/>
                <w:color w:val="auto"/>
              </w:rPr>
            </w:pPr>
          </w:p>
        </w:tc>
        <w:tc>
          <w:tcPr>
            <w:tcW w:w="2320" w:type="dxa"/>
            <w:vAlign w:val="bottom"/>
          </w:tcPr>
          <w:p>
            <w:pPr>
              <w:ind w:left="160"/>
              <w:spacing w:after="0" w:line="221" w:lineRule="exact"/>
              <w:rPr>
                <w:sz w:val="20"/>
                <w:szCs w:val="20"/>
                <w:color w:val="auto"/>
              </w:rPr>
            </w:pPr>
            <w:r>
              <w:rPr>
                <w:rFonts w:ascii="Arial" w:cs="Arial" w:eastAsia="Arial" w:hAnsi="Arial"/>
                <w:sz w:val="20"/>
                <w:szCs w:val="20"/>
                <w:color w:val="auto"/>
              </w:rPr>
              <w:t>4040</w:t>
            </w:r>
          </w:p>
        </w:tc>
        <w:tc>
          <w:tcPr>
            <w:tcW w:w="228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39"/>
        </w:trPr>
        <w:tc>
          <w:tcPr>
            <w:tcW w:w="1760" w:type="dxa"/>
            <w:vAlign w:val="bottom"/>
          </w:tcPr>
          <w:p>
            <w:pPr>
              <w:ind w:left="120"/>
              <w:spacing w:after="0"/>
              <w:rPr>
                <w:sz w:val="20"/>
                <w:szCs w:val="20"/>
                <w:color w:val="auto"/>
              </w:rPr>
            </w:pPr>
            <w:r>
              <w:rPr>
                <w:rFonts w:ascii="Arial" w:cs="Arial" w:eastAsia="Arial" w:hAnsi="Arial"/>
                <w:sz w:val="20"/>
                <w:szCs w:val="20"/>
                <w:color w:val="auto"/>
              </w:rPr>
              <w:t>Balancete</w:t>
            </w:r>
          </w:p>
        </w:tc>
        <w:tc>
          <w:tcPr>
            <w:tcW w:w="2720" w:type="dxa"/>
            <w:vAlign w:val="bottom"/>
          </w:tcPr>
          <w:p>
            <w:pPr>
              <w:ind w:left="620"/>
              <w:spacing w:after="0"/>
              <w:rPr>
                <w:sz w:val="20"/>
                <w:szCs w:val="20"/>
                <w:color w:val="auto"/>
              </w:rPr>
            </w:pPr>
            <w:r>
              <w:rPr>
                <w:rFonts w:ascii="Arial" w:cs="Arial" w:eastAsia="Arial" w:hAnsi="Arial"/>
                <w:sz w:val="20"/>
                <w:szCs w:val="20"/>
                <w:color w:val="auto"/>
              </w:rPr>
              <w:t>Analítico -</w:t>
            </w:r>
          </w:p>
        </w:tc>
        <w:tc>
          <w:tcPr>
            <w:tcW w:w="2320" w:type="dxa"/>
            <w:vAlign w:val="bottom"/>
          </w:tcPr>
          <w:p>
            <w:pPr>
              <w:ind w:left="160"/>
              <w:spacing w:after="0"/>
              <w:rPr>
                <w:sz w:val="20"/>
                <w:szCs w:val="20"/>
                <w:color w:val="auto"/>
              </w:rPr>
            </w:pPr>
            <w:r>
              <w:rPr>
                <w:rFonts w:ascii="Arial" w:cs="Arial" w:eastAsia="Arial" w:hAnsi="Arial"/>
                <w:sz w:val="20"/>
                <w:szCs w:val="20"/>
                <w:color w:val="auto"/>
              </w:rPr>
              <w:t>4060</w:t>
            </w:r>
          </w:p>
        </w:tc>
        <w:tc>
          <w:tcPr>
            <w:tcW w:w="2280" w:type="dxa"/>
            <w:vAlign w:val="bottom"/>
          </w:tcPr>
          <w:p>
            <w:pPr>
              <w:ind w:left="120"/>
              <w:spacing w:after="0"/>
              <w:rPr>
                <w:sz w:val="20"/>
                <w:szCs w:val="20"/>
                <w:color w:val="auto"/>
              </w:rPr>
            </w:pPr>
            <w:r>
              <w:rPr>
                <w:rFonts w:ascii="Arial" w:cs="Arial" w:eastAsia="Arial" w:hAnsi="Arial"/>
                <w:sz w:val="20"/>
                <w:szCs w:val="20"/>
                <w:color w:val="auto"/>
              </w:rPr>
              <w:t>Mensal ou Trimestral</w:t>
            </w:r>
          </w:p>
        </w:tc>
        <w:tc>
          <w:tcPr>
            <w:tcW w:w="0" w:type="dxa"/>
            <w:vAlign w:val="bottom"/>
          </w:tcPr>
          <w:p>
            <w:pPr>
              <w:spacing w:after="0"/>
              <w:rPr>
                <w:sz w:val="1"/>
                <w:szCs w:val="1"/>
                <w:color w:val="auto"/>
              </w:rPr>
            </w:pPr>
          </w:p>
        </w:tc>
      </w:tr>
      <w:tr>
        <w:trPr>
          <w:trHeight w:val="239"/>
        </w:trPr>
        <w:tc>
          <w:tcPr>
            <w:tcW w:w="1760" w:type="dxa"/>
            <w:vAlign w:val="bottom"/>
          </w:tcPr>
          <w:p>
            <w:pPr>
              <w:spacing w:after="0"/>
              <w:rPr>
                <w:sz w:val="20"/>
                <w:szCs w:val="20"/>
                <w:color w:val="auto"/>
              </w:rPr>
            </w:pPr>
          </w:p>
        </w:tc>
        <w:tc>
          <w:tcPr>
            <w:tcW w:w="2720" w:type="dxa"/>
            <w:vAlign w:val="bottom"/>
          </w:tcPr>
          <w:p>
            <w:pPr>
              <w:ind w:left="620"/>
              <w:spacing w:after="0"/>
              <w:rPr>
                <w:sz w:val="20"/>
                <w:szCs w:val="20"/>
                <w:color w:val="auto"/>
              </w:rPr>
            </w:pPr>
            <w:r>
              <w:rPr>
                <w:rFonts w:ascii="Arial" w:cs="Arial" w:eastAsia="Arial" w:hAnsi="Arial"/>
                <w:sz w:val="20"/>
                <w:szCs w:val="20"/>
                <w:color w:val="auto"/>
              </w:rPr>
              <w:t>Conglomerado</w:t>
            </w:r>
          </w:p>
        </w:tc>
        <w:tc>
          <w:tcPr>
            <w:tcW w:w="2320" w:type="dxa"/>
            <w:vAlign w:val="bottom"/>
          </w:tcPr>
          <w:p>
            <w:pPr>
              <w:spacing w:after="0"/>
              <w:rPr>
                <w:sz w:val="20"/>
                <w:szCs w:val="20"/>
                <w:color w:val="auto"/>
              </w:rPr>
            </w:pPr>
          </w:p>
        </w:tc>
        <w:tc>
          <w:tcPr>
            <w:tcW w:w="22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90"/>
        </w:trPr>
        <w:tc>
          <w:tcPr>
            <w:tcW w:w="1760" w:type="dxa"/>
            <w:vAlign w:val="bottom"/>
            <w:vMerge w:val="restart"/>
          </w:tcPr>
          <w:p>
            <w:pPr>
              <w:ind w:left="120"/>
              <w:spacing w:after="0"/>
              <w:rPr>
                <w:sz w:val="20"/>
                <w:szCs w:val="20"/>
                <w:color w:val="auto"/>
              </w:rPr>
            </w:pPr>
            <w:r>
              <w:rPr>
                <w:rFonts w:ascii="Arial" w:cs="Arial" w:eastAsia="Arial" w:hAnsi="Arial"/>
                <w:sz w:val="20"/>
                <w:szCs w:val="20"/>
                <w:color w:val="auto"/>
              </w:rPr>
              <w:t>Balanço</w:t>
            </w:r>
          </w:p>
        </w:tc>
        <w:tc>
          <w:tcPr>
            <w:tcW w:w="2720" w:type="dxa"/>
            <w:vAlign w:val="bottom"/>
          </w:tcPr>
          <w:p>
            <w:pPr>
              <w:ind w:left="620"/>
              <w:spacing w:after="0" w:line="190" w:lineRule="exact"/>
              <w:rPr>
                <w:sz w:val="20"/>
                <w:szCs w:val="20"/>
                <w:color w:val="auto"/>
              </w:rPr>
            </w:pPr>
            <w:r>
              <w:rPr>
                <w:rFonts w:ascii="Arial" w:cs="Arial" w:eastAsia="Arial" w:hAnsi="Arial"/>
                <w:sz w:val="20"/>
                <w:szCs w:val="20"/>
                <w:color w:val="auto"/>
              </w:rPr>
              <w:t>Prudencial</w:t>
            </w:r>
          </w:p>
        </w:tc>
        <w:tc>
          <w:tcPr>
            <w:tcW w:w="2320" w:type="dxa"/>
            <w:vAlign w:val="bottom"/>
            <w:vMerge w:val="restart"/>
          </w:tcPr>
          <w:p>
            <w:pPr>
              <w:ind w:left="160"/>
              <w:spacing w:after="0"/>
              <w:rPr>
                <w:sz w:val="20"/>
                <w:szCs w:val="20"/>
                <w:color w:val="auto"/>
              </w:rPr>
            </w:pPr>
            <w:r>
              <w:rPr>
                <w:rFonts w:ascii="Arial" w:cs="Arial" w:eastAsia="Arial" w:hAnsi="Arial"/>
                <w:sz w:val="20"/>
                <w:szCs w:val="20"/>
                <w:color w:val="auto"/>
              </w:rPr>
              <w:t>4016, 4026</w:t>
            </w:r>
          </w:p>
        </w:tc>
        <w:tc>
          <w:tcPr>
            <w:tcW w:w="2280" w:type="dxa"/>
            <w:vAlign w:val="bottom"/>
            <w:vMerge w:val="restart"/>
          </w:tcPr>
          <w:p>
            <w:pPr>
              <w:ind w:left="120"/>
              <w:spacing w:after="0"/>
              <w:rPr>
                <w:sz w:val="20"/>
                <w:szCs w:val="20"/>
                <w:color w:val="auto"/>
              </w:rPr>
            </w:pPr>
            <w:r>
              <w:rPr>
                <w:rFonts w:ascii="Arial" w:cs="Arial" w:eastAsia="Arial" w:hAnsi="Arial"/>
                <w:sz w:val="20"/>
                <w:szCs w:val="20"/>
                <w:color w:val="auto"/>
              </w:rPr>
              <w:t>Semestral</w:t>
            </w:r>
          </w:p>
        </w:tc>
        <w:tc>
          <w:tcPr>
            <w:tcW w:w="0" w:type="dxa"/>
            <w:vAlign w:val="bottom"/>
          </w:tcPr>
          <w:p>
            <w:pPr>
              <w:spacing w:after="0"/>
              <w:rPr>
                <w:sz w:val="1"/>
                <w:szCs w:val="1"/>
                <w:color w:val="auto"/>
              </w:rPr>
            </w:pPr>
          </w:p>
        </w:tc>
      </w:tr>
      <w:tr>
        <w:trPr>
          <w:trHeight w:val="219"/>
        </w:trPr>
        <w:tc>
          <w:tcPr>
            <w:tcW w:w="1760" w:type="dxa"/>
            <w:vAlign w:val="bottom"/>
            <w:vMerge w:val="continue"/>
          </w:tcPr>
          <w:p>
            <w:pPr>
              <w:spacing w:after="0"/>
              <w:rPr>
                <w:sz w:val="19"/>
                <w:szCs w:val="19"/>
                <w:color w:val="auto"/>
              </w:rPr>
            </w:pPr>
          </w:p>
        </w:tc>
        <w:tc>
          <w:tcPr>
            <w:tcW w:w="2720" w:type="dxa"/>
            <w:vAlign w:val="bottom"/>
          </w:tcPr>
          <w:p>
            <w:pPr>
              <w:ind w:left="620"/>
              <w:spacing w:after="0" w:line="219" w:lineRule="exact"/>
              <w:rPr>
                <w:sz w:val="20"/>
                <w:szCs w:val="20"/>
                <w:color w:val="auto"/>
              </w:rPr>
            </w:pPr>
            <w:r>
              <w:rPr>
                <w:rFonts w:ascii="Arial" w:cs="Arial" w:eastAsia="Arial" w:hAnsi="Arial"/>
                <w:sz w:val="20"/>
                <w:szCs w:val="20"/>
                <w:color w:val="auto"/>
              </w:rPr>
              <w:t>Analítico</w:t>
            </w:r>
          </w:p>
        </w:tc>
        <w:tc>
          <w:tcPr>
            <w:tcW w:w="2320" w:type="dxa"/>
            <w:vAlign w:val="bottom"/>
            <w:vMerge w:val="continue"/>
          </w:tcPr>
          <w:p>
            <w:pPr>
              <w:spacing w:after="0"/>
              <w:rPr>
                <w:sz w:val="19"/>
                <w:szCs w:val="19"/>
                <w:color w:val="auto"/>
              </w:rPr>
            </w:pPr>
          </w:p>
        </w:tc>
        <w:tc>
          <w:tcPr>
            <w:tcW w:w="228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46"/>
        </w:trPr>
        <w:tc>
          <w:tcPr>
            <w:tcW w:w="1760" w:type="dxa"/>
            <w:vAlign w:val="bottom"/>
          </w:tcPr>
          <w:p>
            <w:pPr>
              <w:ind w:left="120"/>
              <w:spacing w:after="0"/>
              <w:rPr>
                <w:sz w:val="20"/>
                <w:szCs w:val="20"/>
                <w:color w:val="auto"/>
              </w:rPr>
            </w:pPr>
            <w:r>
              <w:rPr>
                <w:rFonts w:ascii="Arial" w:cs="Arial" w:eastAsia="Arial" w:hAnsi="Arial"/>
                <w:sz w:val="20"/>
                <w:szCs w:val="20"/>
                <w:color w:val="auto"/>
              </w:rPr>
              <w:t>Balanço</w:t>
            </w:r>
          </w:p>
        </w:tc>
        <w:tc>
          <w:tcPr>
            <w:tcW w:w="2720" w:type="dxa"/>
            <w:vAlign w:val="bottom"/>
          </w:tcPr>
          <w:p>
            <w:pPr>
              <w:ind w:left="620"/>
              <w:spacing w:after="0"/>
              <w:rPr>
                <w:sz w:val="20"/>
                <w:szCs w:val="20"/>
                <w:color w:val="auto"/>
              </w:rPr>
            </w:pPr>
            <w:r>
              <w:rPr>
                <w:rFonts w:ascii="Arial" w:cs="Arial" w:eastAsia="Arial" w:hAnsi="Arial"/>
                <w:sz w:val="20"/>
                <w:szCs w:val="20"/>
                <w:color w:val="auto"/>
              </w:rPr>
              <w:t>Analítico Consolidado</w:t>
            </w:r>
          </w:p>
        </w:tc>
        <w:tc>
          <w:tcPr>
            <w:tcW w:w="2320" w:type="dxa"/>
            <w:vAlign w:val="bottom"/>
          </w:tcPr>
          <w:p>
            <w:pPr>
              <w:ind w:left="160"/>
              <w:spacing w:after="0"/>
              <w:rPr>
                <w:sz w:val="20"/>
                <w:szCs w:val="20"/>
                <w:color w:val="auto"/>
              </w:rPr>
            </w:pPr>
            <w:r>
              <w:rPr>
                <w:rFonts w:ascii="Arial" w:cs="Arial" w:eastAsia="Arial" w:hAnsi="Arial"/>
                <w:sz w:val="20"/>
                <w:szCs w:val="20"/>
                <w:color w:val="auto"/>
              </w:rPr>
              <w:t>4046</w:t>
            </w:r>
          </w:p>
        </w:tc>
        <w:tc>
          <w:tcPr>
            <w:tcW w:w="2280" w:type="dxa"/>
            <w:vAlign w:val="bottom"/>
          </w:tcPr>
          <w:p>
            <w:pPr>
              <w:ind w:left="120"/>
              <w:spacing w:after="0"/>
              <w:rPr>
                <w:sz w:val="20"/>
                <w:szCs w:val="20"/>
                <w:color w:val="auto"/>
              </w:rPr>
            </w:pPr>
            <w:r>
              <w:rPr>
                <w:rFonts w:ascii="Arial" w:cs="Arial" w:eastAsia="Arial" w:hAnsi="Arial"/>
                <w:sz w:val="20"/>
                <w:szCs w:val="20"/>
                <w:color w:val="auto"/>
              </w:rPr>
              <w:t>Semestral</w:t>
            </w:r>
          </w:p>
        </w:tc>
        <w:tc>
          <w:tcPr>
            <w:tcW w:w="0" w:type="dxa"/>
            <w:vAlign w:val="bottom"/>
          </w:tcPr>
          <w:p>
            <w:pPr>
              <w:spacing w:after="0"/>
              <w:rPr>
                <w:sz w:val="1"/>
                <w:szCs w:val="1"/>
                <w:color w:val="auto"/>
              </w:rPr>
            </w:pPr>
          </w:p>
        </w:tc>
      </w:tr>
      <w:tr>
        <w:trPr>
          <w:trHeight w:val="349"/>
        </w:trPr>
        <w:tc>
          <w:tcPr>
            <w:tcW w:w="1760" w:type="dxa"/>
            <w:vAlign w:val="bottom"/>
          </w:tcPr>
          <w:p>
            <w:pPr>
              <w:ind w:left="120"/>
              <w:spacing w:after="0"/>
              <w:rPr>
                <w:sz w:val="20"/>
                <w:szCs w:val="20"/>
                <w:color w:val="auto"/>
              </w:rPr>
            </w:pPr>
            <w:r>
              <w:rPr>
                <w:rFonts w:ascii="Arial" w:cs="Arial" w:eastAsia="Arial" w:hAnsi="Arial"/>
                <w:sz w:val="20"/>
                <w:szCs w:val="20"/>
                <w:color w:val="auto"/>
              </w:rPr>
              <w:t>Balanço</w:t>
            </w:r>
          </w:p>
        </w:tc>
        <w:tc>
          <w:tcPr>
            <w:tcW w:w="2720" w:type="dxa"/>
            <w:vAlign w:val="bottom"/>
          </w:tcPr>
          <w:p>
            <w:pPr>
              <w:ind w:left="620"/>
              <w:spacing w:after="0"/>
              <w:rPr>
                <w:sz w:val="20"/>
                <w:szCs w:val="20"/>
                <w:color w:val="auto"/>
              </w:rPr>
            </w:pPr>
            <w:r>
              <w:rPr>
                <w:rFonts w:ascii="Arial" w:cs="Arial" w:eastAsia="Arial" w:hAnsi="Arial"/>
                <w:sz w:val="20"/>
                <w:szCs w:val="20"/>
                <w:color w:val="auto"/>
              </w:rPr>
              <w:t>Analítico -</w:t>
            </w:r>
          </w:p>
        </w:tc>
        <w:tc>
          <w:tcPr>
            <w:tcW w:w="2320" w:type="dxa"/>
            <w:vAlign w:val="bottom"/>
          </w:tcPr>
          <w:p>
            <w:pPr>
              <w:ind w:left="160"/>
              <w:spacing w:after="0"/>
              <w:rPr>
                <w:sz w:val="20"/>
                <w:szCs w:val="20"/>
                <w:color w:val="auto"/>
              </w:rPr>
            </w:pPr>
            <w:r>
              <w:rPr>
                <w:rFonts w:ascii="Arial" w:cs="Arial" w:eastAsia="Arial" w:hAnsi="Arial"/>
                <w:sz w:val="20"/>
                <w:szCs w:val="20"/>
                <w:color w:val="auto"/>
              </w:rPr>
              <w:t>4066</w:t>
            </w:r>
          </w:p>
        </w:tc>
        <w:tc>
          <w:tcPr>
            <w:tcW w:w="2280" w:type="dxa"/>
            <w:vAlign w:val="bottom"/>
          </w:tcPr>
          <w:p>
            <w:pPr>
              <w:ind w:left="120"/>
              <w:spacing w:after="0"/>
              <w:rPr>
                <w:sz w:val="20"/>
                <w:szCs w:val="20"/>
                <w:color w:val="auto"/>
              </w:rPr>
            </w:pPr>
            <w:r>
              <w:rPr>
                <w:rFonts w:ascii="Arial" w:cs="Arial" w:eastAsia="Arial" w:hAnsi="Arial"/>
                <w:sz w:val="20"/>
                <w:szCs w:val="20"/>
                <w:color w:val="auto"/>
              </w:rPr>
              <w:t>Semestral</w:t>
            </w:r>
          </w:p>
        </w:tc>
        <w:tc>
          <w:tcPr>
            <w:tcW w:w="0" w:type="dxa"/>
            <w:vAlign w:val="bottom"/>
          </w:tcPr>
          <w:p>
            <w:pPr>
              <w:spacing w:after="0"/>
              <w:rPr>
                <w:sz w:val="1"/>
                <w:szCs w:val="1"/>
                <w:color w:val="auto"/>
              </w:rPr>
            </w:pPr>
          </w:p>
        </w:tc>
      </w:tr>
      <w:tr>
        <w:trPr>
          <w:trHeight w:val="239"/>
        </w:trPr>
        <w:tc>
          <w:tcPr>
            <w:tcW w:w="1760" w:type="dxa"/>
            <w:vAlign w:val="bottom"/>
          </w:tcPr>
          <w:p>
            <w:pPr>
              <w:spacing w:after="0"/>
              <w:rPr>
                <w:sz w:val="20"/>
                <w:szCs w:val="20"/>
                <w:color w:val="auto"/>
              </w:rPr>
            </w:pPr>
          </w:p>
        </w:tc>
        <w:tc>
          <w:tcPr>
            <w:tcW w:w="2720" w:type="dxa"/>
            <w:vAlign w:val="bottom"/>
          </w:tcPr>
          <w:p>
            <w:pPr>
              <w:ind w:left="620"/>
              <w:spacing w:after="0"/>
              <w:rPr>
                <w:sz w:val="20"/>
                <w:szCs w:val="20"/>
                <w:color w:val="auto"/>
              </w:rPr>
            </w:pPr>
            <w:r>
              <w:rPr>
                <w:rFonts w:ascii="Arial" w:cs="Arial" w:eastAsia="Arial" w:hAnsi="Arial"/>
                <w:sz w:val="20"/>
                <w:szCs w:val="20"/>
                <w:color w:val="auto"/>
              </w:rPr>
              <w:t>Conglomerado</w:t>
            </w:r>
          </w:p>
        </w:tc>
        <w:tc>
          <w:tcPr>
            <w:tcW w:w="2320" w:type="dxa"/>
            <w:vAlign w:val="bottom"/>
          </w:tcPr>
          <w:p>
            <w:pPr>
              <w:spacing w:after="0"/>
              <w:rPr>
                <w:sz w:val="20"/>
                <w:szCs w:val="20"/>
                <w:color w:val="auto"/>
              </w:rPr>
            </w:pPr>
          </w:p>
        </w:tc>
        <w:tc>
          <w:tcPr>
            <w:tcW w:w="22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3"/>
        </w:trPr>
        <w:tc>
          <w:tcPr>
            <w:tcW w:w="1760" w:type="dxa"/>
            <w:vAlign w:val="bottom"/>
            <w:tcBorders>
              <w:bottom w:val="single" w:sz="8" w:color="auto"/>
            </w:tcBorders>
          </w:tcPr>
          <w:p>
            <w:pPr>
              <w:spacing w:after="0"/>
              <w:rPr>
                <w:sz w:val="20"/>
                <w:szCs w:val="20"/>
                <w:color w:val="auto"/>
              </w:rPr>
            </w:pPr>
          </w:p>
        </w:tc>
        <w:tc>
          <w:tcPr>
            <w:tcW w:w="2720" w:type="dxa"/>
            <w:vAlign w:val="bottom"/>
            <w:tcBorders>
              <w:bottom w:val="single" w:sz="8" w:color="auto"/>
            </w:tcBorders>
          </w:tcPr>
          <w:p>
            <w:pPr>
              <w:ind w:left="620"/>
              <w:spacing w:after="0"/>
              <w:rPr>
                <w:sz w:val="20"/>
                <w:szCs w:val="20"/>
                <w:color w:val="auto"/>
              </w:rPr>
            </w:pPr>
            <w:r>
              <w:rPr>
                <w:rFonts w:ascii="Arial" w:cs="Arial" w:eastAsia="Arial" w:hAnsi="Arial"/>
                <w:sz w:val="20"/>
                <w:szCs w:val="20"/>
                <w:color w:val="auto"/>
              </w:rPr>
              <w:t>Prudencial</w:t>
            </w:r>
          </w:p>
        </w:tc>
        <w:tc>
          <w:tcPr>
            <w:tcW w:w="2320" w:type="dxa"/>
            <w:vAlign w:val="bottom"/>
            <w:tcBorders>
              <w:bottom w:val="single" w:sz="8" w:color="auto"/>
            </w:tcBorders>
          </w:tcPr>
          <w:p>
            <w:pPr>
              <w:spacing w:after="0"/>
              <w:rPr>
                <w:sz w:val="20"/>
                <w:szCs w:val="20"/>
                <w:color w:val="auto"/>
              </w:rPr>
            </w:pPr>
          </w:p>
        </w:tc>
        <w:tc>
          <w:tcPr>
            <w:tcW w:w="2280" w:type="dxa"/>
            <w:vAlign w:val="bottom"/>
            <w:tcBorders>
              <w:bottom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320"/>
        </w:trPr>
        <w:tc>
          <w:tcPr>
            <w:tcW w:w="1760" w:type="dxa"/>
            <w:vAlign w:val="bottom"/>
          </w:tcPr>
          <w:p>
            <w:pPr>
              <w:spacing w:after="0"/>
              <w:rPr>
                <w:sz w:val="24"/>
                <w:szCs w:val="24"/>
                <w:color w:val="auto"/>
              </w:rPr>
            </w:pPr>
          </w:p>
        </w:tc>
        <w:tc>
          <w:tcPr>
            <w:tcW w:w="5040" w:type="dxa"/>
            <w:vAlign w:val="bottom"/>
            <w:gridSpan w:val="2"/>
          </w:tcPr>
          <w:p>
            <w:pPr>
              <w:ind w:left="64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das fontes citadas</w:t>
            </w:r>
          </w:p>
        </w:tc>
        <w:tc>
          <w:tcPr>
            <w:tcW w:w="22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Arial" w:cs="Arial" w:eastAsia="Arial" w:hAnsi="Arial"/>
          <w:sz w:val="24"/>
          <w:szCs w:val="24"/>
          <w:color w:val="auto"/>
        </w:rPr>
        <w:t>prazo o produto e a velocidade a moeda são constantes (VASCONCELLOS, 2001).</w:t>
      </w:r>
    </w:p>
    <w:p>
      <w:pPr>
        <w:spacing w:after="0" w:line="125" w:lineRule="exact"/>
        <w:rPr>
          <w:sz w:val="20"/>
          <w:szCs w:val="20"/>
          <w:color w:val="auto"/>
        </w:rPr>
      </w:pPr>
    </w:p>
    <w:p>
      <w:pPr>
        <w:ind w:left="2800"/>
        <w:spacing w:after="0"/>
        <w:rPr>
          <w:sz w:val="20"/>
          <w:szCs w:val="20"/>
          <w:color w:val="auto"/>
        </w:rPr>
      </w:pPr>
      <w:r>
        <w:rPr>
          <w:rFonts w:ascii="Arial" w:cs="Arial" w:eastAsia="Arial" w:hAnsi="Arial"/>
          <w:sz w:val="24"/>
          <w:szCs w:val="24"/>
          <w:i w:val="1"/>
          <w:iCs w:val="1"/>
          <w:color w:val="auto"/>
        </w:rPr>
        <w:t>M V</w:t>
      </w:r>
      <w:r>
        <w:rPr>
          <w:rFonts w:ascii="Arial" w:cs="Arial" w:eastAsia="Arial" w:hAnsi="Arial"/>
          <w:sz w:val="24"/>
          <w:szCs w:val="24"/>
          <w:color w:val="auto"/>
        </w:rPr>
        <w:t xml:space="preserve"> = </w:t>
      </w:r>
      <w:r>
        <w:rPr>
          <w:rFonts w:ascii="Arial" w:cs="Arial" w:eastAsia="Arial" w:hAnsi="Arial"/>
          <w:sz w:val="24"/>
          <w:szCs w:val="24"/>
          <w:i w:val="1"/>
          <w:iCs w:val="1"/>
          <w:color w:val="auto"/>
        </w:rPr>
        <w:t>P y</w:t>
      </w:r>
      <w:r>
        <w:rPr>
          <w:rFonts w:ascii="Arial" w:cs="Arial" w:eastAsia="Arial" w:hAnsi="Arial"/>
          <w:sz w:val="24"/>
          <w:szCs w:val="24"/>
          <w:color w:val="auto"/>
        </w:rPr>
        <w:t xml:space="preserve"> =</w:t>
      </w:r>
      <w:r>
        <w:rPr>
          <w:rFonts w:ascii="Arial" w:cs="Arial" w:eastAsia="Arial" w:hAnsi="Arial"/>
          <w:sz w:val="24"/>
          <w:szCs w:val="24"/>
          <w:i w:val="1"/>
          <w:iCs w:val="1"/>
          <w:color w:val="auto"/>
        </w:rPr>
        <w:t>&gt; P</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M V</w:t>
      </w:r>
      <w:r>
        <w:rPr>
          <w:rFonts w:ascii="Arial" w:cs="Arial" w:eastAsia="Arial" w:hAnsi="Arial"/>
          <w:sz w:val="24"/>
          <w:szCs w:val="24"/>
          <w:color w:val="auto"/>
        </w:rPr>
        <w:t xml:space="preserve"> =</w:t>
      </w:r>
      <w:r>
        <w:rPr>
          <w:rFonts w:ascii="Arial" w:cs="Arial" w:eastAsia="Arial" w:hAnsi="Arial"/>
          <w:sz w:val="24"/>
          <w:szCs w:val="24"/>
          <w:i w:val="1"/>
          <w:iCs w:val="1"/>
          <w:color w:val="auto"/>
        </w:rPr>
        <w:t>&gt; V</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P 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3104515</wp:posOffset>
                </wp:positionH>
                <wp:positionV relativeFrom="paragraph">
                  <wp:posOffset>-36195</wp:posOffset>
                </wp:positionV>
                <wp:extent cx="27940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4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45pt,-2.8499pt" to="266.45pt,-2.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4050030</wp:posOffset>
                </wp:positionH>
                <wp:positionV relativeFrom="paragraph">
                  <wp:posOffset>-36195</wp:posOffset>
                </wp:positionV>
                <wp:extent cx="19431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43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9pt,-2.8499pt" to="334.2pt,-2.8499pt" o:allowincell="f" strokecolor="#000000" strokeweight="0.398pt"/>
            </w:pict>
          </mc:Fallback>
        </mc:AlternateContent>
      </w:r>
    </w:p>
    <w:p>
      <w:pPr>
        <w:ind w:left="5040"/>
        <w:spacing w:after="0" w:line="194" w:lineRule="auto"/>
        <w:tabs>
          <w:tab w:leader="none" w:pos="6380" w:val="left"/>
        </w:tabs>
        <w:rPr>
          <w:sz w:val="20"/>
          <w:szCs w:val="20"/>
          <w:color w:val="auto"/>
        </w:rPr>
      </w:pPr>
      <w:r>
        <w:rPr>
          <w:rFonts w:ascii="Arial" w:cs="Arial" w:eastAsia="Arial" w:hAnsi="Arial"/>
          <w:sz w:val="24"/>
          <w:szCs w:val="24"/>
          <w:i w:val="1"/>
          <w:iCs w:val="1"/>
          <w:color w:val="auto"/>
        </w:rPr>
        <w:t>y</w:t>
      </w:r>
      <w:r>
        <w:rPr>
          <w:sz w:val="20"/>
          <w:szCs w:val="20"/>
          <w:color w:val="auto"/>
        </w:rPr>
        <w:tab/>
      </w:r>
      <w:r>
        <w:rPr>
          <w:rFonts w:ascii="Arial" w:cs="Arial" w:eastAsia="Arial" w:hAnsi="Arial"/>
          <w:sz w:val="24"/>
          <w:szCs w:val="24"/>
          <w:i w:val="1"/>
          <w:iCs w:val="1"/>
          <w:color w:val="auto"/>
        </w:rPr>
        <w:t>M</w:t>
      </w:r>
    </w:p>
    <w:p>
      <w:pPr>
        <w:spacing w:after="0" w:line="389"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spacing w:after="0" w:line="101" w:lineRule="exact"/>
        <w:rPr>
          <w:sz w:val="20"/>
          <w:szCs w:val="20"/>
          <w:color w:val="auto"/>
        </w:rPr>
      </w:pPr>
    </w:p>
    <w:p>
      <w:pPr>
        <w:jc w:val="both"/>
        <w:ind w:left="260" w:firstLine="850"/>
        <w:spacing w:after="0" w:line="403" w:lineRule="auto"/>
        <w:rPr>
          <w:sz w:val="20"/>
          <w:szCs w:val="20"/>
          <w:color w:val="auto"/>
        </w:rPr>
      </w:pPr>
      <w:r>
        <w:rPr>
          <w:rFonts w:ascii="Arial" w:cs="Arial" w:eastAsia="Arial" w:hAnsi="Arial"/>
          <w:sz w:val="24"/>
          <w:szCs w:val="24"/>
          <w:color w:val="auto"/>
        </w:rPr>
        <w:t>Os dados e estatísticas do Sistema Financeiro Nacional são compilados e divulgados pelo Banco Central com a legislação vigente, essencialmente seguindo a Lei nº 4.595, de 31 de dezembro de 1964 e Resoluções do Conselho Monetário Nacional, garantindo o sigilo de dados relativos às instituições financeiras, empresas e indivíduos</w:t>
      </w:r>
      <w:r>
        <w:rPr>
          <w:rFonts w:ascii="Arial" w:cs="Arial" w:eastAsia="Arial" w:hAnsi="Arial"/>
          <w:sz w:val="31"/>
          <w:szCs w:val="31"/>
          <w:color w:val="auto"/>
          <w:vertAlign w:val="superscript"/>
        </w:rPr>
        <w:t>9</w:t>
      </w:r>
      <w:r>
        <w:rPr>
          <w:rFonts w:ascii="Arial" w:cs="Arial" w:eastAsia="Arial" w:hAnsi="Arial"/>
          <w:sz w:val="24"/>
          <w:szCs w:val="24"/>
          <w:color w:val="auto"/>
        </w:rPr>
        <w:t xml:space="preserve"> (BACEN, S. S. G. d. S. T., 2020c).</w:t>
      </w:r>
    </w:p>
    <w:p>
      <w:pPr>
        <w:spacing w:after="0" w:line="58" w:lineRule="exact"/>
        <w:rPr>
          <w:sz w:val="20"/>
          <w:szCs w:val="20"/>
          <w:color w:val="auto"/>
        </w:rPr>
      </w:pPr>
    </w:p>
    <w:p>
      <w:pPr>
        <w:jc w:val="both"/>
        <w:ind w:left="260" w:firstLine="850"/>
        <w:spacing w:after="0" w:line="442" w:lineRule="auto"/>
        <w:rPr>
          <w:sz w:val="20"/>
          <w:szCs w:val="20"/>
          <w:color w:val="auto"/>
        </w:rPr>
      </w:pPr>
      <w:r>
        <w:rPr>
          <w:rFonts w:ascii="Arial" w:cs="Arial" w:eastAsia="Arial" w:hAnsi="Arial"/>
          <w:sz w:val="23"/>
          <w:szCs w:val="23"/>
          <w:color w:val="auto"/>
        </w:rPr>
        <w:t>A Tabela 4 traz o resumo dos documentos que constituem as demonstrações contábeis padronizadas, enviadas pelas próprias instituições financeiras através do Sistema Contábil das Instituições Financeiras (COSIF), seguindo um conjunto de normas contábeis e plano de contas padronizados para os períodos definidos.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141605</wp:posOffset>
                </wp:positionV>
                <wp:extent cx="230251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1.15pt" to="194.25pt,11.15pt" o:allowincell="f" strokecolor="#000000" strokeweight="0.398pt"/>
            </w:pict>
          </mc:Fallback>
        </mc:AlternateContent>
      </w:r>
    </w:p>
    <w:p>
      <w:pPr>
        <w:sectPr>
          <w:pgSz w:w="11900" w:h="16838" w:orient="portrait"/>
          <w:cols w:equalWidth="0" w:num="1">
            <w:col w:w="9320"/>
          </w:cols>
          <w:pgMar w:left="1440" w:top="991" w:right="1146" w:bottom="1086" w:gutter="0" w:footer="0" w:header="0"/>
        </w:sectPr>
      </w:pPr>
    </w:p>
    <w:p>
      <w:pPr>
        <w:spacing w:after="0" w:line="197" w:lineRule="exact"/>
        <w:rPr>
          <w:sz w:val="20"/>
          <w:szCs w:val="20"/>
          <w:color w:val="auto"/>
        </w:rPr>
      </w:pPr>
    </w:p>
    <w:p>
      <w:pPr>
        <w:ind w:left="540" w:hanging="281"/>
        <w:spacing w:after="0"/>
        <w:tabs>
          <w:tab w:leader="none" w:pos="540" w:val="left"/>
        </w:tabs>
        <w:numPr>
          <w:ilvl w:val="0"/>
          <w:numId w:val="18"/>
        </w:numPr>
        <w:rPr>
          <w:rFonts w:ascii="Arial" w:cs="Arial" w:eastAsia="Arial" w:hAnsi="Arial"/>
          <w:sz w:val="27"/>
          <w:szCs w:val="27"/>
          <w:color w:val="auto"/>
          <w:vertAlign w:val="superscript"/>
        </w:rPr>
      </w:pPr>
      <w:r>
        <w:rPr>
          <w:rFonts w:ascii="Arial" w:cs="Arial" w:eastAsia="Arial" w:hAnsi="Arial"/>
          <w:sz w:val="19"/>
          <w:szCs w:val="19"/>
          <w:color w:val="auto"/>
        </w:rPr>
        <w:t>conforme disposto no artigo 2 da Lei Complementar nº 105, de 11 de janeiro de 2001</w:t>
      </w:r>
    </w:p>
    <w:p>
      <w:pPr>
        <w:sectPr>
          <w:pgSz w:w="11900" w:h="16838" w:orient="portrait"/>
          <w:cols w:equalWidth="0" w:num="1">
            <w:col w:w="9320"/>
          </w:cols>
          <w:pgMar w:left="1440" w:top="991" w:right="1146" w:bottom="1086" w:gutter="0" w:footer="0" w:header="0"/>
          <w:type w:val="continuous"/>
        </w:sectPr>
      </w:pPr>
    </w:p>
    <w:p>
      <w:pPr>
        <w:ind w:left="9060"/>
        <w:spacing w:after="0"/>
        <w:rPr>
          <w:sz w:val="20"/>
          <w:szCs w:val="20"/>
          <w:color w:val="auto"/>
        </w:rPr>
      </w:pPr>
      <w:r>
        <w:rPr>
          <w:rFonts w:ascii="Arial" w:cs="Arial" w:eastAsia="Arial" w:hAnsi="Arial"/>
          <w:sz w:val="24"/>
          <w:szCs w:val="24"/>
          <w:color w:val="auto"/>
        </w:rPr>
        <w:t>28</w:t>
      </w:r>
    </w:p>
    <w:p>
      <w:pPr>
        <w:spacing w:after="0" w:line="200" w:lineRule="exact"/>
        <w:rPr>
          <w:sz w:val="20"/>
          <w:szCs w:val="20"/>
          <w:color w:val="auto"/>
        </w:rPr>
      </w:pPr>
    </w:p>
    <w:p>
      <w:pPr>
        <w:spacing w:after="0" w:line="246"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Os dados são divulgados seguindo uma padronização para o setor, onde podem ser observados as receitas, despesas, ativos, passivos, patrimônio líquido, entre outros em multiplos níveis, para cada período de registo, buscando refletir a situação econômica e financeira, possibilitando a realização de análises evolutivas e comparativas e agregadas do setor financeiro.</w:t>
      </w:r>
    </w:p>
    <w:p>
      <w:pPr>
        <w:spacing w:after="0" w:line="93"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Com acesso aos resultados contábeis é possível obter os principais indicadores para avaliação de resultados das instituições bancárias, como os índices de Liquidez Geral e Liquidez Corrente, Endividamento e Composição do Endividamento, retorno sobre o ativo, retorno sobre o patrimônio líquido, margem EBITDA, margem líquida e grau de alavancagem financeira.</w:t>
      </w:r>
    </w:p>
    <w:p>
      <w:pPr>
        <w:spacing w:after="0" w:line="93" w:lineRule="exact"/>
        <w:rPr>
          <w:sz w:val="20"/>
          <w:szCs w:val="20"/>
          <w:color w:val="auto"/>
        </w:rPr>
      </w:pPr>
    </w:p>
    <w:p>
      <w:pPr>
        <w:jc w:val="both"/>
        <w:ind w:left="260" w:firstLine="850"/>
        <w:spacing w:after="0" w:line="433" w:lineRule="auto"/>
        <w:rPr>
          <w:sz w:val="20"/>
          <w:szCs w:val="20"/>
          <w:color w:val="auto"/>
        </w:rPr>
      </w:pPr>
      <w:r>
        <w:rPr>
          <w:rFonts w:ascii="Arial" w:cs="Arial" w:eastAsia="Arial" w:hAnsi="Arial"/>
          <w:sz w:val="23"/>
          <w:szCs w:val="23"/>
          <w:color w:val="auto"/>
        </w:rPr>
        <w:t>O índice de Liquidez Corrente (</w:t>
      </w:r>
      <w:r>
        <w:rPr>
          <w:rFonts w:ascii="Arial" w:cs="Arial" w:eastAsia="Arial" w:hAnsi="Arial"/>
          <w:sz w:val="23"/>
          <w:szCs w:val="23"/>
          <w:i w:val="1"/>
          <w:iCs w:val="1"/>
          <w:color w:val="auto"/>
        </w:rPr>
        <w:t>LC</w:t>
      </w:r>
      <w:r>
        <w:rPr>
          <w:rFonts w:ascii="Arial" w:cs="Arial" w:eastAsia="Arial" w:hAnsi="Arial"/>
          <w:sz w:val="23"/>
          <w:szCs w:val="23"/>
          <w:color w:val="auto"/>
        </w:rPr>
        <w:t>) mede a capacidade da instituição em honrar os compromissos com credores, definindo seu nível de solvência no curto prazo.</w:t>
      </w:r>
    </w:p>
    <w:p>
      <w:pPr>
        <w:spacing w:after="0" w:line="2" w:lineRule="exact"/>
        <w:rPr>
          <w:sz w:val="20"/>
          <w:szCs w:val="20"/>
          <w:color w:val="auto"/>
        </w:rPr>
      </w:pPr>
    </w:p>
    <w:p>
      <w:pPr>
        <w:jc w:val="both"/>
        <w:ind w:left="260" w:right="60" w:hanging="1"/>
        <w:spacing w:after="0" w:line="447" w:lineRule="auto"/>
        <w:tabs>
          <w:tab w:leader="none" w:pos="483" w:val="left"/>
        </w:tabs>
        <w:numPr>
          <w:ilvl w:val="0"/>
          <w:numId w:val="19"/>
        </w:numPr>
        <w:rPr>
          <w:rFonts w:ascii="Arial" w:cs="Arial" w:eastAsia="Arial" w:hAnsi="Arial"/>
          <w:sz w:val="23"/>
          <w:szCs w:val="23"/>
          <w:color w:val="auto"/>
        </w:rPr>
      </w:pPr>
      <w:r>
        <w:rPr>
          <w:rFonts w:ascii="Arial" w:cs="Arial" w:eastAsia="Arial" w:hAnsi="Arial"/>
          <w:sz w:val="23"/>
          <w:szCs w:val="23"/>
          <w:color w:val="auto"/>
        </w:rPr>
        <w:t>obtido pela razão entre o ativo circulante (</w:t>
      </w:r>
      <w:r>
        <w:rPr>
          <w:rFonts w:ascii="Arial" w:cs="Arial" w:eastAsia="Arial" w:hAnsi="Arial"/>
          <w:sz w:val="23"/>
          <w:szCs w:val="23"/>
          <w:i w:val="1"/>
          <w:iCs w:val="1"/>
          <w:color w:val="auto"/>
        </w:rPr>
        <w:t>AC</w:t>
      </w:r>
      <w:r>
        <w:rPr>
          <w:rFonts w:ascii="Arial" w:cs="Arial" w:eastAsia="Arial" w:hAnsi="Arial"/>
          <w:sz w:val="23"/>
          <w:szCs w:val="23"/>
          <w:color w:val="auto"/>
        </w:rPr>
        <w:t>) e o passivo circulante (</w:t>
      </w:r>
      <w:r>
        <w:rPr>
          <w:rFonts w:ascii="Arial" w:cs="Arial" w:eastAsia="Arial" w:hAnsi="Arial"/>
          <w:sz w:val="23"/>
          <w:szCs w:val="23"/>
          <w:i w:val="1"/>
          <w:iCs w:val="1"/>
          <w:color w:val="auto"/>
        </w:rPr>
        <w:t>P C</w:t>
      </w:r>
      <w:r>
        <w:rPr>
          <w:rFonts w:ascii="Arial" w:cs="Arial" w:eastAsia="Arial" w:hAnsi="Arial"/>
          <w:sz w:val="23"/>
          <w:szCs w:val="23"/>
          <w:color w:val="auto"/>
        </w:rPr>
        <w:t>), indicando o quanto do ativo circulante está disponível para cumprir com cada unidade monetária da dívida de curto prazo (GRAHAM; MEREDITH, 2012) (ASSAF NETO, 2020).</w:t>
      </w:r>
    </w:p>
    <w:p>
      <w:pPr>
        <w:jc w:val="right"/>
        <w:ind w:right="4100"/>
        <w:spacing w:after="0" w:line="187" w:lineRule="auto"/>
        <w:rPr>
          <w:sz w:val="20"/>
          <w:szCs w:val="20"/>
          <w:color w:val="auto"/>
        </w:rPr>
      </w:pPr>
      <w:r>
        <w:rPr>
          <w:rFonts w:ascii="Arial" w:cs="Arial" w:eastAsia="Arial" w:hAnsi="Arial"/>
          <w:sz w:val="22"/>
          <w:szCs w:val="22"/>
          <w:i w:val="1"/>
          <w:iCs w:val="1"/>
          <w:color w:val="auto"/>
          <w:vertAlign w:val="superscript"/>
        </w:rPr>
        <w:t>AC</w:t>
      </w:r>
    </w:p>
    <w:p>
      <w:pPr>
        <w:jc w:val="right"/>
        <w:ind w:right="4540"/>
        <w:spacing w:after="0" w:line="201" w:lineRule="auto"/>
        <w:rPr>
          <w:sz w:val="20"/>
          <w:szCs w:val="20"/>
          <w:color w:val="auto"/>
        </w:rPr>
      </w:pPr>
      <w:r>
        <w:rPr>
          <w:rFonts w:ascii="Arial" w:cs="Arial" w:eastAsia="Arial" w:hAnsi="Arial"/>
          <w:sz w:val="24"/>
          <w:szCs w:val="24"/>
          <w:i w:val="1"/>
          <w:iCs w:val="1"/>
          <w:color w:val="auto"/>
        </w:rPr>
        <w:t>LC</w:t>
      </w:r>
      <w:r>
        <w:rPr>
          <w:rFonts w:ascii="Arial" w:cs="Arial" w:eastAsia="Arial" w:hAnsi="Arial"/>
          <w:sz w:val="24"/>
          <w:szCs w:val="24"/>
          <w:color w:val="auto"/>
        </w:rPr>
        <w:t xml:space="preser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3134995</wp:posOffset>
                </wp:positionH>
                <wp:positionV relativeFrom="paragraph">
                  <wp:posOffset>-78105</wp:posOffset>
                </wp:positionV>
                <wp:extent cx="23368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36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85pt,-6.1499pt" to="265.25pt,-6.1499pt" o:allowincell="f" strokecolor="#000000" strokeweight="0.398pt"/>
            </w:pict>
          </mc:Fallback>
        </mc:AlternateContent>
      </w:r>
    </w:p>
    <w:p>
      <w:pPr>
        <w:spacing w:after="0" w:line="200" w:lineRule="exact"/>
        <w:rPr>
          <w:sz w:val="20"/>
          <w:szCs w:val="20"/>
          <w:color w:val="auto"/>
        </w:rPr>
      </w:pPr>
    </w:p>
    <w:p>
      <w:pPr>
        <w:spacing w:after="0" w:line="261" w:lineRule="exact"/>
        <w:rPr>
          <w:sz w:val="20"/>
          <w:szCs w:val="20"/>
          <w:color w:val="auto"/>
        </w:rPr>
      </w:pPr>
    </w:p>
    <w:p>
      <w:pPr>
        <w:jc w:val="both"/>
        <w:ind w:left="260" w:right="60" w:firstLine="858"/>
        <w:spacing w:after="0" w:line="383" w:lineRule="auto"/>
        <w:rPr>
          <w:sz w:val="20"/>
          <w:szCs w:val="20"/>
          <w:color w:val="auto"/>
        </w:rPr>
      </w:pPr>
      <w:r>
        <w:rPr>
          <w:rFonts w:ascii="Arial" w:cs="Arial" w:eastAsia="Arial" w:hAnsi="Arial"/>
          <w:sz w:val="24"/>
          <w:szCs w:val="24"/>
          <w:color w:val="auto"/>
        </w:rPr>
        <w:t>O índice de Liquidez Geral (</w:t>
      </w:r>
      <w:r>
        <w:rPr>
          <w:rFonts w:ascii="Arial" w:cs="Arial" w:eastAsia="Arial" w:hAnsi="Arial"/>
          <w:sz w:val="24"/>
          <w:szCs w:val="24"/>
          <w:i w:val="1"/>
          <w:iCs w:val="1"/>
          <w:color w:val="auto"/>
        </w:rPr>
        <w:t>LG</w:t>
      </w:r>
      <w:r>
        <w:rPr>
          <w:rFonts w:ascii="Arial" w:cs="Arial" w:eastAsia="Arial" w:hAnsi="Arial"/>
          <w:sz w:val="24"/>
          <w:szCs w:val="24"/>
          <w:color w:val="auto"/>
        </w:rPr>
        <w:t>) mede a capacidade da instituição honrar os compromissos com seus credores no longo prazo, definindo seu nível de solvência geral, é obtido pela razão entre a soma do ativo circulante (</w:t>
      </w:r>
      <w:r>
        <w:rPr>
          <w:rFonts w:ascii="Arial" w:cs="Arial" w:eastAsia="Arial" w:hAnsi="Arial"/>
          <w:sz w:val="24"/>
          <w:szCs w:val="24"/>
          <w:i w:val="1"/>
          <w:iCs w:val="1"/>
          <w:color w:val="auto"/>
        </w:rPr>
        <w:t>AC</w:t>
      </w:r>
      <w:r>
        <w:rPr>
          <w:rFonts w:ascii="Arial" w:cs="Arial" w:eastAsia="Arial" w:hAnsi="Arial"/>
          <w:sz w:val="24"/>
          <w:szCs w:val="24"/>
          <w:color w:val="auto"/>
        </w:rPr>
        <w:t>) e recursos realizáveis no longo prazo (</w:t>
      </w:r>
      <w:r>
        <w:rPr>
          <w:rFonts w:ascii="Arial" w:cs="Arial" w:eastAsia="Arial" w:hAnsi="Arial"/>
          <w:sz w:val="24"/>
          <w:szCs w:val="24"/>
          <w:i w:val="1"/>
          <w:iCs w:val="1"/>
          <w:color w:val="auto"/>
        </w:rPr>
        <w:t>RLP</w:t>
      </w:r>
      <w:r>
        <w:rPr>
          <w:rFonts w:ascii="Arial" w:cs="Arial" w:eastAsia="Arial" w:hAnsi="Arial"/>
          <w:sz w:val="24"/>
          <w:szCs w:val="24"/>
          <w:color w:val="auto"/>
        </w:rPr>
        <w:t xml:space="preserve"> ) e a soma do passivo circulante (</w:t>
      </w:r>
      <w:r>
        <w:rPr>
          <w:rFonts w:ascii="Arial" w:cs="Arial" w:eastAsia="Arial" w:hAnsi="Arial"/>
          <w:sz w:val="24"/>
          <w:szCs w:val="24"/>
          <w:i w:val="1"/>
          <w:iCs w:val="1"/>
          <w:color w:val="auto"/>
        </w:rPr>
        <w:t>P C</w:t>
      </w:r>
      <w:r>
        <w:rPr>
          <w:rFonts w:ascii="Arial" w:cs="Arial" w:eastAsia="Arial" w:hAnsi="Arial"/>
          <w:sz w:val="24"/>
          <w:szCs w:val="24"/>
          <w:color w:val="auto"/>
        </w:rPr>
        <w:t>) e exigível no longo prazo (</w:t>
      </w:r>
      <w:r>
        <w:rPr>
          <w:rFonts w:ascii="Arial" w:cs="Arial" w:eastAsia="Arial" w:hAnsi="Arial"/>
          <w:sz w:val="24"/>
          <w:szCs w:val="24"/>
          <w:i w:val="1"/>
          <w:iCs w:val="1"/>
          <w:color w:val="auto"/>
        </w:rPr>
        <w:t>ELP</w:t>
      </w:r>
      <w:r>
        <w:rPr>
          <w:rFonts w:ascii="Arial" w:cs="Arial" w:eastAsia="Arial" w:hAnsi="Arial"/>
          <w:sz w:val="24"/>
          <w:szCs w:val="24"/>
          <w:color w:val="auto"/>
        </w:rPr>
        <w:t xml:space="preserve"> ) (ASSAF NETO, 2020).</w:t>
      </w:r>
    </w:p>
    <w:p>
      <w:pPr>
        <w:ind w:left="4440"/>
        <w:spacing w:after="0" w:line="216" w:lineRule="auto"/>
        <w:rPr>
          <w:sz w:val="20"/>
          <w:szCs w:val="20"/>
          <w:color w:val="auto"/>
        </w:rPr>
      </w:pPr>
      <w:r>
        <w:rPr>
          <w:rFonts w:ascii="Arial" w:cs="Arial" w:eastAsia="Arial" w:hAnsi="Arial"/>
          <w:sz w:val="24"/>
          <w:szCs w:val="24"/>
          <w:i w:val="1"/>
          <w:iCs w:val="1"/>
          <w:color w:val="auto"/>
        </w:rPr>
        <w:t>AC</w:t>
      </w:r>
      <w:r>
        <w:rPr>
          <w:rFonts w:ascii="Arial" w:cs="Arial" w:eastAsia="Arial" w:hAnsi="Arial"/>
          <w:sz w:val="24"/>
          <w:szCs w:val="24"/>
          <w:color w:val="auto"/>
        </w:rPr>
        <w:t xml:space="preserve"> + </w:t>
      </w:r>
      <w:r>
        <w:rPr>
          <w:rFonts w:ascii="Arial" w:cs="Arial" w:eastAsia="Arial" w:hAnsi="Arial"/>
          <w:sz w:val="24"/>
          <w:szCs w:val="24"/>
          <w:i w:val="1"/>
          <w:iCs w:val="1"/>
          <w:color w:val="auto"/>
        </w:rPr>
        <w:t>RLP</w:t>
      </w:r>
    </w:p>
    <w:p>
      <w:pPr>
        <w:ind w:left="3940"/>
        <w:spacing w:after="0" w:line="180" w:lineRule="auto"/>
        <w:rPr>
          <w:sz w:val="20"/>
          <w:szCs w:val="20"/>
          <w:color w:val="auto"/>
        </w:rPr>
      </w:pPr>
      <w:r>
        <w:rPr>
          <w:rFonts w:ascii="Arial" w:cs="Arial" w:eastAsia="Arial" w:hAnsi="Arial"/>
          <w:sz w:val="19"/>
          <w:szCs w:val="19"/>
          <w:i w:val="1"/>
          <w:iCs w:val="1"/>
          <w:color w:val="auto"/>
          <w:vertAlign w:val="superscript"/>
        </w:rPr>
        <w:t>LG</w:t>
      </w:r>
      <w:r>
        <w:rPr>
          <w:rFonts w:ascii="Arial" w:cs="Arial" w:eastAsia="Arial" w:hAnsi="Arial"/>
          <w:sz w:val="15"/>
          <w:szCs w:val="15"/>
          <w:color w:val="auto"/>
          <w:vertAlign w:val="super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2820035</wp:posOffset>
                </wp:positionH>
                <wp:positionV relativeFrom="paragraph">
                  <wp:posOffset>-36195</wp:posOffset>
                </wp:positionV>
                <wp:extent cx="75374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537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05pt,-2.8499pt" to="281.4pt,-2.8499pt" o:allowincell="f" strokecolor="#000000" strokeweight="0.398pt"/>
            </w:pict>
          </mc:Fallback>
        </mc:AlternateContent>
      </w:r>
    </w:p>
    <w:p>
      <w:pPr>
        <w:ind w:left="4440"/>
        <w:spacing w:after="0" w:line="202" w:lineRule="auto"/>
        <w:rPr>
          <w:sz w:val="20"/>
          <w:szCs w:val="20"/>
          <w:color w:val="auto"/>
        </w:rPr>
      </w:pPr>
      <w:r>
        <w:rPr>
          <w:rFonts w:ascii="Arial" w:cs="Arial" w:eastAsia="Arial" w:hAnsi="Arial"/>
          <w:sz w:val="24"/>
          <w:szCs w:val="24"/>
          <w:i w:val="1"/>
          <w:iCs w:val="1"/>
          <w:color w:val="auto"/>
        </w:rPr>
        <w:t>PC</w:t>
      </w:r>
      <w:r>
        <w:rPr>
          <w:rFonts w:ascii="Arial" w:cs="Arial" w:eastAsia="Arial" w:hAnsi="Arial"/>
          <w:sz w:val="24"/>
          <w:szCs w:val="24"/>
          <w:color w:val="auto"/>
        </w:rPr>
        <w:t xml:space="preserve"> + </w:t>
      </w:r>
      <w:r>
        <w:rPr>
          <w:rFonts w:ascii="Arial" w:cs="Arial" w:eastAsia="Arial" w:hAnsi="Arial"/>
          <w:sz w:val="24"/>
          <w:szCs w:val="24"/>
          <w:i w:val="1"/>
          <w:iCs w:val="1"/>
          <w:color w:val="auto"/>
        </w:rPr>
        <w:t>ELP</w:t>
      </w:r>
    </w:p>
    <w:p>
      <w:pPr>
        <w:spacing w:after="0" w:line="239" w:lineRule="exact"/>
        <w:rPr>
          <w:sz w:val="20"/>
          <w:szCs w:val="20"/>
          <w:color w:val="auto"/>
        </w:rPr>
      </w:pPr>
    </w:p>
    <w:p>
      <w:pPr>
        <w:jc w:val="both"/>
        <w:ind w:left="260" w:right="20" w:firstLine="858"/>
        <w:spacing w:after="0" w:line="396" w:lineRule="auto"/>
        <w:rPr>
          <w:sz w:val="20"/>
          <w:szCs w:val="20"/>
          <w:color w:val="auto"/>
        </w:rPr>
      </w:pPr>
      <w:r>
        <w:rPr>
          <w:rFonts w:ascii="Arial" w:cs="Arial" w:eastAsia="Arial" w:hAnsi="Arial"/>
          <w:sz w:val="24"/>
          <w:szCs w:val="24"/>
          <w:color w:val="auto"/>
        </w:rPr>
        <w:t>O índice de endividamento (</w:t>
      </w:r>
      <w:r>
        <w:rPr>
          <w:rFonts w:ascii="Arial" w:cs="Arial" w:eastAsia="Arial" w:hAnsi="Arial"/>
          <w:sz w:val="24"/>
          <w:szCs w:val="24"/>
          <w:i w:val="1"/>
          <w:iCs w:val="1"/>
          <w:color w:val="auto"/>
        </w:rPr>
        <w:t>CT</w:t>
      </w:r>
      <w:r>
        <w:rPr>
          <w:rFonts w:ascii="Arial" w:cs="Arial" w:eastAsia="Arial" w:hAnsi="Arial"/>
          <w:sz w:val="24"/>
          <w:szCs w:val="24"/>
          <w:color w:val="auto"/>
        </w:rPr>
        <w:t xml:space="preserve"> ), mede a participação de capital de terceiros em relação aos financiamentos realizados com capital próprio. Quanto maior o indicador, maior a dependência da instituição de capital de terceiros para financiamento das suas operações, obtido pela razão entre o passivo (</w:t>
      </w:r>
      <w:r>
        <w:rPr>
          <w:rFonts w:ascii="Arial" w:cs="Arial" w:eastAsia="Arial" w:hAnsi="Arial"/>
          <w:sz w:val="24"/>
          <w:szCs w:val="24"/>
          <w:i w:val="1"/>
          <w:iCs w:val="1"/>
          <w:color w:val="auto"/>
        </w:rPr>
        <w:t>P</w:t>
      </w:r>
      <w:r>
        <w:rPr>
          <w:rFonts w:ascii="Arial" w:cs="Arial" w:eastAsia="Arial" w:hAnsi="Arial"/>
          <w:sz w:val="24"/>
          <w:szCs w:val="24"/>
          <w:color w:val="auto"/>
        </w:rPr>
        <w:t xml:space="preserve"> ) e o patrimônio líquido (</w:t>
      </w:r>
      <w:r>
        <w:rPr>
          <w:rFonts w:ascii="Arial" w:cs="Arial" w:eastAsia="Arial" w:hAnsi="Arial"/>
          <w:sz w:val="24"/>
          <w:szCs w:val="24"/>
          <w:i w:val="1"/>
          <w:iCs w:val="1"/>
          <w:color w:val="auto"/>
        </w:rPr>
        <w:t>P L</w:t>
      </w:r>
      <w:r>
        <w:rPr>
          <w:rFonts w:ascii="Arial" w:cs="Arial" w:eastAsia="Arial" w:hAnsi="Arial"/>
          <w:sz w:val="24"/>
          <w:szCs w:val="24"/>
          <w:color w:val="auto"/>
        </w:rPr>
        <w:t>) (ASSAF NETO, 2020).</w:t>
      </w:r>
    </w:p>
    <w:p>
      <w:pPr>
        <w:spacing w:after="0" w:line="1"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CT</w:t>
      </w:r>
      <w:r>
        <w:rPr>
          <w:rFonts w:ascii="Arial" w:cs="Arial" w:eastAsia="Arial" w:hAnsi="Arial"/>
          <w:sz w:val="24"/>
          <w:szCs w:val="24"/>
          <w:color w:val="auto"/>
        </w:rPr>
        <w:t xml:space="preserve"> = [</w:t>
      </w:r>
      <w:r>
        <w:rPr>
          <w:rFonts w:ascii="Arial" w:cs="Arial" w:eastAsia="Arial" w:hAnsi="Arial"/>
          <w:sz w:val="47"/>
          <w:szCs w:val="47"/>
          <w:i w:val="1"/>
          <w:iCs w:val="1"/>
          <w:color w:val="auto"/>
          <w:vertAlign w:val="subscript"/>
        </w:rPr>
        <w:t>P</w:t>
      </w:r>
      <w:r>
        <w:rPr>
          <w:rFonts w:ascii="Arial" w:cs="Arial" w:eastAsia="Arial" w:hAnsi="Arial"/>
          <w:sz w:val="47"/>
          <w:szCs w:val="47"/>
          <w:i w:val="1"/>
          <w:iCs w:val="1"/>
          <w:color w:val="auto"/>
          <w:vertAlign w:val="superscript"/>
        </w:rPr>
        <w:t>P</w:t>
      </w:r>
      <w:r>
        <w:rPr>
          <w:rFonts w:ascii="Arial" w:cs="Arial" w:eastAsia="Arial" w:hAnsi="Arial"/>
          <w:sz w:val="47"/>
          <w:szCs w:val="47"/>
          <w:i w:val="1"/>
          <w:iCs w:val="1"/>
          <w:color w:val="auto"/>
          <w:vertAlign w:val="subscript"/>
        </w:rPr>
        <w:t>L</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3147060</wp:posOffset>
                </wp:positionH>
                <wp:positionV relativeFrom="paragraph">
                  <wp:posOffset>-165100</wp:posOffset>
                </wp:positionV>
                <wp:extent cx="21717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1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8pt,-13pt" to="264.9pt,-13pt" o:allowincell="f" strokecolor="#000000" strokeweight="0.398pt"/>
            </w:pict>
          </mc:Fallback>
        </mc:AlternateContent>
      </w:r>
    </w:p>
    <w:p>
      <w:pPr>
        <w:sectPr>
          <w:pgSz w:w="11900" w:h="16838" w:orient="portrait"/>
          <w:cols w:equalWidth="0" w:num="1">
            <w:col w:w="9380"/>
          </w:cols>
          <w:pgMar w:left="1440" w:top="991" w:right="1086" w:bottom="309" w:gutter="0" w:footer="0" w:header="0"/>
        </w:sectPr>
      </w:pPr>
    </w:p>
    <w:p>
      <w:pPr>
        <w:ind w:left="9060"/>
        <w:spacing w:after="0"/>
        <w:rPr>
          <w:sz w:val="20"/>
          <w:szCs w:val="20"/>
          <w:color w:val="auto"/>
        </w:rPr>
      </w:pPr>
      <w:r>
        <w:rPr>
          <w:rFonts w:ascii="Arial" w:cs="Arial" w:eastAsia="Arial" w:hAnsi="Arial"/>
          <w:sz w:val="24"/>
          <w:szCs w:val="24"/>
          <w:color w:val="auto"/>
        </w:rPr>
        <w:t>29</w:t>
      </w:r>
    </w:p>
    <w:p>
      <w:pPr>
        <w:spacing w:after="0" w:line="200" w:lineRule="exact"/>
        <w:rPr>
          <w:sz w:val="20"/>
          <w:szCs w:val="20"/>
          <w:color w:val="auto"/>
        </w:rPr>
      </w:pPr>
    </w:p>
    <w:p>
      <w:pPr>
        <w:spacing w:after="0" w:line="246"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A composição do endividamento (</w:t>
      </w:r>
      <w:r>
        <w:rPr>
          <w:rFonts w:ascii="Arial" w:cs="Arial" w:eastAsia="Arial" w:hAnsi="Arial"/>
          <w:sz w:val="24"/>
          <w:szCs w:val="24"/>
          <w:i w:val="1"/>
          <w:iCs w:val="1"/>
          <w:color w:val="auto"/>
        </w:rPr>
        <w:t>CE</w:t>
      </w:r>
      <w:r>
        <w:rPr>
          <w:rFonts w:ascii="Arial" w:cs="Arial" w:eastAsia="Arial" w:hAnsi="Arial"/>
          <w:sz w:val="24"/>
          <w:szCs w:val="24"/>
          <w:color w:val="auto"/>
        </w:rPr>
        <w:t>) indica o percentual da dívida em relação a dívida que vence no curto prazo. Quanto maior for esse indicador, mais crítica é a situação, necessitando de melhores resultados para cumprir os compromissos no curto prazo. É obtido pela razão entre o passivo circulante (</w:t>
      </w:r>
      <w:r>
        <w:rPr>
          <w:rFonts w:ascii="Arial" w:cs="Arial" w:eastAsia="Arial" w:hAnsi="Arial"/>
          <w:sz w:val="24"/>
          <w:szCs w:val="24"/>
          <w:i w:val="1"/>
          <w:iCs w:val="1"/>
          <w:color w:val="auto"/>
        </w:rPr>
        <w:t>P C</w:t>
      </w:r>
      <w:r>
        <w:rPr>
          <w:rFonts w:ascii="Arial" w:cs="Arial" w:eastAsia="Arial" w:hAnsi="Arial"/>
          <w:sz w:val="24"/>
          <w:szCs w:val="24"/>
          <w:color w:val="auto"/>
        </w:rPr>
        <w:t>) e a soma do passivo circulante e exigível a longo prazo (</w:t>
      </w:r>
      <w:r>
        <w:rPr>
          <w:rFonts w:ascii="Arial" w:cs="Arial" w:eastAsia="Arial" w:hAnsi="Arial"/>
          <w:sz w:val="24"/>
          <w:szCs w:val="24"/>
          <w:i w:val="1"/>
          <w:iCs w:val="1"/>
          <w:color w:val="auto"/>
        </w:rPr>
        <w:t>ELP</w:t>
      </w:r>
      <w:r>
        <w:rPr>
          <w:rFonts w:ascii="Arial" w:cs="Arial" w:eastAsia="Arial" w:hAnsi="Arial"/>
          <w:sz w:val="24"/>
          <w:szCs w:val="24"/>
          <w:color w:val="auto"/>
        </w:rPr>
        <w:t xml:space="preserve"> ) (ASSAF NETO, 2020).</w:t>
      </w:r>
    </w:p>
    <w:p>
      <w:pPr>
        <w:spacing w:after="0" w:line="5" w:lineRule="exact"/>
        <w:rPr>
          <w:sz w:val="20"/>
          <w:szCs w:val="20"/>
          <w:color w:val="auto"/>
        </w:rPr>
      </w:pPr>
    </w:p>
    <w:p>
      <w:pPr>
        <w:ind w:left="4960"/>
        <w:spacing w:after="0"/>
        <w:rPr>
          <w:sz w:val="20"/>
          <w:szCs w:val="20"/>
          <w:color w:val="auto"/>
        </w:rPr>
      </w:pPr>
      <w:r>
        <w:rPr>
          <w:rFonts w:ascii="Arial" w:cs="Arial" w:eastAsia="Arial" w:hAnsi="Arial"/>
          <w:sz w:val="24"/>
          <w:szCs w:val="24"/>
          <w:i w:val="1"/>
          <w:iCs w:val="1"/>
          <w:color w:val="auto"/>
        </w:rPr>
        <w:t>P C</w:t>
      </w:r>
    </w:p>
    <w:p>
      <w:pPr>
        <w:ind w:left="3840"/>
        <w:spacing w:after="0" w:line="206" w:lineRule="auto"/>
        <w:rPr>
          <w:sz w:val="20"/>
          <w:szCs w:val="20"/>
          <w:color w:val="auto"/>
        </w:rPr>
      </w:pPr>
      <w:r>
        <w:rPr>
          <w:rFonts w:ascii="Arial" w:cs="Arial" w:eastAsia="Arial" w:hAnsi="Arial"/>
          <w:sz w:val="48"/>
          <w:szCs w:val="48"/>
          <w:i w:val="1"/>
          <w:iCs w:val="1"/>
          <w:color w:val="auto"/>
          <w:vertAlign w:val="superscript"/>
        </w:rPr>
        <w:t>CE</w:t>
      </w:r>
      <w:r>
        <w:rPr>
          <w:rFonts w:ascii="Arial" w:cs="Arial" w:eastAsia="Arial" w:hAnsi="Arial"/>
          <w:sz w:val="47"/>
          <w:szCs w:val="47"/>
          <w:color w:val="auto"/>
          <w:vertAlign w:val="superscript"/>
        </w:rPr>
        <w:t xml:space="preserve"> =</w:t>
      </w:r>
      <w:r>
        <w:rPr>
          <w:rFonts w:ascii="Arial" w:cs="Arial" w:eastAsia="Arial" w:hAnsi="Arial"/>
          <w:sz w:val="48"/>
          <w:szCs w:val="48"/>
          <w:color w:val="auto"/>
          <w:vertAlign w:val="superscript"/>
        </w:rPr>
        <w:t xml:space="preserve"> </w:t>
      </w:r>
      <w:r>
        <w:rPr>
          <w:rFonts w:ascii="Arial" w:cs="Arial" w:eastAsia="Arial" w:hAnsi="Arial"/>
          <w:sz w:val="48"/>
          <w:szCs w:val="48"/>
          <w:i w:val="1"/>
          <w:iCs w:val="1"/>
          <w:color w:val="auto"/>
        </w:rPr>
        <w:t>PC</w:t>
      </w:r>
      <w:r>
        <w:rPr>
          <w:rFonts w:ascii="Arial" w:cs="Arial" w:eastAsia="Arial" w:hAnsi="Arial"/>
          <w:sz w:val="23"/>
          <w:szCs w:val="23"/>
          <w:color w:val="auto"/>
        </w:rPr>
        <w:t>+</w:t>
      </w:r>
      <w:r>
        <w:rPr>
          <w:rFonts w:ascii="Arial" w:cs="Arial" w:eastAsia="Arial" w:hAnsi="Arial"/>
          <w:sz w:val="23"/>
          <w:szCs w:val="23"/>
          <w:i w:val="1"/>
          <w:iCs w:val="1"/>
          <w:color w:val="auto"/>
        </w:rPr>
        <w:t>ELP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2884170</wp:posOffset>
                </wp:positionH>
                <wp:positionV relativeFrom="paragraph">
                  <wp:posOffset>-233045</wp:posOffset>
                </wp:positionV>
                <wp:extent cx="75311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531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1pt,-18.3499pt" to="286.4pt,-18.3499pt" o:allowincell="f" strokecolor="#000000" strokeweight="0.398pt"/>
            </w:pict>
          </mc:Fallback>
        </mc:AlternateContent>
      </w:r>
    </w:p>
    <w:p>
      <w:pPr>
        <w:spacing w:after="0" w:line="283" w:lineRule="exact"/>
        <w:rPr>
          <w:sz w:val="20"/>
          <w:szCs w:val="20"/>
          <w:color w:val="auto"/>
        </w:rPr>
      </w:pPr>
    </w:p>
    <w:p>
      <w:pPr>
        <w:jc w:val="both"/>
        <w:ind w:left="260" w:firstLine="858"/>
        <w:spacing w:after="0" w:line="419" w:lineRule="auto"/>
        <w:rPr>
          <w:sz w:val="20"/>
          <w:szCs w:val="20"/>
          <w:color w:val="auto"/>
        </w:rPr>
      </w:pPr>
      <w:r>
        <w:rPr>
          <w:rFonts w:ascii="Arial" w:cs="Arial" w:eastAsia="Arial" w:hAnsi="Arial"/>
          <w:sz w:val="24"/>
          <w:szCs w:val="24"/>
          <w:color w:val="auto"/>
        </w:rPr>
        <w:t>O Índice de Eficiência bancária (</w:t>
      </w:r>
      <w:r>
        <w:rPr>
          <w:rFonts w:ascii="Arial" w:cs="Arial" w:eastAsia="Arial" w:hAnsi="Arial"/>
          <w:sz w:val="24"/>
          <w:szCs w:val="24"/>
          <w:i w:val="1"/>
          <w:iCs w:val="1"/>
          <w:color w:val="auto"/>
        </w:rPr>
        <w:t>IE</w:t>
      </w:r>
      <w:r>
        <w:rPr>
          <w:rFonts w:ascii="Arial" w:cs="Arial" w:eastAsia="Arial" w:hAnsi="Arial"/>
          <w:sz w:val="24"/>
          <w:szCs w:val="24"/>
          <w:color w:val="auto"/>
        </w:rPr>
        <w:t>) avalia o quanto a instituição desembolsa para gerar uma unidade de receita. É obtido por meio da razão entre a soma das despesas administrativas (</w:t>
      </w:r>
      <w:r>
        <w:rPr>
          <w:rFonts w:ascii="Arial" w:cs="Arial" w:eastAsia="Arial" w:hAnsi="Arial"/>
          <w:sz w:val="24"/>
          <w:szCs w:val="24"/>
          <w:i w:val="1"/>
          <w:iCs w:val="1"/>
          <w:color w:val="auto"/>
        </w:rPr>
        <w:t>DA</w:t>
      </w:r>
      <w:r>
        <w:rPr>
          <w:rFonts w:ascii="Arial" w:cs="Arial" w:eastAsia="Arial" w:hAnsi="Arial"/>
          <w:sz w:val="24"/>
          <w:szCs w:val="24"/>
          <w:color w:val="auto"/>
        </w:rPr>
        <w:t>), despesas com pessoal (</w:t>
      </w:r>
      <w:r>
        <w:rPr>
          <w:rFonts w:ascii="Arial" w:cs="Arial" w:eastAsia="Arial" w:hAnsi="Arial"/>
          <w:sz w:val="24"/>
          <w:szCs w:val="24"/>
          <w:i w:val="1"/>
          <w:iCs w:val="1"/>
          <w:color w:val="auto"/>
        </w:rPr>
        <w:t>DP</w:t>
      </w:r>
      <w:r>
        <w:rPr>
          <w:rFonts w:ascii="Arial" w:cs="Arial" w:eastAsia="Arial" w:hAnsi="Arial"/>
          <w:sz w:val="24"/>
          <w:szCs w:val="24"/>
          <w:color w:val="auto"/>
        </w:rPr>
        <w:t xml:space="preserve"> ) líquidas da participação nos lucros (</w:t>
      </w:r>
      <w:r>
        <w:rPr>
          <w:rFonts w:ascii="Arial" w:cs="Arial" w:eastAsia="Arial" w:hAnsi="Arial"/>
          <w:sz w:val="24"/>
          <w:szCs w:val="24"/>
          <w:i w:val="1"/>
          <w:iCs w:val="1"/>
          <w:color w:val="auto"/>
        </w:rPr>
        <w:t>P LR</w:t>
      </w:r>
      <w:r>
        <w:rPr>
          <w:rFonts w:ascii="Arial" w:cs="Arial" w:eastAsia="Arial" w:hAnsi="Arial"/>
          <w:sz w:val="24"/>
          <w:szCs w:val="24"/>
          <w:color w:val="auto"/>
        </w:rPr>
        <w:t>) sobre a soma entre Margem Financeira (</w:t>
      </w:r>
      <w:r>
        <w:rPr>
          <w:rFonts w:ascii="Arial" w:cs="Arial" w:eastAsia="Arial" w:hAnsi="Arial"/>
          <w:sz w:val="24"/>
          <w:szCs w:val="24"/>
          <w:i w:val="1"/>
          <w:iCs w:val="1"/>
          <w:color w:val="auto"/>
        </w:rPr>
        <w:t>M F</w:t>
      </w:r>
      <w:r>
        <w:rPr>
          <w:rFonts w:ascii="Arial" w:cs="Arial" w:eastAsia="Arial" w:hAnsi="Arial"/>
          <w:sz w:val="24"/>
          <w:szCs w:val="24"/>
          <w:color w:val="auto"/>
        </w:rPr>
        <w:t xml:space="preserve"> ) e receita (</w:t>
      </w:r>
      <w:r>
        <w:rPr>
          <w:rFonts w:ascii="Arial" w:cs="Arial" w:eastAsia="Arial" w:hAnsi="Arial"/>
          <w:sz w:val="24"/>
          <w:szCs w:val="24"/>
          <w:i w:val="1"/>
          <w:iCs w:val="1"/>
          <w:color w:val="auto"/>
        </w:rPr>
        <w:t>R</w:t>
      </w:r>
      <w:r>
        <w:rPr>
          <w:rFonts w:ascii="Arial" w:cs="Arial" w:eastAsia="Arial" w:hAnsi="Arial"/>
          <w:sz w:val="24"/>
          <w:szCs w:val="24"/>
          <w:color w:val="auto"/>
        </w:rPr>
        <w:t>) (MAGALHÃES-TIMOTIO, 2018).</w:t>
      </w:r>
    </w:p>
    <w:p>
      <w:pPr>
        <w:spacing w:after="0" w:line="132" w:lineRule="exact"/>
        <w:rPr>
          <w:sz w:val="20"/>
          <w:szCs w:val="20"/>
          <w:color w:val="auto"/>
        </w:rPr>
      </w:pPr>
    </w:p>
    <w:p>
      <w:pPr>
        <w:ind w:left="3520"/>
        <w:spacing w:after="0"/>
        <w:rPr>
          <w:sz w:val="20"/>
          <w:szCs w:val="20"/>
          <w:color w:val="auto"/>
        </w:rPr>
      </w:pPr>
      <w:r>
        <w:rPr>
          <w:rFonts w:ascii="Arial" w:cs="Arial" w:eastAsia="Arial" w:hAnsi="Arial"/>
          <w:sz w:val="48"/>
          <w:szCs w:val="48"/>
          <w:i w:val="1"/>
          <w:iCs w:val="1"/>
          <w:color w:val="auto"/>
          <w:vertAlign w:val="subscript"/>
        </w:rPr>
        <w:t>IE</w:t>
      </w:r>
      <w:r>
        <w:rPr>
          <w:rFonts w:ascii="Arial" w:cs="Arial" w:eastAsia="Arial" w:hAnsi="Arial"/>
          <w:sz w:val="47"/>
          <w:szCs w:val="47"/>
          <w:color w:val="auto"/>
          <w:vertAlign w:val="subscript"/>
        </w:rPr>
        <w:t xml:space="preserve"> =</w:t>
      </w:r>
      <w:r>
        <w:rPr>
          <w:rFonts w:ascii="Arial" w:cs="Arial" w:eastAsia="Arial" w:hAnsi="Arial"/>
          <w:sz w:val="48"/>
          <w:szCs w:val="48"/>
          <w:color w:val="auto"/>
          <w:vertAlign w:val="subscript"/>
        </w:rPr>
        <w:t xml:space="preserve"> </w:t>
      </w:r>
      <w:r>
        <w:rPr>
          <w:rFonts w:ascii="Arial" w:cs="Arial" w:eastAsia="Arial" w:hAnsi="Arial"/>
          <w:sz w:val="48"/>
          <w:szCs w:val="48"/>
          <w:i w:val="1"/>
          <w:iCs w:val="1"/>
          <w:color w:val="auto"/>
        </w:rPr>
        <w:t>DA</w:t>
      </w:r>
      <w:r>
        <w:rPr>
          <w:rFonts w:ascii="Arial" w:cs="Arial" w:eastAsia="Arial" w:hAnsi="Arial"/>
          <w:sz w:val="23"/>
          <w:szCs w:val="23"/>
          <w:color w:val="auto"/>
        </w:rPr>
        <w:t>+</w:t>
      </w:r>
      <w:r>
        <w:rPr>
          <w:rFonts w:ascii="Arial" w:cs="Arial" w:eastAsia="Arial" w:hAnsi="Arial"/>
          <w:sz w:val="23"/>
          <w:szCs w:val="23"/>
          <w:i w:val="1"/>
          <w:iCs w:val="1"/>
          <w:color w:val="auto"/>
        </w:rPr>
        <w:t>DP</w:t>
      </w:r>
      <w:r>
        <w:rPr>
          <w:rFonts w:ascii="Arial" w:cs="Arial" w:eastAsia="Arial" w:hAnsi="Arial"/>
          <w:sz w:val="23"/>
          <w:szCs w:val="23"/>
          <w:color w:val="auto"/>
        </w:rPr>
        <w:t xml:space="preserve"> −</w:t>
      </w:r>
      <w:r>
        <w:rPr>
          <w:rFonts w:ascii="Arial" w:cs="Arial" w:eastAsia="Arial" w:hAnsi="Arial"/>
          <w:sz w:val="23"/>
          <w:szCs w:val="23"/>
          <w:i w:val="1"/>
          <w:iCs w:val="1"/>
          <w:color w:val="auto"/>
        </w:rPr>
        <w:t>PLR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2649220</wp:posOffset>
                </wp:positionH>
                <wp:positionV relativeFrom="paragraph">
                  <wp:posOffset>-36195</wp:posOffset>
                </wp:positionV>
                <wp:extent cx="118364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836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6pt,-2.8499pt" to="301.8pt,-2.8499pt" o:allowincell="f" strokecolor="#000000" strokeweight="0.398pt"/>
            </w:pict>
          </mc:Fallback>
        </mc:AlternateContent>
      </w:r>
    </w:p>
    <w:p>
      <w:pPr>
        <w:ind w:left="4660"/>
        <w:spacing w:after="0" w:line="201" w:lineRule="auto"/>
        <w:rPr>
          <w:sz w:val="20"/>
          <w:szCs w:val="20"/>
          <w:color w:val="auto"/>
        </w:rPr>
      </w:pPr>
      <w:r>
        <w:rPr>
          <w:rFonts w:ascii="Arial" w:cs="Arial" w:eastAsia="Arial" w:hAnsi="Arial"/>
          <w:sz w:val="24"/>
          <w:szCs w:val="24"/>
          <w:i w:val="1"/>
          <w:iCs w:val="1"/>
          <w:color w:val="auto"/>
        </w:rPr>
        <w:t>MF</w:t>
      </w:r>
      <w:r>
        <w:rPr>
          <w:rFonts w:ascii="Arial" w:cs="Arial" w:eastAsia="Arial" w:hAnsi="Arial"/>
          <w:sz w:val="24"/>
          <w:szCs w:val="24"/>
          <w:color w:val="auto"/>
        </w:rPr>
        <w:t xml:space="preserve"> +</w:t>
      </w:r>
      <w:r>
        <w:rPr>
          <w:rFonts w:ascii="Arial" w:cs="Arial" w:eastAsia="Arial" w:hAnsi="Arial"/>
          <w:sz w:val="24"/>
          <w:szCs w:val="24"/>
          <w:i w:val="1"/>
          <w:iCs w:val="1"/>
          <w:color w:val="auto"/>
        </w:rPr>
        <w:t>R</w:t>
      </w:r>
    </w:p>
    <w:p>
      <w:pPr>
        <w:spacing w:after="0" w:line="272" w:lineRule="exact"/>
        <w:rPr>
          <w:sz w:val="20"/>
          <w:szCs w:val="20"/>
          <w:color w:val="auto"/>
        </w:rPr>
      </w:pPr>
    </w:p>
    <w:p>
      <w:pPr>
        <w:jc w:val="both"/>
        <w:ind w:left="260" w:right="20" w:firstLine="850"/>
        <w:spacing w:after="0" w:line="423" w:lineRule="auto"/>
        <w:rPr>
          <w:sz w:val="20"/>
          <w:szCs w:val="20"/>
          <w:color w:val="auto"/>
        </w:rPr>
      </w:pPr>
      <w:r>
        <w:rPr>
          <w:rFonts w:ascii="Arial" w:cs="Arial" w:eastAsia="Arial" w:hAnsi="Arial"/>
          <w:sz w:val="24"/>
          <w:szCs w:val="24"/>
          <w:color w:val="auto"/>
        </w:rPr>
        <w:t>Outro indicador utilizado para avaliação da situação financeira das instituições bancárias é o obtido da relação entre as receitas de prestação de serviços (</w:t>
      </w:r>
      <w:r>
        <w:rPr>
          <w:rFonts w:ascii="Arial" w:cs="Arial" w:eastAsia="Arial" w:hAnsi="Arial"/>
          <w:sz w:val="24"/>
          <w:szCs w:val="24"/>
          <w:i w:val="1"/>
          <w:iCs w:val="1"/>
          <w:color w:val="auto"/>
        </w:rPr>
        <w:t>RS</w:t>
      </w:r>
      <w:r>
        <w:rPr>
          <w:rFonts w:ascii="Arial" w:cs="Arial" w:eastAsia="Arial" w:hAnsi="Arial"/>
          <w:sz w:val="24"/>
          <w:szCs w:val="24"/>
          <w:color w:val="auto"/>
        </w:rPr>
        <w:t>) e as despesas administrativas (</w:t>
      </w:r>
      <w:r>
        <w:rPr>
          <w:rFonts w:ascii="Arial" w:cs="Arial" w:eastAsia="Arial" w:hAnsi="Arial"/>
          <w:sz w:val="24"/>
          <w:szCs w:val="24"/>
          <w:i w:val="1"/>
          <w:iCs w:val="1"/>
          <w:color w:val="auto"/>
        </w:rPr>
        <w:t>DA</w:t>
      </w:r>
      <w:r>
        <w:rPr>
          <w:rFonts w:ascii="Arial" w:cs="Arial" w:eastAsia="Arial" w:hAnsi="Arial"/>
          <w:sz w:val="24"/>
          <w:szCs w:val="24"/>
          <w:color w:val="auto"/>
        </w:rPr>
        <w:t>) (DANTAS, 2012).</w:t>
      </w:r>
    </w:p>
    <w:p>
      <w:pPr>
        <w:jc w:val="right"/>
        <w:ind w:right="3780"/>
        <w:spacing w:after="0" w:line="184" w:lineRule="auto"/>
        <w:rPr>
          <w:sz w:val="20"/>
          <w:szCs w:val="20"/>
          <w:color w:val="auto"/>
        </w:rPr>
      </w:pPr>
      <w:r>
        <w:rPr>
          <w:rFonts w:ascii="Arial" w:cs="Arial" w:eastAsia="Arial" w:hAnsi="Arial"/>
          <w:sz w:val="31"/>
          <w:szCs w:val="31"/>
          <w:i w:val="1"/>
          <w:iCs w:val="1"/>
          <w:color w:val="auto"/>
          <w:vertAlign w:val="superscript"/>
        </w:rPr>
        <w:t>RP</w:t>
      </w:r>
      <w:r>
        <w:rPr>
          <w:rFonts w:ascii="Arial" w:cs="Arial" w:eastAsia="Arial" w:hAnsi="Arial"/>
          <w:sz w:val="30"/>
          <w:szCs w:val="30"/>
          <w:i w:val="1"/>
          <w:iCs w:val="1"/>
          <w:color w:val="auto"/>
          <w:vertAlign w:val="superscript"/>
        </w:rPr>
        <w:t xml:space="preserve"> </w:t>
      </w:r>
      <w:r>
        <w:rPr>
          <w:rFonts w:ascii="Arial" w:cs="Arial" w:eastAsia="Arial" w:hAnsi="Arial"/>
          <w:sz w:val="31"/>
          <w:szCs w:val="31"/>
          <w:i w:val="1"/>
          <w:iCs w:val="1"/>
          <w:color w:val="auto"/>
          <w:vertAlign w:val="superscript"/>
        </w:rPr>
        <w:t>S</w:t>
      </w:r>
    </w:p>
    <w:p>
      <w:pPr>
        <w:jc w:val="right"/>
        <w:ind w:right="4380"/>
        <w:spacing w:after="0" w:line="201" w:lineRule="auto"/>
        <w:rPr>
          <w:sz w:val="20"/>
          <w:szCs w:val="20"/>
          <w:color w:val="auto"/>
        </w:rPr>
      </w:pPr>
      <w:r>
        <w:rPr>
          <w:rFonts w:ascii="Arial" w:cs="Arial" w:eastAsia="Arial" w:hAnsi="Arial"/>
          <w:sz w:val="24"/>
          <w:szCs w:val="24"/>
          <w:i w:val="1"/>
          <w:iCs w:val="1"/>
          <w:color w:val="auto"/>
        </w:rPr>
        <w:t>RSDA</w:t>
      </w:r>
      <w:r>
        <w:rPr>
          <w:rFonts w:ascii="Arial" w:cs="Arial" w:eastAsia="Arial" w:hAnsi="Arial"/>
          <w:sz w:val="24"/>
          <w:szCs w:val="24"/>
          <w:color w:val="auto"/>
        </w:rPr>
        <w:t xml:space="preser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3204845</wp:posOffset>
                </wp:positionH>
                <wp:positionV relativeFrom="paragraph">
                  <wp:posOffset>-78105</wp:posOffset>
                </wp:positionV>
                <wp:extent cx="32893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89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35pt,-6.1499pt" to="278.25pt,-6.1499pt" o:allowincell="f" strokecolor="#000000" strokeweight="0.398pt"/>
            </w:pict>
          </mc:Fallback>
        </mc:AlternateContent>
      </w:r>
    </w:p>
    <w:p>
      <w:pPr>
        <w:spacing w:after="0" w:line="200" w:lineRule="exact"/>
        <w:rPr>
          <w:sz w:val="20"/>
          <w:szCs w:val="20"/>
          <w:color w:val="auto"/>
        </w:rPr>
      </w:pPr>
    </w:p>
    <w:p>
      <w:pPr>
        <w:spacing w:after="0" w:line="327" w:lineRule="exact"/>
        <w:rPr>
          <w:sz w:val="20"/>
          <w:szCs w:val="20"/>
          <w:color w:val="auto"/>
        </w:rPr>
      </w:pPr>
    </w:p>
    <w:p>
      <w:pPr>
        <w:jc w:val="both"/>
        <w:ind w:left="260" w:right="20" w:firstLine="858"/>
        <w:spacing w:after="0" w:line="421" w:lineRule="auto"/>
        <w:rPr>
          <w:sz w:val="20"/>
          <w:szCs w:val="20"/>
          <w:color w:val="auto"/>
        </w:rPr>
      </w:pPr>
      <w:r>
        <w:rPr>
          <w:rFonts w:ascii="Arial" w:cs="Arial" w:eastAsia="Arial" w:hAnsi="Arial"/>
          <w:sz w:val="24"/>
          <w:szCs w:val="24"/>
          <w:color w:val="auto"/>
        </w:rPr>
        <w:t>O retorno sobre o Ativo (</w:t>
      </w:r>
      <w:r>
        <w:rPr>
          <w:rFonts w:ascii="Arial" w:cs="Arial" w:eastAsia="Arial" w:hAnsi="Arial"/>
          <w:sz w:val="24"/>
          <w:szCs w:val="24"/>
          <w:i w:val="1"/>
          <w:iCs w:val="1"/>
          <w:color w:val="auto"/>
        </w:rPr>
        <w:t>ROA</w:t>
      </w:r>
      <w:r>
        <w:rPr>
          <w:rFonts w:ascii="Arial" w:cs="Arial" w:eastAsia="Arial" w:hAnsi="Arial"/>
          <w:sz w:val="24"/>
          <w:szCs w:val="24"/>
          <w:color w:val="auto"/>
        </w:rPr>
        <w:t>), mede a rentabilidade da instituição diante a totalidade dos seus ativos. O quanto para cada unidade monetária investida na instituição é convertida em lucro líquido, obtida da relação entre o lucro operacional (</w:t>
      </w:r>
      <w:r>
        <w:rPr>
          <w:rFonts w:ascii="Arial" w:cs="Arial" w:eastAsia="Arial" w:hAnsi="Arial"/>
          <w:sz w:val="24"/>
          <w:szCs w:val="24"/>
          <w:i w:val="1"/>
          <w:iCs w:val="1"/>
          <w:color w:val="auto"/>
        </w:rPr>
        <w:t>LO</w:t>
      </w:r>
      <w:r>
        <w:rPr>
          <w:rFonts w:ascii="Arial" w:cs="Arial" w:eastAsia="Arial" w:hAnsi="Arial"/>
          <w:sz w:val="24"/>
          <w:szCs w:val="24"/>
          <w:color w:val="auto"/>
        </w:rPr>
        <w:t>) e o ativo total (</w:t>
      </w:r>
      <w:r>
        <w:rPr>
          <w:rFonts w:ascii="Arial" w:cs="Arial" w:eastAsia="Arial" w:hAnsi="Arial"/>
          <w:sz w:val="24"/>
          <w:szCs w:val="24"/>
          <w:i w:val="1"/>
          <w:iCs w:val="1"/>
          <w:color w:val="auto"/>
        </w:rPr>
        <w:t>AT</w:t>
      </w:r>
      <w:r>
        <w:rPr>
          <w:rFonts w:ascii="Arial" w:cs="Arial" w:eastAsia="Arial" w:hAnsi="Arial"/>
          <w:sz w:val="24"/>
          <w:szCs w:val="24"/>
          <w:color w:val="auto"/>
        </w:rPr>
        <w:t xml:space="preserve"> ) (ASSAF NETO, 2020).</w:t>
      </w:r>
    </w:p>
    <w:p>
      <w:pPr>
        <w:spacing w:after="0" w:line="341"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ROA</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bscript"/>
        </w:rPr>
        <w:t>AT</w:t>
      </w:r>
      <w:r>
        <w:rPr>
          <w:rFonts w:ascii="Arial" w:cs="Arial" w:eastAsia="Arial" w:hAnsi="Arial"/>
          <w:sz w:val="47"/>
          <w:szCs w:val="47"/>
          <w:i w:val="1"/>
          <w:iCs w:val="1"/>
          <w:color w:val="auto"/>
          <w:vertAlign w:val="superscript"/>
        </w:rPr>
        <w:t>LO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3204845</wp:posOffset>
                </wp:positionH>
                <wp:positionV relativeFrom="paragraph">
                  <wp:posOffset>-165100</wp:posOffset>
                </wp:positionV>
                <wp:extent cx="21907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90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35pt,-13pt" to="269.6pt,-13pt" o:allowincell="f" strokecolor="#000000" strokeweight="0.398pt"/>
            </w:pict>
          </mc:Fallback>
        </mc:AlternateContent>
      </w:r>
    </w:p>
    <w:p>
      <w:pPr>
        <w:spacing w:after="0" w:line="280" w:lineRule="exact"/>
        <w:rPr>
          <w:sz w:val="20"/>
          <w:szCs w:val="20"/>
          <w:color w:val="auto"/>
        </w:rPr>
      </w:pPr>
    </w:p>
    <w:p>
      <w:pPr>
        <w:jc w:val="both"/>
        <w:ind w:left="260" w:right="20" w:firstLine="850"/>
        <w:spacing w:after="0" w:line="447" w:lineRule="auto"/>
        <w:rPr>
          <w:sz w:val="20"/>
          <w:szCs w:val="20"/>
          <w:color w:val="auto"/>
        </w:rPr>
      </w:pPr>
      <w:r>
        <w:rPr>
          <w:rFonts w:ascii="Arial" w:cs="Arial" w:eastAsia="Arial" w:hAnsi="Arial"/>
          <w:sz w:val="23"/>
          <w:szCs w:val="23"/>
          <w:color w:val="auto"/>
        </w:rPr>
        <w:t>O Retorno sobre o Patrimônio Liquido (</w:t>
      </w:r>
      <w:r>
        <w:rPr>
          <w:rFonts w:ascii="Arial" w:cs="Arial" w:eastAsia="Arial" w:hAnsi="Arial"/>
          <w:sz w:val="23"/>
          <w:szCs w:val="23"/>
          <w:i w:val="1"/>
          <w:iCs w:val="1"/>
          <w:color w:val="auto"/>
        </w:rPr>
        <w:t>ROE</w:t>
      </w:r>
      <w:r>
        <w:rPr>
          <w:rFonts w:ascii="Arial" w:cs="Arial" w:eastAsia="Arial" w:hAnsi="Arial"/>
          <w:sz w:val="23"/>
          <w:szCs w:val="23"/>
          <w:color w:val="auto"/>
        </w:rPr>
        <w:t>) mensura a relação entre o lucro líquido (</w:t>
      </w:r>
      <w:r>
        <w:rPr>
          <w:rFonts w:ascii="Arial" w:cs="Arial" w:eastAsia="Arial" w:hAnsi="Arial"/>
          <w:sz w:val="23"/>
          <w:szCs w:val="23"/>
          <w:i w:val="1"/>
          <w:iCs w:val="1"/>
          <w:color w:val="auto"/>
        </w:rPr>
        <w:t>LL</w:t>
      </w:r>
      <w:r>
        <w:rPr>
          <w:rFonts w:ascii="Arial" w:cs="Arial" w:eastAsia="Arial" w:hAnsi="Arial"/>
          <w:sz w:val="23"/>
          <w:szCs w:val="23"/>
          <w:color w:val="auto"/>
        </w:rPr>
        <w:t>) em o Patrimônio Líquido (</w:t>
      </w:r>
      <w:r>
        <w:rPr>
          <w:rFonts w:ascii="Arial" w:cs="Arial" w:eastAsia="Arial" w:hAnsi="Arial"/>
          <w:sz w:val="23"/>
          <w:szCs w:val="23"/>
          <w:i w:val="1"/>
          <w:iCs w:val="1"/>
          <w:color w:val="auto"/>
        </w:rPr>
        <w:t>P L</w:t>
      </w:r>
      <w:r>
        <w:rPr>
          <w:rFonts w:ascii="Arial" w:cs="Arial" w:eastAsia="Arial" w:hAnsi="Arial"/>
          <w:sz w:val="23"/>
          <w:szCs w:val="23"/>
          <w:color w:val="auto"/>
        </w:rPr>
        <w:t>) da instituição, configurando o retorno dos investimentos para os sócios e acionista, para cada unidade monetária com recursos</w:t>
      </w:r>
    </w:p>
    <w:p>
      <w:pPr>
        <w:sectPr>
          <w:pgSz w:w="11900" w:h="16838" w:orient="portrait"/>
          <w:cols w:equalWidth="0" w:num="1">
            <w:col w:w="9340"/>
          </w:cols>
          <w:pgMar w:left="1440" w:top="991" w:right="1126" w:bottom="391" w:gutter="0" w:footer="0" w:header="0"/>
        </w:sectPr>
      </w:pPr>
    </w:p>
    <w:p>
      <w:pPr>
        <w:ind w:left="9060"/>
        <w:spacing w:after="0"/>
        <w:rPr>
          <w:sz w:val="20"/>
          <w:szCs w:val="20"/>
          <w:color w:val="auto"/>
        </w:rPr>
      </w:pPr>
      <w:r>
        <w:rPr>
          <w:rFonts w:ascii="Arial" w:cs="Arial" w:eastAsia="Arial" w:hAnsi="Arial"/>
          <w:sz w:val="24"/>
          <w:szCs w:val="24"/>
          <w:color w:val="auto"/>
        </w:rPr>
        <w:t>30</w:t>
      </w:r>
    </w:p>
    <w:p>
      <w:pPr>
        <w:spacing w:after="0" w:line="200" w:lineRule="exact"/>
        <w:rPr>
          <w:sz w:val="20"/>
          <w:szCs w:val="20"/>
          <w:color w:val="auto"/>
        </w:rPr>
      </w:pPr>
    </w:p>
    <w:p>
      <w:pPr>
        <w:spacing w:after="0" w:line="246" w:lineRule="exact"/>
        <w:rPr>
          <w:sz w:val="20"/>
          <w:szCs w:val="20"/>
          <w:color w:val="auto"/>
        </w:rPr>
      </w:pPr>
    </w:p>
    <w:p>
      <w:pPr>
        <w:ind w:left="260"/>
        <w:spacing w:after="0"/>
        <w:rPr>
          <w:sz w:val="20"/>
          <w:szCs w:val="20"/>
          <w:color w:val="auto"/>
        </w:rPr>
      </w:pPr>
      <w:r>
        <w:rPr>
          <w:rFonts w:ascii="Arial" w:cs="Arial" w:eastAsia="Arial" w:hAnsi="Arial"/>
          <w:sz w:val="24"/>
          <w:szCs w:val="24"/>
          <w:color w:val="auto"/>
        </w:rPr>
        <w:t>próprios aplicados na empresa (ASSAF NETO, 2020).</w:t>
      </w:r>
    </w:p>
    <w:p>
      <w:pPr>
        <w:spacing w:after="0" w:line="189" w:lineRule="exact"/>
        <w:rPr>
          <w:sz w:val="20"/>
          <w:szCs w:val="20"/>
          <w:color w:val="auto"/>
        </w:rPr>
      </w:pPr>
    </w:p>
    <w:p>
      <w:pPr>
        <w:jc w:val="right"/>
        <w:ind w:right="4000"/>
        <w:spacing w:after="0"/>
        <w:rPr>
          <w:sz w:val="20"/>
          <w:szCs w:val="20"/>
          <w:color w:val="auto"/>
        </w:rPr>
      </w:pPr>
      <w:r>
        <w:rPr>
          <w:rFonts w:ascii="Arial" w:cs="Arial" w:eastAsia="Arial" w:hAnsi="Arial"/>
          <w:sz w:val="48"/>
          <w:szCs w:val="48"/>
          <w:i w:val="1"/>
          <w:iCs w:val="1"/>
          <w:color w:val="auto"/>
          <w:vertAlign w:val="superscript"/>
        </w:rPr>
        <w:t>LL</w:t>
      </w:r>
    </w:p>
    <w:p>
      <w:pPr>
        <w:jc w:val="right"/>
        <w:ind w:right="4420"/>
        <w:spacing w:after="0" w:line="200" w:lineRule="auto"/>
        <w:rPr>
          <w:sz w:val="20"/>
          <w:szCs w:val="20"/>
          <w:color w:val="auto"/>
        </w:rPr>
      </w:pPr>
      <w:r>
        <w:rPr>
          <w:rFonts w:ascii="Arial" w:cs="Arial" w:eastAsia="Arial" w:hAnsi="Arial"/>
          <w:sz w:val="24"/>
          <w:szCs w:val="24"/>
          <w:i w:val="1"/>
          <w:iCs w:val="1"/>
          <w:color w:val="auto"/>
        </w:rPr>
        <w:t>ROE</w:t>
      </w:r>
      <w:r>
        <w:rPr>
          <w:rFonts w:ascii="Arial" w:cs="Arial" w:eastAsia="Arial" w:hAnsi="Arial"/>
          <w:sz w:val="24"/>
          <w:szCs w:val="24"/>
          <w:color w:val="auto"/>
        </w:rPr>
        <w:t xml:space="preser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3209290</wp:posOffset>
                </wp:positionH>
                <wp:positionV relativeFrom="paragraph">
                  <wp:posOffset>-78105</wp:posOffset>
                </wp:positionV>
                <wp:extent cx="21780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8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7pt,-6.1499pt" to="269.85pt,-6.1499pt" o:allowincell="f" strokecolor="#000000" strokeweight="0.398pt"/>
            </w:pict>
          </mc:Fallback>
        </mc:AlternateContent>
      </w:r>
    </w:p>
    <w:p>
      <w:pPr>
        <w:spacing w:after="0" w:line="388" w:lineRule="exact"/>
        <w:rPr>
          <w:sz w:val="20"/>
          <w:szCs w:val="20"/>
          <w:color w:val="auto"/>
        </w:rPr>
      </w:pPr>
    </w:p>
    <w:p>
      <w:pPr>
        <w:jc w:val="both"/>
        <w:ind w:left="260" w:right="60" w:firstLine="850"/>
        <w:spacing w:after="0" w:line="421" w:lineRule="auto"/>
        <w:rPr>
          <w:sz w:val="20"/>
          <w:szCs w:val="20"/>
          <w:color w:val="auto"/>
        </w:rPr>
      </w:pPr>
      <w:r>
        <w:rPr>
          <w:rFonts w:ascii="Arial" w:cs="Arial" w:eastAsia="Arial" w:hAnsi="Arial"/>
          <w:sz w:val="24"/>
          <w:szCs w:val="24"/>
          <w:color w:val="auto"/>
        </w:rPr>
        <w:t>A margem EBITDA (</w:t>
      </w:r>
      <w:r>
        <w:rPr>
          <w:rFonts w:ascii="Arial" w:cs="Arial" w:eastAsia="Arial" w:hAnsi="Arial"/>
          <w:sz w:val="24"/>
          <w:szCs w:val="24"/>
          <w:i w:val="1"/>
          <w:iCs w:val="1"/>
          <w:color w:val="auto"/>
        </w:rPr>
        <w:t>M EB</w:t>
      </w:r>
      <w:r>
        <w:rPr>
          <w:rFonts w:ascii="Arial" w:cs="Arial" w:eastAsia="Arial" w:hAnsi="Arial"/>
          <w:sz w:val="24"/>
          <w:szCs w:val="24"/>
          <w:color w:val="auto"/>
        </w:rPr>
        <w:t>) é obtida da relação entre o EBITDA — lucro antes dos juros, depreciação, amortização e impostos sobre a renda, configurando o lucro operacional da instituição — e a Receita Líquida (</w:t>
      </w:r>
      <w:r>
        <w:rPr>
          <w:rFonts w:ascii="Arial" w:cs="Arial" w:eastAsia="Arial" w:hAnsi="Arial"/>
          <w:sz w:val="24"/>
          <w:szCs w:val="24"/>
          <w:i w:val="1"/>
          <w:iCs w:val="1"/>
          <w:color w:val="auto"/>
        </w:rPr>
        <w:t>RL</w:t>
      </w:r>
      <w:r>
        <w:rPr>
          <w:rFonts w:ascii="Arial" w:cs="Arial" w:eastAsia="Arial" w:hAnsi="Arial"/>
          <w:sz w:val="24"/>
          <w:szCs w:val="24"/>
          <w:color w:val="auto"/>
        </w:rPr>
        <w:t>), revelando a capacidade da instituição na geração de caixa (ASSAF NETO, 2020).</w:t>
      </w:r>
    </w:p>
    <w:p>
      <w:pPr>
        <w:ind w:left="4740"/>
        <w:spacing w:after="0" w:line="181" w:lineRule="auto"/>
        <w:rPr>
          <w:sz w:val="20"/>
          <w:szCs w:val="20"/>
          <w:color w:val="auto"/>
        </w:rPr>
      </w:pPr>
      <w:r>
        <w:rPr>
          <w:rFonts w:ascii="Arial" w:cs="Arial" w:eastAsia="Arial" w:hAnsi="Arial"/>
          <w:sz w:val="26"/>
          <w:szCs w:val="26"/>
          <w:i w:val="1"/>
          <w:iCs w:val="1"/>
          <w:color w:val="auto"/>
          <w:vertAlign w:val="superscript"/>
        </w:rPr>
        <w:t>EBIT DA</w:t>
      </w:r>
      <w:r>
        <w:rPr>
          <w:rFonts w:ascii="Arial" w:cs="Arial" w:eastAsia="Arial" w:hAnsi="Arial"/>
          <w:sz w:val="12"/>
          <w:szCs w:val="12"/>
          <w:i w:val="1"/>
          <w:iCs w:val="1"/>
          <w:color w:val="auto"/>
        </w:rPr>
        <w:t>i</w:t>
      </w:r>
      <w:r>
        <w:rPr>
          <w:rFonts w:ascii="Arial" w:cs="Arial" w:eastAsia="Arial" w:hAnsi="Arial"/>
          <w:sz w:val="26"/>
          <w:szCs w:val="26"/>
          <w:i w:val="1"/>
          <w:iCs w:val="1"/>
          <w:color w:val="auto"/>
          <w:vertAlign w:val="superscript"/>
        </w:rPr>
        <w:t>t</w:t>
      </w:r>
    </w:p>
    <w:p>
      <w:pPr>
        <w:ind w:left="3620"/>
        <w:spacing w:after="0" w:line="184" w:lineRule="auto"/>
        <w:rPr>
          <w:sz w:val="20"/>
          <w:szCs w:val="20"/>
          <w:color w:val="auto"/>
        </w:rPr>
      </w:pPr>
      <w:r>
        <w:rPr>
          <w:rFonts w:ascii="Arial" w:cs="Arial" w:eastAsia="Arial" w:hAnsi="Arial"/>
          <w:sz w:val="26"/>
          <w:szCs w:val="26"/>
          <w:i w:val="1"/>
          <w:iCs w:val="1"/>
          <w:color w:val="auto"/>
          <w:vertAlign w:val="subscript"/>
        </w:rPr>
        <w:t>M EB</w:t>
      </w:r>
      <w:r>
        <w:rPr>
          <w:rFonts w:ascii="Arial" w:cs="Arial" w:eastAsia="Arial" w:hAnsi="Arial"/>
          <w:sz w:val="19"/>
          <w:szCs w:val="19"/>
          <w:i w:val="1"/>
          <w:iCs w:val="1"/>
          <w:color w:val="auto"/>
          <w:vertAlign w:val="subscript"/>
        </w:rPr>
        <w:t>i</w:t>
      </w:r>
      <w:r>
        <w:rPr>
          <w:rFonts w:ascii="Arial" w:cs="Arial" w:eastAsia="Arial" w:hAnsi="Arial"/>
          <w:sz w:val="26"/>
          <w:szCs w:val="26"/>
          <w:i w:val="1"/>
          <w:iCs w:val="1"/>
          <w:color w:val="auto"/>
          <w:vertAlign w:val="subscript"/>
        </w:rPr>
        <w:t>t</w:t>
      </w:r>
      <w:r>
        <w:rPr>
          <w:rFonts w:ascii="Arial" w:cs="Arial" w:eastAsia="Arial" w:hAnsi="Arial"/>
          <w:sz w:val="26"/>
          <w:szCs w:val="26"/>
          <w:color w:val="auto"/>
          <w:vertAlign w:val="subscript"/>
        </w:rPr>
        <w:t xml:space="preser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3006725</wp:posOffset>
                </wp:positionH>
                <wp:positionV relativeFrom="paragraph">
                  <wp:posOffset>-77470</wp:posOffset>
                </wp:positionV>
                <wp:extent cx="76009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0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75pt,-6.0999pt" to="296.6pt,-6.0999pt" o:allowincell="f" strokecolor="#000000" strokeweight="0.398pt"/>
            </w:pict>
          </mc:Fallback>
        </mc:AlternateContent>
      </w:r>
    </w:p>
    <w:p>
      <w:pPr>
        <w:spacing w:after="0" w:line="200" w:lineRule="exact"/>
        <w:rPr>
          <w:sz w:val="20"/>
          <w:szCs w:val="20"/>
          <w:color w:val="auto"/>
        </w:rPr>
      </w:pPr>
    </w:p>
    <w:p>
      <w:pPr>
        <w:spacing w:after="0" w:line="271" w:lineRule="exact"/>
        <w:rPr>
          <w:sz w:val="20"/>
          <w:szCs w:val="20"/>
          <w:color w:val="auto"/>
        </w:rPr>
      </w:pPr>
    </w:p>
    <w:p>
      <w:pPr>
        <w:jc w:val="both"/>
        <w:ind w:left="260" w:right="60" w:firstLine="850"/>
        <w:spacing w:after="0" w:line="421" w:lineRule="auto"/>
        <w:rPr>
          <w:sz w:val="20"/>
          <w:szCs w:val="20"/>
          <w:color w:val="auto"/>
        </w:rPr>
      </w:pPr>
      <w:r>
        <w:rPr>
          <w:rFonts w:ascii="Arial" w:cs="Arial" w:eastAsia="Arial" w:hAnsi="Arial"/>
          <w:sz w:val="24"/>
          <w:szCs w:val="24"/>
          <w:color w:val="auto"/>
        </w:rPr>
        <w:t>A Margem Líquida (</w:t>
      </w:r>
      <w:r>
        <w:rPr>
          <w:rFonts w:ascii="Arial" w:cs="Arial" w:eastAsia="Arial" w:hAnsi="Arial"/>
          <w:sz w:val="24"/>
          <w:szCs w:val="24"/>
          <w:i w:val="1"/>
          <w:iCs w:val="1"/>
          <w:color w:val="auto"/>
        </w:rPr>
        <w:t>M L</w:t>
      </w:r>
      <w:r>
        <w:rPr>
          <w:rFonts w:ascii="Arial" w:cs="Arial" w:eastAsia="Arial" w:hAnsi="Arial"/>
          <w:sz w:val="24"/>
          <w:szCs w:val="24"/>
          <w:color w:val="auto"/>
        </w:rPr>
        <w:t>) é um indicador que demonstra a parte de cada unidade monetária das intermediações financeiras que foi convertida em Lucro Líquido, sendo obtida da relação entre o lucro líquido (</w:t>
      </w:r>
      <w:r>
        <w:rPr>
          <w:rFonts w:ascii="Arial" w:cs="Arial" w:eastAsia="Arial" w:hAnsi="Arial"/>
          <w:sz w:val="24"/>
          <w:szCs w:val="24"/>
          <w:i w:val="1"/>
          <w:iCs w:val="1"/>
          <w:color w:val="auto"/>
        </w:rPr>
        <w:t>LL</w:t>
      </w:r>
      <w:r>
        <w:rPr>
          <w:rFonts w:ascii="Arial" w:cs="Arial" w:eastAsia="Arial" w:hAnsi="Arial"/>
          <w:sz w:val="24"/>
          <w:szCs w:val="24"/>
          <w:color w:val="auto"/>
        </w:rPr>
        <w:t>) e o resultado líquido da intermediação financeira (</w:t>
      </w:r>
      <w:r>
        <w:rPr>
          <w:rFonts w:ascii="Arial" w:cs="Arial" w:eastAsia="Arial" w:hAnsi="Arial"/>
          <w:sz w:val="24"/>
          <w:szCs w:val="24"/>
          <w:i w:val="1"/>
          <w:iCs w:val="1"/>
          <w:color w:val="auto"/>
        </w:rPr>
        <w:t>RLIF</w:t>
      </w:r>
      <w:r>
        <w:rPr>
          <w:rFonts w:ascii="Arial" w:cs="Arial" w:eastAsia="Arial" w:hAnsi="Arial"/>
          <w:sz w:val="24"/>
          <w:szCs w:val="24"/>
          <w:color w:val="auto"/>
        </w:rPr>
        <w:t xml:space="preserve"> ) (ASSAF NETO, 2020).</w:t>
      </w:r>
    </w:p>
    <w:p>
      <w:pPr>
        <w:spacing w:after="0" w:line="52" w:lineRule="exact"/>
        <w:rPr>
          <w:sz w:val="20"/>
          <w:szCs w:val="20"/>
          <w:color w:val="auto"/>
        </w:rPr>
      </w:pPr>
    </w:p>
    <w:p>
      <w:pPr>
        <w:jc w:val="center"/>
        <w:ind w:right="-159"/>
        <w:spacing w:after="0"/>
        <w:rPr>
          <w:sz w:val="20"/>
          <w:szCs w:val="20"/>
          <w:color w:val="auto"/>
        </w:rPr>
      </w:pPr>
      <w:r>
        <w:rPr>
          <w:rFonts w:ascii="Arial" w:cs="Arial" w:eastAsia="Arial" w:hAnsi="Arial"/>
          <w:sz w:val="24"/>
          <w:szCs w:val="24"/>
          <w:i w:val="1"/>
          <w:iCs w:val="1"/>
          <w:color w:val="auto"/>
        </w:rPr>
        <w:t>ML</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bscript"/>
        </w:rPr>
        <w:t>RLIF</w:t>
      </w:r>
      <w:r>
        <w:rPr>
          <w:rFonts w:ascii="Arial" w:cs="Arial" w:eastAsia="Arial" w:hAnsi="Arial"/>
          <w:sz w:val="47"/>
          <w:szCs w:val="47"/>
          <w:i w:val="1"/>
          <w:iCs w:val="1"/>
          <w:color w:val="auto"/>
          <w:vertAlign w:val="superscript"/>
        </w:rPr>
        <w:t>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3068320</wp:posOffset>
                </wp:positionH>
                <wp:positionV relativeFrom="paragraph">
                  <wp:posOffset>-165100</wp:posOffset>
                </wp:positionV>
                <wp:extent cx="40957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95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6pt,-13pt" to="273.85pt,-13pt" o:allowincell="f" strokecolor="#000000" strokeweight="0.398pt"/>
            </w:pict>
          </mc:Fallback>
        </mc:AlternateContent>
      </w:r>
    </w:p>
    <w:p>
      <w:pPr>
        <w:spacing w:after="0" w:line="333"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O grau de alavancagem financeira (</w:t>
      </w:r>
      <w:r>
        <w:rPr>
          <w:rFonts w:ascii="Arial" w:cs="Arial" w:eastAsia="Arial" w:hAnsi="Arial"/>
          <w:sz w:val="24"/>
          <w:szCs w:val="24"/>
          <w:i w:val="1"/>
          <w:iCs w:val="1"/>
          <w:color w:val="auto"/>
        </w:rPr>
        <w:t>GAF</w:t>
      </w:r>
      <w:r>
        <w:rPr>
          <w:rFonts w:ascii="Arial" w:cs="Arial" w:eastAsia="Arial" w:hAnsi="Arial"/>
          <w:sz w:val="24"/>
          <w:szCs w:val="24"/>
          <w:color w:val="auto"/>
        </w:rPr>
        <w:t xml:space="preserve"> ) captura o efeito da tomada de recur-sos de terceiros a um dado custo, alocados para ativos com distintas taxas de retornos. E mostra como se dá o aumento do lucro líquido através da estrutura de financiamento, definindo a parcela do retorno melgor ou pior se estivessem financiando a operações totalmente com capital próprio (ASSAF NETO, 2020).</w:t>
      </w:r>
    </w:p>
    <w:p>
      <w:pPr>
        <w:jc w:val="right"/>
        <w:ind w:right="3900"/>
        <w:spacing w:after="0" w:line="185" w:lineRule="auto"/>
        <w:rPr>
          <w:sz w:val="20"/>
          <w:szCs w:val="20"/>
          <w:color w:val="auto"/>
        </w:rPr>
      </w:pPr>
      <w:r>
        <w:rPr>
          <w:rFonts w:ascii="Arial" w:cs="Arial" w:eastAsia="Arial" w:hAnsi="Arial"/>
          <w:sz w:val="26"/>
          <w:szCs w:val="26"/>
          <w:i w:val="1"/>
          <w:iCs w:val="1"/>
          <w:color w:val="auto"/>
          <w:vertAlign w:val="superscript"/>
        </w:rPr>
        <w:t>RP L</w:t>
      </w:r>
    </w:p>
    <w:p>
      <w:pPr>
        <w:jc w:val="right"/>
        <w:ind w:right="4520"/>
        <w:spacing w:after="0" w:line="200" w:lineRule="auto"/>
        <w:rPr>
          <w:sz w:val="20"/>
          <w:szCs w:val="20"/>
          <w:color w:val="auto"/>
        </w:rPr>
      </w:pPr>
      <w:r>
        <w:rPr>
          <w:rFonts w:ascii="Arial" w:cs="Arial" w:eastAsia="Arial" w:hAnsi="Arial"/>
          <w:sz w:val="24"/>
          <w:szCs w:val="24"/>
          <w:i w:val="1"/>
          <w:iCs w:val="1"/>
          <w:color w:val="auto"/>
        </w:rPr>
        <w:t>GAF</w:t>
      </w:r>
      <w:r>
        <w:rPr>
          <w:rFonts w:ascii="Arial" w:cs="Arial" w:eastAsia="Arial" w:hAnsi="Arial"/>
          <w:sz w:val="24"/>
          <w:szCs w:val="24"/>
          <w:color w:val="auto"/>
        </w:rPr>
        <w:t xml:space="preser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3143885</wp:posOffset>
                </wp:positionH>
                <wp:positionV relativeFrom="paragraph">
                  <wp:posOffset>-77470</wp:posOffset>
                </wp:positionV>
                <wp:extent cx="34353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35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55pt,-6.0999pt" to="274.6pt,-6.0999pt" o:allowincell="f" strokecolor="#000000" strokeweight="0.398pt"/>
            </w:pict>
          </mc:Fallback>
        </mc:AlternateContent>
      </w:r>
    </w:p>
    <w:p>
      <w:pPr>
        <w:spacing w:after="0" w:line="200" w:lineRule="exact"/>
        <w:rPr>
          <w:sz w:val="20"/>
          <w:szCs w:val="20"/>
          <w:color w:val="auto"/>
        </w:rPr>
      </w:pPr>
    </w:p>
    <w:p>
      <w:pPr>
        <w:spacing w:after="0" w:line="270" w:lineRule="exact"/>
        <w:rPr>
          <w:sz w:val="20"/>
          <w:szCs w:val="20"/>
          <w:color w:val="auto"/>
        </w:rPr>
      </w:pPr>
    </w:p>
    <w:p>
      <w:pPr>
        <w:jc w:val="both"/>
        <w:ind w:left="260" w:right="40" w:firstLine="858"/>
        <w:spacing w:after="0" w:line="375" w:lineRule="auto"/>
        <w:rPr>
          <w:sz w:val="20"/>
          <w:szCs w:val="20"/>
          <w:color w:val="auto"/>
        </w:rPr>
      </w:pPr>
      <w:r>
        <w:rPr>
          <w:rFonts w:ascii="Arial" w:cs="Arial" w:eastAsia="Arial" w:hAnsi="Arial"/>
          <w:sz w:val="24"/>
          <w:szCs w:val="24"/>
          <w:color w:val="auto"/>
        </w:rPr>
        <w:t>O risco de crédito das instituições bancárias pode ser obtido por meio da relação entre o saldo da Provisão para Créditos de Liquidação Duvidosa (</w:t>
      </w:r>
      <w:r>
        <w:rPr>
          <w:rFonts w:ascii="Arial" w:cs="Arial" w:eastAsia="Arial" w:hAnsi="Arial"/>
          <w:sz w:val="24"/>
          <w:szCs w:val="24"/>
          <w:i w:val="1"/>
          <w:iCs w:val="1"/>
          <w:color w:val="auto"/>
        </w:rPr>
        <w:t>P CLD</w:t>
      </w:r>
      <w:r>
        <w:rPr>
          <w:rFonts w:ascii="Arial" w:cs="Arial" w:eastAsia="Arial" w:hAnsi="Arial"/>
          <w:sz w:val="24"/>
          <w:szCs w:val="24"/>
          <w:color w:val="auto"/>
        </w:rPr>
        <w:t>) e do total da carteira de crédito (</w:t>
      </w:r>
      <w:r>
        <w:rPr>
          <w:rFonts w:ascii="Arial" w:cs="Arial" w:eastAsia="Arial" w:hAnsi="Arial"/>
          <w:sz w:val="24"/>
          <w:szCs w:val="24"/>
          <w:i w:val="1"/>
          <w:iCs w:val="1"/>
          <w:color w:val="auto"/>
        </w:rPr>
        <w:t>OP CR</w:t>
      </w:r>
      <w:r>
        <w:rPr>
          <w:rFonts w:ascii="Arial" w:cs="Arial" w:eastAsia="Arial" w:hAnsi="Arial"/>
          <w:sz w:val="24"/>
          <w:szCs w:val="24"/>
          <w:color w:val="auto"/>
        </w:rPr>
        <w:t>), obtidos através das contas 16900008 e 16000001 (DANTAS, 2012)</w:t>
      </w:r>
    </w:p>
    <w:p>
      <w:pPr>
        <w:jc w:val="right"/>
        <w:ind w:right="3900"/>
        <w:spacing w:after="0" w:line="183" w:lineRule="auto"/>
        <w:rPr>
          <w:sz w:val="20"/>
          <w:szCs w:val="20"/>
          <w:color w:val="auto"/>
        </w:rPr>
      </w:pPr>
      <w:r>
        <w:rPr>
          <w:rFonts w:ascii="Arial" w:cs="Arial" w:eastAsia="Arial" w:hAnsi="Arial"/>
          <w:sz w:val="47"/>
          <w:szCs w:val="47"/>
          <w:i w:val="1"/>
          <w:iCs w:val="1"/>
          <w:color w:val="auto"/>
          <w:vertAlign w:val="subscript"/>
        </w:rPr>
        <w:t>RC</w:t>
      </w:r>
      <w:r>
        <w:rPr>
          <w:rFonts w:ascii="Arial" w:cs="Arial" w:eastAsia="Arial" w:hAnsi="Arial"/>
          <w:sz w:val="46"/>
          <w:szCs w:val="46"/>
          <w:color w:val="auto"/>
          <w:vertAlign w:val="subscript"/>
        </w:rPr>
        <w:t xml:space="preserve"> =</w:t>
      </w:r>
      <w:r>
        <w:rPr>
          <w:rFonts w:ascii="Arial" w:cs="Arial" w:eastAsia="Arial" w:hAnsi="Arial"/>
          <w:sz w:val="47"/>
          <w:szCs w:val="47"/>
          <w:color w:val="auto"/>
          <w:vertAlign w:val="subscript"/>
        </w:rPr>
        <w:t xml:space="preserve"> </w:t>
      </w:r>
      <w:r>
        <w:rPr>
          <w:rFonts w:ascii="Arial" w:cs="Arial" w:eastAsia="Arial" w:hAnsi="Arial"/>
          <w:sz w:val="47"/>
          <w:szCs w:val="47"/>
          <w:i w:val="1"/>
          <w:iCs w:val="1"/>
          <w:color w:val="auto"/>
        </w:rPr>
        <w:t>PCLD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3020695</wp:posOffset>
                </wp:positionH>
                <wp:positionV relativeFrom="paragraph">
                  <wp:posOffset>-36195</wp:posOffset>
                </wp:positionV>
                <wp:extent cx="47117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7.85pt,-2.8499pt" to="274.95pt,-2.8499pt" o:allowincell="f" strokecolor="#000000" strokeweight="0.398pt"/>
            </w:pict>
          </mc:Fallback>
        </mc:AlternateContent>
      </w:r>
    </w:p>
    <w:p>
      <w:pPr>
        <w:jc w:val="right"/>
        <w:ind w:right="3900"/>
        <w:spacing w:after="0" w:line="194" w:lineRule="auto"/>
        <w:rPr>
          <w:sz w:val="20"/>
          <w:szCs w:val="20"/>
          <w:color w:val="auto"/>
        </w:rPr>
      </w:pPr>
      <w:r>
        <w:rPr>
          <w:rFonts w:ascii="Arial" w:cs="Arial" w:eastAsia="Arial" w:hAnsi="Arial"/>
          <w:sz w:val="24"/>
          <w:szCs w:val="24"/>
          <w:i w:val="1"/>
          <w:iCs w:val="1"/>
          <w:color w:val="auto"/>
        </w:rPr>
        <w:t>OPCR</w:t>
      </w:r>
    </w:p>
    <w:p>
      <w:pPr>
        <w:spacing w:after="0" w:line="251" w:lineRule="exact"/>
        <w:rPr>
          <w:sz w:val="20"/>
          <w:szCs w:val="20"/>
          <w:color w:val="auto"/>
        </w:rPr>
      </w:pPr>
    </w:p>
    <w:p>
      <w:pPr>
        <w:ind w:left="260" w:right="60" w:firstLine="850"/>
        <w:spacing w:after="0" w:line="431" w:lineRule="auto"/>
        <w:rPr>
          <w:sz w:val="20"/>
          <w:szCs w:val="20"/>
          <w:color w:val="auto"/>
        </w:rPr>
      </w:pPr>
      <w:r>
        <w:rPr>
          <w:rFonts w:ascii="Arial" w:cs="Arial" w:eastAsia="Arial" w:hAnsi="Arial"/>
          <w:sz w:val="24"/>
          <w:szCs w:val="24"/>
          <w:color w:val="auto"/>
        </w:rPr>
        <w:t>A participação de mercado (</w:t>
      </w:r>
      <w:r>
        <w:rPr>
          <w:rFonts w:ascii="Arial" w:cs="Arial" w:eastAsia="Arial" w:hAnsi="Arial"/>
          <w:sz w:val="24"/>
          <w:szCs w:val="24"/>
          <w:i w:val="1"/>
          <w:iCs w:val="1"/>
          <w:color w:val="auto"/>
        </w:rPr>
        <w:t>M S</w:t>
      </w:r>
      <w:r>
        <w:rPr>
          <w:rFonts w:ascii="Arial" w:cs="Arial" w:eastAsia="Arial" w:hAnsi="Arial"/>
          <w:sz w:val="24"/>
          <w:szCs w:val="24"/>
          <w:color w:val="auto"/>
        </w:rPr>
        <w:t>) de cada instituição pode ser mensurada a partir da relação entre suas operações de crédito {</w:t>
      </w:r>
      <w:r>
        <w:rPr>
          <w:rFonts w:ascii="Arial" w:cs="Arial" w:eastAsia="Arial" w:hAnsi="Arial"/>
          <w:sz w:val="24"/>
          <w:szCs w:val="24"/>
          <w:i w:val="1"/>
          <w:iCs w:val="1"/>
          <w:color w:val="auto"/>
        </w:rPr>
        <w:t>OP CR</w:t>
      </w:r>
      <w:r>
        <w:rPr>
          <w:rFonts w:ascii="Arial" w:cs="Arial" w:eastAsia="Arial" w:hAnsi="Arial"/>
          <w:sz w:val="24"/>
          <w:szCs w:val="24"/>
          <w:color w:val="auto"/>
        </w:rPr>
        <w:t>} no total das operações de</w:t>
      </w:r>
    </w:p>
    <w:p>
      <w:pPr>
        <w:sectPr>
          <w:pgSz w:w="11900" w:h="16838" w:orient="portrait"/>
          <w:cols w:equalWidth="0" w:num="1">
            <w:col w:w="9380"/>
          </w:cols>
          <w:pgMar w:left="1440" w:top="991" w:right="1086" w:bottom="179" w:gutter="0" w:footer="0" w:header="0"/>
        </w:sectPr>
      </w:pPr>
    </w:p>
    <w:p>
      <w:pPr>
        <w:ind w:left="9060"/>
        <w:spacing w:after="0"/>
        <w:rPr>
          <w:sz w:val="20"/>
          <w:szCs w:val="20"/>
          <w:color w:val="auto"/>
        </w:rPr>
      </w:pPr>
      <w:r>
        <w:rPr>
          <w:rFonts w:ascii="Arial" w:cs="Arial" w:eastAsia="Arial" w:hAnsi="Arial"/>
          <w:sz w:val="24"/>
          <w:szCs w:val="24"/>
          <w:color w:val="auto"/>
        </w:rPr>
        <w:t>31</w:t>
      </w:r>
    </w:p>
    <w:p>
      <w:pPr>
        <w:spacing w:after="0" w:line="200" w:lineRule="exact"/>
        <w:rPr>
          <w:sz w:val="20"/>
          <w:szCs w:val="20"/>
          <w:color w:val="auto"/>
        </w:rPr>
      </w:pPr>
    </w:p>
    <w:p>
      <w:pPr>
        <w:spacing w:after="0" w:line="246" w:lineRule="exact"/>
        <w:rPr>
          <w:sz w:val="20"/>
          <w:szCs w:val="20"/>
          <w:color w:val="auto"/>
        </w:rPr>
      </w:pPr>
    </w:p>
    <w:p>
      <w:pPr>
        <w:ind w:left="260"/>
        <w:spacing w:after="0"/>
        <w:rPr>
          <w:sz w:val="20"/>
          <w:szCs w:val="20"/>
          <w:color w:val="auto"/>
        </w:rPr>
      </w:pPr>
      <w:r>
        <w:rPr>
          <w:rFonts w:ascii="Arial" w:cs="Arial" w:eastAsia="Arial" w:hAnsi="Arial"/>
          <w:sz w:val="24"/>
          <w:szCs w:val="24"/>
          <w:color w:val="auto"/>
        </w:rPr>
        <w:t>crédito do mercado, sendo obtido através da conta 1600001 (DANTAS, 2012).</w:t>
      </w:r>
    </w:p>
    <w:p>
      <w:pPr>
        <w:spacing w:after="0" w:line="187" w:lineRule="exact"/>
        <w:rPr>
          <w:sz w:val="20"/>
          <w:szCs w:val="20"/>
          <w:color w:val="auto"/>
        </w:rPr>
      </w:pPr>
    </w:p>
    <w:p>
      <w:pPr>
        <w:ind w:left="4780"/>
        <w:spacing w:after="0"/>
        <w:rPr>
          <w:sz w:val="20"/>
          <w:szCs w:val="20"/>
          <w:color w:val="auto"/>
        </w:rPr>
      </w:pPr>
      <w:r>
        <w:rPr>
          <w:rFonts w:ascii="Arial" w:cs="Arial" w:eastAsia="Arial" w:hAnsi="Arial"/>
          <w:sz w:val="24"/>
          <w:szCs w:val="24"/>
          <w:i w:val="1"/>
          <w:iCs w:val="1"/>
          <w:color w:val="auto"/>
        </w:rPr>
        <w:t>OPCR</w:t>
      </w:r>
    </w:p>
    <w:p>
      <w:pPr>
        <w:ind w:left="3860"/>
        <w:spacing w:after="0"/>
        <w:rPr>
          <w:sz w:val="20"/>
          <w:szCs w:val="20"/>
          <w:color w:val="auto"/>
        </w:rPr>
      </w:pPr>
      <w:r>
        <w:rPr>
          <w:rFonts w:ascii="Arial" w:cs="Arial" w:eastAsia="Arial" w:hAnsi="Arial"/>
          <w:sz w:val="48"/>
          <w:szCs w:val="48"/>
          <w:i w:val="1"/>
          <w:iCs w:val="1"/>
          <w:color w:val="auto"/>
          <w:vertAlign w:val="superscript"/>
        </w:rPr>
        <w:t>M</w:t>
      </w:r>
      <w:r>
        <w:rPr>
          <w:rFonts w:ascii="Arial" w:cs="Arial" w:eastAsia="Arial" w:hAnsi="Arial"/>
          <w:sz w:val="47"/>
          <w:szCs w:val="47"/>
          <w:i w:val="1"/>
          <w:iCs w:val="1"/>
          <w:color w:val="auto"/>
          <w:vertAlign w:val="superscript"/>
        </w:rPr>
        <w:t xml:space="preserve"> </w:t>
      </w:r>
      <w:r>
        <w:rPr>
          <w:rFonts w:ascii="Arial" w:cs="Arial" w:eastAsia="Arial" w:hAnsi="Arial"/>
          <w:sz w:val="48"/>
          <w:szCs w:val="48"/>
          <w:i w:val="1"/>
          <w:iCs w:val="1"/>
          <w:color w:val="auto"/>
          <w:vertAlign w:val="superscript"/>
        </w:rPr>
        <w:t>S</w:t>
      </w:r>
      <w:r>
        <w:rPr>
          <w:rFonts w:ascii="Arial" w:cs="Arial" w:eastAsia="Arial" w:hAnsi="Arial"/>
          <w:sz w:val="47"/>
          <w:szCs w:val="47"/>
          <w:color w:val="auto"/>
          <w:vertAlign w:val="superscript"/>
        </w:rPr>
        <w:t xml:space="preserve"> =</w:t>
      </w:r>
      <w:r>
        <w:rPr>
          <w:rFonts w:ascii="Arial" w:cs="Arial" w:eastAsia="Arial" w:hAnsi="Arial"/>
          <w:sz w:val="19"/>
          <w:szCs w:val="19"/>
          <w:color w:val="auto"/>
          <w:vertAlign w:val="superscript"/>
        </w:rPr>
        <w:t xml:space="preserve"> </w:t>
      </w:r>
      <w:r>
        <w:rPr>
          <w:rFonts w:ascii="Arial" w:cs="Arial" w:eastAsia="Arial" w:hAnsi="Arial"/>
          <w:sz w:val="19"/>
          <w:szCs w:val="19"/>
          <w:color w:val="auto"/>
        </w:rPr>
        <w:t>P</w:t>
      </w:r>
      <w:r>
        <w:rPr>
          <w:rFonts w:ascii="Arial" w:cs="Arial" w:eastAsia="Arial" w:hAnsi="Arial"/>
          <w:sz w:val="15"/>
          <w:szCs w:val="15"/>
          <w:i w:val="1"/>
          <w:iCs w:val="1"/>
          <w:color w:val="auto"/>
        </w:rPr>
        <w:t>n</w:t>
      </w:r>
      <w:r>
        <w:rPr>
          <w:rFonts w:ascii="Arial" w:cs="Arial" w:eastAsia="Arial" w:hAnsi="Arial"/>
          <w:sz w:val="31"/>
          <w:szCs w:val="31"/>
          <w:i w:val="1"/>
          <w:iCs w:val="1"/>
          <w:color w:val="auto"/>
          <w:vertAlign w:val="subscript"/>
        </w:rPr>
        <w:t>i</w:t>
      </w:r>
      <w:r>
        <w:rPr>
          <w:rFonts w:ascii="Arial" w:cs="Arial" w:eastAsia="Arial" w:hAnsi="Arial"/>
          <w:sz w:val="48"/>
          <w:szCs w:val="48"/>
          <w:i w:val="1"/>
          <w:iCs w:val="1"/>
          <w:color w:val="auto"/>
        </w:rPr>
        <w:t xml:space="preserve"> </w:t>
      </w:r>
      <w:r>
        <w:rPr>
          <w:rFonts w:ascii="Arial" w:cs="Arial" w:eastAsia="Arial" w:hAnsi="Arial"/>
          <w:sz w:val="48"/>
          <w:szCs w:val="48"/>
          <w:i w:val="1"/>
          <w:iCs w:val="1"/>
          <w:color w:val="auto"/>
          <w:vertAlign w:val="subscript"/>
        </w:rPr>
        <w:t>OP CR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2920365</wp:posOffset>
                </wp:positionH>
                <wp:positionV relativeFrom="paragraph">
                  <wp:posOffset>-285115</wp:posOffset>
                </wp:positionV>
                <wp:extent cx="70167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16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95pt,-22.4499pt" to="285.2pt,-22.4499pt" o:allowincell="f" strokecolor="#000000" strokeweight="0.398pt"/>
            </w:pict>
          </mc:Fallback>
        </mc:AlternateContent>
      </w:r>
    </w:p>
    <w:p>
      <w:pPr>
        <w:spacing w:after="0" w:line="182" w:lineRule="exact"/>
        <w:rPr>
          <w:sz w:val="20"/>
          <w:szCs w:val="20"/>
          <w:color w:val="auto"/>
        </w:rPr>
      </w:pPr>
    </w:p>
    <w:p>
      <w:pPr>
        <w:jc w:val="both"/>
        <w:ind w:left="260" w:firstLine="850"/>
        <w:spacing w:after="0" w:line="411" w:lineRule="auto"/>
        <w:rPr>
          <w:sz w:val="20"/>
          <w:szCs w:val="20"/>
          <w:color w:val="auto"/>
        </w:rPr>
      </w:pPr>
      <w:r>
        <w:rPr>
          <w:rFonts w:ascii="Arial" w:cs="Arial" w:eastAsia="Arial" w:hAnsi="Arial"/>
          <w:sz w:val="24"/>
          <w:szCs w:val="24"/>
          <w:color w:val="auto"/>
        </w:rPr>
        <w:t>Diante o levantamento, o setor bancário brasileiro durante o período avaliado passou por diversas transformações em sua estrutura no que tange a concentração de mercado, aumento da participação de capital estrangeiro por meio de controle acionário, redução da participação pública.</w:t>
      </w:r>
    </w:p>
    <w:p>
      <w:pPr>
        <w:spacing w:after="0" w:line="104"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Em relação aos indicadores foi verificado que, entre a década de 1980 até metade da década de 1990, no cenário hiperinflacionário, mesmo com redução da concentração bancária, os indicadores de eficiência de intermediação financeiras como o spread bancário e a relação crédito/PIB estavam em níveis considerados ineficientes e muito destoantes em comparação a outros países e regiões.</w:t>
      </w:r>
    </w:p>
    <w:p>
      <w:pPr>
        <w:spacing w:after="0" w:line="95"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A partir de 1995 se observou mudanças significativas no setor bancário, com nova concentração, redução de instituições nacionais devido o controle acionário por capital estrangeiro, e expressiva redução no spread bancário e a partir de 2004 uma mudança significativa no saldo da carteira de crédito e na relação crédito/PIB e na expansão das bases monetárias e meios de pagamentos ampliados.</w:t>
      </w:r>
    </w:p>
    <w:p>
      <w:pPr>
        <w:spacing w:after="0" w:line="95"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Esta seção levantou informações amplas sobre o setor bancário brasileiro, e identificando variáveis macroeconômicas e microeconômicas refrentes a economia como um todo, setor financeiro, ao setor bancário e as instituições em si. No próximo capítulo serão levantados conceitos, definições e estudos sobre a evolução, decompo-sição e determinantes do spread bancário.</w:t>
      </w:r>
    </w:p>
    <w:p>
      <w:pPr>
        <w:spacing w:after="0" w:line="336" w:lineRule="exact"/>
        <w:rPr>
          <w:sz w:val="20"/>
          <w:szCs w:val="20"/>
          <w:color w:val="auto"/>
        </w:rPr>
      </w:pPr>
    </w:p>
    <w:p>
      <w:pPr>
        <w:ind w:left="260"/>
        <w:spacing w:after="0"/>
        <w:tabs>
          <w:tab w:leader="none" w:pos="820" w:val="left"/>
        </w:tabs>
        <w:rPr>
          <w:sz w:val="20"/>
          <w:szCs w:val="20"/>
          <w:color w:val="auto"/>
        </w:rPr>
      </w:pPr>
      <w:r>
        <w:rPr>
          <w:rFonts w:ascii="Arial" w:cs="Arial" w:eastAsia="Arial" w:hAnsi="Arial"/>
          <w:sz w:val="24"/>
          <w:szCs w:val="24"/>
          <w:color w:val="auto"/>
        </w:rPr>
        <w:t>2.2</w:t>
      </w:r>
      <w:r>
        <w:rPr>
          <w:sz w:val="20"/>
          <w:szCs w:val="20"/>
          <w:color w:val="auto"/>
        </w:rPr>
        <w:tab/>
      </w:r>
      <w:r>
        <w:rPr>
          <w:rFonts w:ascii="Arial" w:cs="Arial" w:eastAsia="Arial" w:hAnsi="Arial"/>
          <w:sz w:val="23"/>
          <w:szCs w:val="23"/>
          <w:color w:val="auto"/>
        </w:rPr>
        <w:t>SPREAD BANCÁRIO</w:t>
      </w:r>
    </w:p>
    <w:p>
      <w:pPr>
        <w:spacing w:after="0" w:line="200" w:lineRule="exact"/>
        <w:rPr>
          <w:sz w:val="20"/>
          <w:szCs w:val="20"/>
          <w:color w:val="auto"/>
        </w:rPr>
      </w:pPr>
    </w:p>
    <w:p>
      <w:pPr>
        <w:spacing w:after="0" w:line="239"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Esta seção irá tratar sobre os principais aspectos e características do spread bancário. Na primeira parte serão abordados os conceitos e definições gerais. Na segunda parte as características amplas do mercado brasileiro. Na terceira parte sobre os estudos empíricos realizados no Brasil. O foco é identificar elementos que possam contribuir com o objeto deste estudo.</w:t>
      </w:r>
    </w:p>
    <w:p>
      <w:pPr>
        <w:sectPr>
          <w:pgSz w:w="11900" w:h="16838" w:orient="portrait"/>
          <w:cols w:equalWidth="0" w:num="1">
            <w:col w:w="9360"/>
          </w:cols>
          <w:pgMar w:left="1440" w:top="991" w:right="1106" w:bottom="195" w:gutter="0" w:footer="0" w:header="0"/>
        </w:sectPr>
      </w:pPr>
    </w:p>
    <w:p>
      <w:pPr>
        <w:ind w:left="9060"/>
        <w:spacing w:after="0"/>
        <w:rPr>
          <w:sz w:val="20"/>
          <w:szCs w:val="20"/>
          <w:color w:val="auto"/>
        </w:rPr>
      </w:pPr>
      <w:r>
        <w:rPr>
          <w:rFonts w:ascii="Arial" w:cs="Arial" w:eastAsia="Arial" w:hAnsi="Arial"/>
          <w:sz w:val="24"/>
          <w:szCs w:val="24"/>
          <w:color w:val="auto"/>
        </w:rPr>
        <w:t>32</w:t>
      </w:r>
    </w:p>
    <w:p>
      <w:pPr>
        <w:spacing w:after="0" w:line="200" w:lineRule="exact"/>
        <w:rPr>
          <w:sz w:val="20"/>
          <w:szCs w:val="20"/>
          <w:color w:val="auto"/>
        </w:rPr>
      </w:pPr>
    </w:p>
    <w:p>
      <w:pPr>
        <w:spacing w:after="0" w:line="246" w:lineRule="exact"/>
        <w:rPr>
          <w:sz w:val="20"/>
          <w:szCs w:val="20"/>
          <w:color w:val="auto"/>
        </w:rPr>
      </w:pPr>
    </w:p>
    <w:p>
      <w:pPr>
        <w:ind w:left="260"/>
        <w:spacing w:after="0"/>
        <w:tabs>
          <w:tab w:leader="none" w:pos="1000" w:val="left"/>
        </w:tabs>
        <w:rPr>
          <w:sz w:val="20"/>
          <w:szCs w:val="20"/>
          <w:color w:val="auto"/>
        </w:rPr>
      </w:pPr>
      <w:r>
        <w:rPr>
          <w:rFonts w:ascii="Arial" w:cs="Arial" w:eastAsia="Arial" w:hAnsi="Arial"/>
          <w:sz w:val="24"/>
          <w:szCs w:val="24"/>
          <w:color w:val="auto"/>
        </w:rPr>
        <w:t>2.2.1</w:t>
      </w:r>
      <w:r>
        <w:rPr>
          <w:sz w:val="20"/>
          <w:szCs w:val="20"/>
          <w:color w:val="auto"/>
        </w:rPr>
        <w:tab/>
      </w:r>
      <w:r>
        <w:rPr>
          <w:rFonts w:ascii="Arial" w:cs="Arial" w:eastAsia="Arial" w:hAnsi="Arial"/>
          <w:sz w:val="23"/>
          <w:szCs w:val="23"/>
          <w:color w:val="auto"/>
        </w:rPr>
        <w:t>CONCEITOS E DEFINIÇÕES</w:t>
      </w:r>
    </w:p>
    <w:p>
      <w:pPr>
        <w:spacing w:after="0" w:line="357" w:lineRule="exact"/>
        <w:rPr>
          <w:sz w:val="20"/>
          <w:szCs w:val="20"/>
          <w:color w:val="auto"/>
        </w:rPr>
      </w:pPr>
    </w:p>
    <w:p>
      <w:pPr>
        <w:jc w:val="both"/>
        <w:ind w:left="260" w:firstLine="850"/>
        <w:spacing w:after="0" w:line="440" w:lineRule="auto"/>
        <w:rPr>
          <w:sz w:val="20"/>
          <w:szCs w:val="20"/>
          <w:color w:val="auto"/>
        </w:rPr>
      </w:pPr>
      <w:r>
        <w:rPr>
          <w:rFonts w:ascii="Arial" w:cs="Arial" w:eastAsia="Arial" w:hAnsi="Arial"/>
          <w:sz w:val="23"/>
          <w:szCs w:val="23"/>
          <w:color w:val="auto"/>
        </w:rPr>
        <w:t>Por definição o termo spread, que em tradução livre significa amplitude, cresci-mento, extensão, é utilizado no setor financeiro no sentido de margem, sendo obtido através da diferença entre a taxa de aplicação incidente nas operações de crédito e a taxa de captação que remunera as aplicações financeiras, se configurando como a diferença entre a composição dos custos destas operações (BACEN, 2000).</w:t>
      </w:r>
    </w:p>
    <w:p>
      <w:pPr>
        <w:spacing w:after="0" w:line="163" w:lineRule="exact"/>
        <w:rPr>
          <w:sz w:val="20"/>
          <w:szCs w:val="20"/>
          <w:color w:val="auto"/>
        </w:rPr>
      </w:pPr>
    </w:p>
    <w:p>
      <w:pPr>
        <w:ind w:left="2180"/>
        <w:spacing w:after="0"/>
        <w:rPr>
          <w:sz w:val="20"/>
          <w:szCs w:val="20"/>
          <w:color w:val="auto"/>
        </w:rPr>
      </w:pPr>
      <w:r>
        <w:rPr>
          <w:rFonts w:ascii="Arial" w:cs="Arial" w:eastAsia="Arial" w:hAnsi="Arial"/>
          <w:sz w:val="24"/>
          <w:szCs w:val="24"/>
          <w:i w:val="1"/>
          <w:iCs w:val="1"/>
          <w:color w:val="auto"/>
        </w:rPr>
        <w:t>Spread</w:t>
      </w:r>
      <w:r>
        <w:rPr>
          <w:rFonts w:ascii="Arial" w:cs="Arial" w:eastAsia="Arial" w:hAnsi="Arial"/>
          <w:sz w:val="24"/>
          <w:szCs w:val="24"/>
          <w:color w:val="auto"/>
        </w:rPr>
        <w:t xml:space="preserve"> = Taxa de Aplicação − Taxa de Captação</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O spread bancário representa uma medida que sinaliza o desempenho dos bancos (LEVINE, 1997). É considerado um indicador de eficiência da economia, in-fluenciando o nível de crédito e a atividade econômica. Em níveis elevados pode desfavorecer o crédito destinado para produção e consumo produtivos e estar associ-ado com baixo desenvolvimento econômico (BANK; IMF, 2005).</w:t>
      </w:r>
    </w:p>
    <w:p>
      <w:pPr>
        <w:spacing w:after="0" w:line="101"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 xml:space="preserve">Os estudos em torno do spread bancário ocorrem em três óticas: evolução, estrutura e determinantes (DICK, 1999). Em Dick (1999) é destacada a importância de distinguir a abordagem em torno da estrutura e determinante do spread bancário, no sentido de complementariedade. O diagrama na </w:t>
      </w:r>
      <w:r>
        <w:rPr>
          <w:rFonts w:ascii="Arial" w:cs="Arial" w:eastAsia="Arial" w:hAnsi="Arial"/>
          <w:sz w:val="24"/>
          <w:szCs w:val="24"/>
          <w:b w:val="1"/>
          <w:bCs w:val="1"/>
          <w:color w:val="auto"/>
        </w:rPr>
        <w:t>??</w:t>
      </w:r>
      <w:r>
        <w:rPr>
          <w:rFonts w:ascii="Arial" w:cs="Arial" w:eastAsia="Arial" w:hAnsi="Arial"/>
          <w:sz w:val="24"/>
          <w:szCs w:val="24"/>
          <w:color w:val="auto"/>
        </w:rPr>
        <w:t xml:space="preserve"> ilustra as óticas de estudo do spread bancário.</w:t>
      </w:r>
    </w:p>
    <w:p>
      <w:pPr>
        <w:spacing w:after="0" w:line="41" w:lineRule="exact"/>
        <w:rPr>
          <w:sz w:val="20"/>
          <w:szCs w:val="20"/>
          <w:color w:val="auto"/>
        </w:rPr>
      </w:pPr>
    </w:p>
    <w:p>
      <w:pPr>
        <w:ind w:left="1420"/>
        <w:spacing w:after="0"/>
        <w:rPr>
          <w:sz w:val="20"/>
          <w:szCs w:val="20"/>
          <w:color w:val="auto"/>
        </w:rPr>
      </w:pPr>
      <w:r>
        <w:rPr>
          <w:rFonts w:ascii="Arial" w:cs="Arial" w:eastAsia="Arial" w:hAnsi="Arial"/>
          <w:sz w:val="22"/>
          <w:szCs w:val="22"/>
          <w:color w:val="auto"/>
        </w:rPr>
        <w:t>Figura 11 – Diagrama de ilustração da perspectiva de ótica do spread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173990</wp:posOffset>
            </wp:positionH>
            <wp:positionV relativeFrom="paragraph">
              <wp:posOffset>308610</wp:posOffset>
            </wp:positionV>
            <wp:extent cx="5747385" cy="19964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7">
                      <a:extLst>
                        <a:ext uri="{28A0092B-C50C-407E-A947-70E740481C1C}"/>
                      </a:extLst>
                    </a:blip>
                    <a:srcRect/>
                    <a:stretch>
                      <a:fillRect/>
                    </a:stretch>
                  </pic:blipFill>
                  <pic:spPr bwMode="auto">
                    <a:xfrm>
                      <a:off x="0" y="0"/>
                      <a:ext cx="5747385" cy="19964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ind w:right="60"/>
        <w:spacing w:after="0"/>
        <w:rPr>
          <w:sz w:val="20"/>
          <w:szCs w:val="20"/>
          <w:color w:val="auto"/>
        </w:rPr>
      </w:pPr>
      <w:r>
        <w:rPr>
          <w:rFonts w:ascii="Times" w:cs="Times" w:eastAsia="Times" w:hAnsi="Times"/>
          <w:sz w:val="23"/>
          <w:szCs w:val="23"/>
          <w:color w:val="auto"/>
        </w:rPr>
        <w:t>Spread Bancário</w:t>
      </w:r>
    </w:p>
    <w:p>
      <w:pPr>
        <w:sectPr>
          <w:pgSz w:w="11900" w:h="16838" w:orient="portrait"/>
          <w:cols w:equalWidth="0" w:num="1">
            <w:col w:w="9360"/>
          </w:cols>
          <w:pgMar w:left="1440" w:top="991" w:right="1106" w:bottom="110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1940"/>
        <w:spacing w:after="0"/>
        <w:rPr>
          <w:sz w:val="20"/>
          <w:szCs w:val="20"/>
          <w:color w:val="auto"/>
        </w:rPr>
      </w:pPr>
      <w:r>
        <w:rPr>
          <w:rFonts w:ascii="Times" w:cs="Times" w:eastAsia="Times" w:hAnsi="Times"/>
          <w:sz w:val="22"/>
          <w:szCs w:val="22"/>
          <w:color w:val="auto"/>
        </w:rPr>
        <w:t>Evolução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jc w:val="center"/>
        <w:ind w:right="620"/>
        <w:spacing w:after="0"/>
        <w:rPr>
          <w:sz w:val="20"/>
          <w:szCs w:val="20"/>
          <w:color w:val="auto"/>
        </w:rPr>
      </w:pPr>
      <w:r>
        <w:rPr>
          <w:rFonts w:ascii="Times" w:cs="Times" w:eastAsia="Times" w:hAnsi="Times"/>
          <w:sz w:val="22"/>
          <w:szCs w:val="22"/>
          <w:color w:val="auto"/>
        </w:rPr>
        <w:t>Estrutura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spacing w:after="0"/>
        <w:rPr>
          <w:sz w:val="20"/>
          <w:szCs w:val="20"/>
          <w:color w:val="auto"/>
        </w:rPr>
      </w:pPr>
      <w:r>
        <w:rPr>
          <w:rFonts w:ascii="Times" w:cs="Times" w:eastAsia="Times" w:hAnsi="Times"/>
          <w:sz w:val="22"/>
          <w:szCs w:val="22"/>
          <w:color w:val="auto"/>
        </w:rPr>
        <w:t>Determinantes</w:t>
      </w:r>
    </w:p>
    <w:p>
      <w:pPr>
        <w:spacing w:after="0" w:line="200" w:lineRule="exact"/>
        <w:rPr>
          <w:sz w:val="20"/>
          <w:szCs w:val="20"/>
          <w:color w:val="auto"/>
        </w:rPr>
      </w:pPr>
    </w:p>
    <w:p>
      <w:pPr>
        <w:sectPr>
          <w:pgSz w:w="11900" w:h="16838" w:orient="portrait"/>
          <w:cols w:equalWidth="0" w:num="3">
            <w:col w:w="3500" w:space="720"/>
            <w:col w:w="1460" w:space="720"/>
            <w:col w:w="2960"/>
          </w:cols>
          <w:pgMar w:left="1440" w:top="991" w:right="1106" w:bottom="110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center"/>
        <w:ind w:left="460"/>
        <w:spacing w:after="0"/>
        <w:rPr>
          <w:sz w:val="20"/>
          <w:szCs w:val="20"/>
          <w:color w:val="auto"/>
        </w:rPr>
      </w:pPr>
      <w:r>
        <w:rPr>
          <w:rFonts w:ascii="Times" w:cs="Times" w:eastAsia="Times" w:hAnsi="Times"/>
          <w:sz w:val="22"/>
          <w:szCs w:val="22"/>
          <w:color w:val="auto"/>
        </w:rPr>
        <w:t>Avaliar o comportamento</w:t>
      </w:r>
    </w:p>
    <w:p>
      <w:pPr>
        <w:spacing w:after="0" w:line="30" w:lineRule="exact"/>
        <w:rPr>
          <w:sz w:val="20"/>
          <w:szCs w:val="20"/>
          <w:color w:val="auto"/>
        </w:rPr>
      </w:pPr>
    </w:p>
    <w:p>
      <w:pPr>
        <w:jc w:val="center"/>
        <w:ind w:left="460"/>
        <w:spacing w:after="0"/>
        <w:rPr>
          <w:sz w:val="20"/>
          <w:szCs w:val="20"/>
          <w:color w:val="auto"/>
        </w:rPr>
      </w:pPr>
      <w:r>
        <w:rPr>
          <w:rFonts w:ascii="Times" w:cs="Times" w:eastAsia="Times" w:hAnsi="Times"/>
          <w:sz w:val="23"/>
          <w:szCs w:val="23"/>
          <w:color w:val="auto"/>
        </w:rPr>
        <w:t>ao longo do tempo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center"/>
        <w:spacing w:after="0"/>
        <w:rPr>
          <w:sz w:val="20"/>
          <w:szCs w:val="20"/>
          <w:color w:val="auto"/>
        </w:rPr>
      </w:pPr>
      <w:r>
        <w:rPr>
          <w:rFonts w:ascii="Times" w:cs="Times" w:eastAsia="Times" w:hAnsi="Times"/>
          <w:sz w:val="23"/>
          <w:szCs w:val="23"/>
          <w:color w:val="auto"/>
        </w:rPr>
        <w:t>Identificar e analisar</w:t>
      </w:r>
    </w:p>
    <w:p>
      <w:pPr>
        <w:spacing w:after="0" w:line="19" w:lineRule="exact"/>
        <w:rPr>
          <w:sz w:val="20"/>
          <w:szCs w:val="20"/>
          <w:color w:val="auto"/>
        </w:rPr>
      </w:pPr>
    </w:p>
    <w:p>
      <w:pPr>
        <w:jc w:val="center"/>
        <w:spacing w:after="0"/>
        <w:rPr>
          <w:sz w:val="20"/>
          <w:szCs w:val="20"/>
          <w:color w:val="auto"/>
        </w:rPr>
      </w:pPr>
      <w:r>
        <w:rPr>
          <w:rFonts w:ascii="Times" w:cs="Times" w:eastAsia="Times" w:hAnsi="Times"/>
          <w:sz w:val="22"/>
          <w:szCs w:val="22"/>
          <w:color w:val="auto"/>
        </w:rPr>
        <w:t>componentes de resultado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center"/>
        <w:ind w:right="240"/>
        <w:spacing w:after="0"/>
        <w:rPr>
          <w:sz w:val="20"/>
          <w:szCs w:val="20"/>
          <w:color w:val="auto"/>
        </w:rPr>
      </w:pPr>
      <w:r>
        <w:rPr>
          <w:rFonts w:ascii="Times" w:cs="Times" w:eastAsia="Times" w:hAnsi="Times"/>
          <w:sz w:val="23"/>
          <w:szCs w:val="23"/>
          <w:color w:val="auto"/>
        </w:rPr>
        <w:t>Analisar os efeitos de</w:t>
      </w:r>
    </w:p>
    <w:p>
      <w:pPr>
        <w:spacing w:after="0" w:line="19" w:lineRule="exact"/>
        <w:rPr>
          <w:sz w:val="20"/>
          <w:szCs w:val="20"/>
          <w:color w:val="auto"/>
        </w:rPr>
      </w:pPr>
    </w:p>
    <w:p>
      <w:pPr>
        <w:jc w:val="center"/>
        <w:ind w:right="240"/>
        <w:spacing w:after="0"/>
        <w:rPr>
          <w:sz w:val="20"/>
          <w:szCs w:val="20"/>
          <w:color w:val="auto"/>
        </w:rPr>
      </w:pPr>
      <w:r>
        <w:rPr>
          <w:rFonts w:ascii="Times" w:cs="Times" w:eastAsia="Times" w:hAnsi="Times"/>
          <w:sz w:val="22"/>
          <w:szCs w:val="22"/>
          <w:color w:val="auto"/>
        </w:rPr>
        <w:t>variáveis ao longo do tempo</w:t>
      </w:r>
    </w:p>
    <w:p>
      <w:pPr>
        <w:spacing w:after="0" w:line="211" w:lineRule="exact"/>
        <w:rPr>
          <w:sz w:val="20"/>
          <w:szCs w:val="20"/>
          <w:color w:val="auto"/>
        </w:rPr>
      </w:pPr>
    </w:p>
    <w:p>
      <w:pPr>
        <w:sectPr>
          <w:pgSz w:w="11900" w:h="16838" w:orient="portrait"/>
          <w:cols w:equalWidth="0" w:num="3">
            <w:col w:w="2800" w:space="660"/>
            <w:col w:w="2380" w:space="680"/>
            <w:col w:w="2840"/>
          </w:cols>
          <w:pgMar w:left="1440" w:top="991" w:right="1106" w:bottom="1100" w:gutter="0" w:footer="0" w:header="0"/>
          <w:type w:val="continuous"/>
        </w:sectPr>
      </w:pPr>
    </w:p>
    <w:p>
      <w:pPr>
        <w:spacing w:after="0" w:line="137" w:lineRule="exact"/>
        <w:rPr>
          <w:sz w:val="20"/>
          <w:szCs w:val="20"/>
          <w:color w:val="auto"/>
        </w:rPr>
      </w:pPr>
    </w:p>
    <w:p>
      <w:pPr>
        <w:jc w:val="center"/>
        <w:ind w:right="-219"/>
        <w:spacing w:after="0"/>
        <w:rPr>
          <w:sz w:val="20"/>
          <w:szCs w:val="20"/>
          <w:color w:val="auto"/>
        </w:rPr>
      </w:pPr>
      <w:r>
        <w:rPr>
          <w:rFonts w:ascii="Arial" w:cs="Arial" w:eastAsia="Arial" w:hAnsi="Arial"/>
          <w:sz w:val="19"/>
          <w:szCs w:val="19"/>
          <w:color w:val="auto"/>
        </w:rPr>
        <w:t>Fonte:</w:t>
      </w:r>
      <w:r>
        <w:rPr>
          <w:rFonts w:ascii="Arial" w:cs="Arial" w:eastAsia="Arial" w:hAnsi="Arial"/>
          <w:sz w:val="20"/>
          <w:szCs w:val="20"/>
          <w:color w:val="auto"/>
        </w:rPr>
        <w:t xml:space="preserve"> :</w:t>
      </w:r>
      <w:r>
        <w:rPr>
          <w:rFonts w:ascii="Arial" w:cs="Arial" w:eastAsia="Arial" w:hAnsi="Arial"/>
          <w:sz w:val="19"/>
          <w:szCs w:val="19"/>
          <w:color w:val="auto"/>
        </w:rPr>
        <w:t xml:space="preserve"> Desenvolvido com base em (DICK, 1999)</w:t>
      </w:r>
    </w:p>
    <w:p>
      <w:pPr>
        <w:sectPr>
          <w:pgSz w:w="11900" w:h="16838" w:orient="portrait"/>
          <w:cols w:equalWidth="0" w:num="1">
            <w:col w:w="9360"/>
          </w:cols>
          <w:pgMar w:left="1440" w:top="991" w:right="1106" w:bottom="1100" w:gutter="0" w:footer="0" w:header="0"/>
          <w:type w:val="continuous"/>
        </w:sectPr>
      </w:pPr>
    </w:p>
    <w:p>
      <w:pPr>
        <w:ind w:left="9060"/>
        <w:spacing w:after="0"/>
        <w:rPr>
          <w:sz w:val="20"/>
          <w:szCs w:val="20"/>
          <w:color w:val="auto"/>
        </w:rPr>
      </w:pPr>
      <w:r>
        <w:rPr>
          <w:rFonts w:ascii="Arial" w:cs="Arial" w:eastAsia="Arial" w:hAnsi="Arial"/>
          <w:sz w:val="24"/>
          <w:szCs w:val="24"/>
          <w:color w:val="auto"/>
        </w:rPr>
        <w:t>33</w:t>
      </w:r>
    </w:p>
    <w:p>
      <w:pPr>
        <w:spacing w:after="0" w:line="200" w:lineRule="exact"/>
        <w:rPr>
          <w:sz w:val="20"/>
          <w:szCs w:val="20"/>
          <w:color w:val="auto"/>
        </w:rPr>
      </w:pPr>
    </w:p>
    <w:p>
      <w:pPr>
        <w:spacing w:after="0" w:line="246" w:lineRule="exact"/>
        <w:rPr>
          <w:sz w:val="20"/>
          <w:szCs w:val="20"/>
          <w:color w:val="auto"/>
        </w:rPr>
      </w:pPr>
    </w:p>
    <w:p>
      <w:pPr>
        <w:jc w:val="both"/>
        <w:ind w:left="260" w:firstLine="856"/>
        <w:spacing w:after="0" w:line="440" w:lineRule="auto"/>
        <w:rPr>
          <w:sz w:val="20"/>
          <w:szCs w:val="20"/>
          <w:color w:val="auto"/>
        </w:rPr>
      </w:pPr>
      <w:r>
        <w:rPr>
          <w:rFonts w:ascii="Arial" w:cs="Arial" w:eastAsia="Arial" w:hAnsi="Arial"/>
          <w:sz w:val="23"/>
          <w:szCs w:val="23"/>
          <w:color w:val="auto"/>
        </w:rPr>
        <w:t>A abordagem em torno da evolução visa analisar o comportamento ao longo do tempo, através de análises quantitativas e qualitativas, enquanto a ótica da estrutura busca identificar e analisar os componentes de resultados envolvendo receitas, despe-sas e provisões. Na abordagem sobre os determinantes é vislumbrado identificar as variáveis que explicam as variações do indicador ao longo dos períodos (DICK, 1999).</w:t>
      </w:r>
    </w:p>
    <w:p>
      <w:pPr>
        <w:spacing w:after="0" w:line="86"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Nas últimas décadas vem se tornando relevantes os estudos em torno da decomposição do spread bancário (</w:t>
      </w:r>
      <w:r>
        <w:rPr>
          <w:rFonts w:ascii="Arial" w:cs="Arial" w:eastAsia="Arial" w:hAnsi="Arial"/>
          <w:sz w:val="24"/>
          <w:szCs w:val="24"/>
          <w:i w:val="1"/>
          <w:iCs w:val="1"/>
          <w:color w:val="auto"/>
        </w:rPr>
        <w:t>Sprd</w:t>
      </w:r>
      <w:r>
        <w:rPr>
          <w:rFonts w:ascii="Arial" w:cs="Arial" w:eastAsia="Arial" w:hAnsi="Arial"/>
          <w:sz w:val="24"/>
          <w:szCs w:val="24"/>
          <w:color w:val="auto"/>
        </w:rPr>
        <w:t>), em torno dos seus componentes. Entre os componentes explícitos estão a inadimplência (</w:t>
      </w:r>
      <w:r>
        <w:rPr>
          <w:rFonts w:ascii="Arial" w:cs="Arial" w:eastAsia="Arial" w:hAnsi="Arial"/>
          <w:sz w:val="24"/>
          <w:szCs w:val="24"/>
          <w:i w:val="1"/>
          <w:iCs w:val="1"/>
          <w:color w:val="auto"/>
        </w:rPr>
        <w:t>Ind</w:t>
      </w:r>
      <w:r>
        <w:rPr>
          <w:rFonts w:ascii="Arial" w:cs="Arial" w:eastAsia="Arial" w:hAnsi="Arial"/>
          <w:sz w:val="24"/>
          <w:szCs w:val="24"/>
          <w:color w:val="auto"/>
        </w:rPr>
        <w:t>), despesas administrativas (</w:t>
      </w:r>
      <w:r>
        <w:rPr>
          <w:rFonts w:ascii="Arial" w:cs="Arial" w:eastAsia="Arial" w:hAnsi="Arial"/>
          <w:sz w:val="24"/>
          <w:szCs w:val="24"/>
          <w:i w:val="1"/>
          <w:iCs w:val="1"/>
          <w:color w:val="auto"/>
        </w:rPr>
        <w:t>DA</w:t>
      </w:r>
      <w:r>
        <w:rPr>
          <w:rFonts w:ascii="Arial" w:cs="Arial" w:eastAsia="Arial" w:hAnsi="Arial"/>
          <w:sz w:val="24"/>
          <w:szCs w:val="24"/>
          <w:color w:val="auto"/>
        </w:rPr>
        <w:t>), impostos diretos (</w:t>
      </w:r>
      <w:r>
        <w:rPr>
          <w:rFonts w:ascii="Arial" w:cs="Arial" w:eastAsia="Arial" w:hAnsi="Arial"/>
          <w:sz w:val="24"/>
          <w:szCs w:val="24"/>
          <w:i w:val="1"/>
          <w:iCs w:val="1"/>
          <w:color w:val="auto"/>
        </w:rPr>
        <w:t>ID</w:t>
      </w:r>
      <w:r>
        <w:rPr>
          <w:rFonts w:ascii="Arial" w:cs="Arial" w:eastAsia="Arial" w:hAnsi="Arial"/>
          <w:sz w:val="24"/>
          <w:szCs w:val="24"/>
          <w:color w:val="auto"/>
        </w:rPr>
        <w:t>) e indiretos (</w:t>
      </w:r>
      <w:r>
        <w:rPr>
          <w:rFonts w:ascii="Arial" w:cs="Arial" w:eastAsia="Arial" w:hAnsi="Arial"/>
          <w:sz w:val="24"/>
          <w:szCs w:val="24"/>
          <w:i w:val="1"/>
          <w:iCs w:val="1"/>
          <w:color w:val="auto"/>
        </w:rPr>
        <w:t>II</w:t>
      </w:r>
      <w:r>
        <w:rPr>
          <w:rFonts w:ascii="Arial" w:cs="Arial" w:eastAsia="Arial" w:hAnsi="Arial"/>
          <w:sz w:val="24"/>
          <w:szCs w:val="24"/>
          <w:color w:val="auto"/>
        </w:rPr>
        <w:t>), custo de captação (</w:t>
      </w:r>
      <w:r>
        <w:rPr>
          <w:rFonts w:ascii="Arial" w:cs="Arial" w:eastAsia="Arial" w:hAnsi="Arial"/>
          <w:sz w:val="24"/>
          <w:szCs w:val="24"/>
          <w:i w:val="1"/>
          <w:iCs w:val="1"/>
          <w:color w:val="auto"/>
        </w:rPr>
        <w:t>CP</w:t>
      </w:r>
      <w:r>
        <w:rPr>
          <w:rFonts w:ascii="Arial" w:cs="Arial" w:eastAsia="Arial" w:hAnsi="Arial"/>
          <w:sz w:val="24"/>
          <w:szCs w:val="24"/>
          <w:color w:val="auto"/>
        </w:rPr>
        <w:t xml:space="preserve"> ) e margem de lucro (</w:t>
      </w:r>
      <w:r>
        <w:rPr>
          <w:rFonts w:ascii="Arial" w:cs="Arial" w:eastAsia="Arial" w:hAnsi="Arial"/>
          <w:sz w:val="24"/>
          <w:szCs w:val="24"/>
          <w:i w:val="1"/>
          <w:iCs w:val="1"/>
          <w:color w:val="auto"/>
        </w:rPr>
        <w:t>M L</w:t>
      </w:r>
      <w:r>
        <w:rPr>
          <w:rFonts w:ascii="Arial" w:cs="Arial" w:eastAsia="Arial" w:hAnsi="Arial"/>
          <w:sz w:val="24"/>
          <w:szCs w:val="24"/>
          <w:color w:val="auto"/>
        </w:rPr>
        <w:t>) dos bancos conforme ilustrado abaixo (BACEN, 2000).</w:t>
      </w:r>
    </w:p>
    <w:p>
      <w:pPr>
        <w:spacing w:after="0" w:line="178"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Sprd</w:t>
      </w:r>
      <w:r>
        <w:rPr>
          <w:rFonts w:ascii="Arial" w:cs="Arial" w:eastAsia="Arial" w:hAnsi="Arial"/>
          <w:sz w:val="24"/>
          <w:szCs w:val="24"/>
          <w:color w:val="auto"/>
        </w:rPr>
        <w:t xml:space="preserve"> = </w:t>
      </w:r>
      <w:r>
        <w:rPr>
          <w:rFonts w:ascii="Arial" w:cs="Arial" w:eastAsia="Arial" w:hAnsi="Arial"/>
          <w:sz w:val="24"/>
          <w:szCs w:val="24"/>
          <w:i w:val="1"/>
          <w:iCs w:val="1"/>
          <w:color w:val="auto"/>
        </w:rPr>
        <w:t>f</w:t>
      </w:r>
      <w:r>
        <w:rPr>
          <w:rFonts w:ascii="Arial" w:cs="Arial" w:eastAsia="Arial" w:hAnsi="Arial"/>
          <w:sz w:val="24"/>
          <w:szCs w:val="24"/>
          <w:color w:val="auto"/>
        </w:rPr>
        <w:t>(</w:t>
      </w:r>
      <w:r>
        <w:rPr>
          <w:rFonts w:ascii="Arial" w:cs="Arial" w:eastAsia="Arial" w:hAnsi="Arial"/>
          <w:sz w:val="24"/>
          <w:szCs w:val="24"/>
          <w:i w:val="1"/>
          <w:iCs w:val="1"/>
          <w:color w:val="auto"/>
        </w:rPr>
        <w:t>Ind, DA, II, ID, M L, CP</w:t>
      </w:r>
      <w:r>
        <w:rPr>
          <w:rFonts w:ascii="Arial" w:cs="Arial" w:eastAsia="Arial" w:hAnsi="Arial"/>
          <w:sz w:val="24"/>
          <w:szCs w:val="24"/>
          <w:color w:val="auto"/>
        </w:rPr>
        <w:t xml:space="preserve"> )</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both"/>
        <w:ind w:left="260" w:right="20" w:firstLine="856"/>
        <w:spacing w:after="0" w:line="419" w:lineRule="auto"/>
        <w:rPr>
          <w:sz w:val="20"/>
          <w:szCs w:val="20"/>
          <w:color w:val="auto"/>
        </w:rPr>
      </w:pPr>
      <w:r>
        <w:rPr>
          <w:rFonts w:ascii="Arial" w:cs="Arial" w:eastAsia="Arial" w:hAnsi="Arial"/>
          <w:sz w:val="24"/>
          <w:szCs w:val="24"/>
          <w:color w:val="auto"/>
        </w:rPr>
        <w:t>Esta configuração contemplando a margem de lucro, despesas e riscos en-volvidos nas operações de crédito vem desmistificar a comum abordagem do spread como o rendimento auferido pelos bancos (COSTA; NAKANE, 2004) Souza (2007) apud (DANTAS, 2012). Desta forma implica na diferença entre o custos operacionais na ótica de precificação, que após descontados das receitas, remontam o lucro do banco (BACEN, 2016).</w:t>
      </w:r>
    </w:p>
    <w:p>
      <w:pPr>
        <w:spacing w:after="0" w:line="98"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Além da avaliação de seus componentes, o spread pode ser analisado con-juntamente por três características: enquanto a abrangência da amostra, conteúdo e origem da informação (LEAL, 2006). Estes três elementos estão interligados, po-dendo serem analisados separadamente ou em conjunto, trazendo vários níveis de informações.</w:t>
      </w:r>
    </w:p>
    <w:p>
      <w:pPr>
        <w:spacing w:after="0" w:line="101" w:lineRule="exact"/>
        <w:rPr>
          <w:sz w:val="20"/>
          <w:szCs w:val="20"/>
          <w:color w:val="auto"/>
        </w:rPr>
      </w:pPr>
    </w:p>
    <w:p>
      <w:pPr>
        <w:jc w:val="both"/>
        <w:ind w:left="260" w:right="20" w:firstLine="850"/>
        <w:spacing w:after="0" w:line="440" w:lineRule="auto"/>
        <w:rPr>
          <w:sz w:val="20"/>
          <w:szCs w:val="20"/>
          <w:color w:val="auto"/>
        </w:rPr>
      </w:pPr>
      <w:r>
        <w:rPr>
          <w:rFonts w:ascii="Arial" w:cs="Arial" w:eastAsia="Arial" w:hAnsi="Arial"/>
          <w:sz w:val="23"/>
          <w:szCs w:val="23"/>
          <w:color w:val="auto"/>
        </w:rPr>
        <w:t>A abrangência da amostra consiste nas especificidades das operações de crédito das instituições e seu nível de agregação e granularidade (COSTA; NAKANE, 2004). Uma análise agregada dessa característica pode ser dificultada pela existência de heterogeneidade do setor, ressaltando a importância de realizar análises do spread bancário em diferentes características e óticas (BROCK; ROJAS SUAREZ, 2000).</w:t>
      </w:r>
    </w:p>
    <w:p>
      <w:pPr>
        <w:sectPr>
          <w:pgSz w:w="11900" w:h="16838" w:orient="portrait"/>
          <w:cols w:equalWidth="0" w:num="1">
            <w:col w:w="9380"/>
          </w:cols>
          <w:pgMar w:left="1440" w:top="991" w:right="1086" w:bottom="659" w:gutter="0" w:footer="0" w:header="0"/>
        </w:sectPr>
      </w:pPr>
    </w:p>
    <w:p>
      <w:pPr>
        <w:jc w:val="right"/>
        <w:ind w:right="40"/>
        <w:spacing w:after="0"/>
        <w:rPr>
          <w:sz w:val="20"/>
          <w:szCs w:val="20"/>
          <w:color w:val="auto"/>
        </w:rPr>
      </w:pPr>
      <w:r>
        <w:rPr>
          <w:rFonts w:ascii="Arial" w:cs="Arial" w:eastAsia="Arial" w:hAnsi="Arial"/>
          <w:sz w:val="24"/>
          <w:szCs w:val="24"/>
          <w:color w:val="auto"/>
        </w:rPr>
        <w:t>34</w:t>
      </w:r>
    </w:p>
    <w:p>
      <w:pPr>
        <w:spacing w:after="0" w:line="200" w:lineRule="exact"/>
        <w:rPr>
          <w:sz w:val="20"/>
          <w:szCs w:val="20"/>
          <w:color w:val="auto"/>
        </w:rPr>
      </w:pPr>
    </w:p>
    <w:p>
      <w:pPr>
        <w:spacing w:after="0" w:line="215" w:lineRule="exact"/>
        <w:rPr>
          <w:sz w:val="20"/>
          <w:szCs w:val="20"/>
          <w:color w:val="auto"/>
        </w:rPr>
      </w:pPr>
    </w:p>
    <w:p>
      <w:pPr>
        <w:ind w:left="940"/>
        <w:spacing w:after="0"/>
        <w:rPr>
          <w:sz w:val="20"/>
          <w:szCs w:val="20"/>
          <w:color w:val="auto"/>
        </w:rPr>
      </w:pPr>
      <w:r>
        <w:rPr>
          <w:rFonts w:ascii="Arial" w:cs="Arial" w:eastAsia="Arial" w:hAnsi="Arial"/>
          <w:sz w:val="22"/>
          <w:szCs w:val="22"/>
          <w:color w:val="auto"/>
        </w:rPr>
        <w:t>Figura 12 – Diagrama de ilustração da perspectiva de características do spread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521970</wp:posOffset>
            </wp:positionH>
            <wp:positionV relativeFrom="paragraph">
              <wp:posOffset>311150</wp:posOffset>
            </wp:positionV>
            <wp:extent cx="5041265" cy="245999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a:extLst>
                        <a:ext uri="{28A0092B-C50C-407E-A947-70E740481C1C}"/>
                      </a:extLst>
                    </a:blip>
                    <a:srcRect/>
                    <a:stretch>
                      <a:fillRect/>
                    </a:stretch>
                  </pic:blipFill>
                  <pic:spPr bwMode="auto">
                    <a:xfrm>
                      <a:off x="0" y="0"/>
                      <a:ext cx="5041265" cy="2459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left="4160"/>
        <w:spacing w:after="0"/>
        <w:rPr>
          <w:sz w:val="20"/>
          <w:szCs w:val="20"/>
          <w:color w:val="auto"/>
        </w:rPr>
      </w:pPr>
      <w:r>
        <w:rPr>
          <w:rFonts w:ascii="Times" w:cs="Times" w:eastAsia="Times" w:hAnsi="Times"/>
          <w:sz w:val="26"/>
          <w:szCs w:val="26"/>
          <w:color w:val="auto"/>
        </w:rPr>
        <w:t>Spread Bancário</w:t>
      </w:r>
    </w:p>
    <w:p>
      <w:pPr>
        <w:sectPr>
          <w:pgSz w:w="11900" w:h="16838" w:orient="portrait"/>
          <w:cols w:equalWidth="0" w:num="1">
            <w:col w:w="9360"/>
          </w:cols>
          <w:pgMar w:left="1440" w:top="991" w:right="1106" w:bottom="25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1980"/>
        <w:spacing w:after="0"/>
        <w:rPr>
          <w:sz w:val="20"/>
          <w:szCs w:val="20"/>
          <w:color w:val="auto"/>
        </w:rPr>
      </w:pPr>
      <w:r>
        <w:rPr>
          <w:rFonts w:ascii="Times" w:cs="Times" w:eastAsia="Times" w:hAnsi="Times"/>
          <w:sz w:val="26"/>
          <w:szCs w:val="26"/>
          <w:color w:val="auto"/>
        </w:rPr>
        <w:t>Abrangência</w:t>
      </w:r>
    </w:p>
    <w:p>
      <w:pPr>
        <w:spacing w:after="0" w:line="12" w:lineRule="exact"/>
        <w:rPr>
          <w:sz w:val="20"/>
          <w:szCs w:val="20"/>
          <w:color w:val="auto"/>
        </w:rPr>
      </w:pPr>
    </w:p>
    <w:p>
      <w:pPr>
        <w:ind w:left="2040"/>
        <w:spacing w:after="0"/>
        <w:rPr>
          <w:sz w:val="20"/>
          <w:szCs w:val="20"/>
          <w:color w:val="auto"/>
        </w:rPr>
      </w:pPr>
      <w:r>
        <w:rPr>
          <w:rFonts w:ascii="Times" w:cs="Times" w:eastAsia="Times" w:hAnsi="Times"/>
          <w:sz w:val="26"/>
          <w:szCs w:val="26"/>
          <w:color w:val="auto"/>
        </w:rPr>
        <w:t>da Amostra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center"/>
        <w:ind w:left="1080" w:right="100"/>
        <w:spacing w:after="0" w:line="306" w:lineRule="auto"/>
        <w:rPr>
          <w:sz w:val="20"/>
          <w:szCs w:val="20"/>
          <w:color w:val="auto"/>
        </w:rPr>
      </w:pPr>
      <w:r>
        <w:rPr>
          <w:rFonts w:ascii="Times" w:cs="Times" w:eastAsia="Times" w:hAnsi="Times"/>
          <w:sz w:val="26"/>
          <w:szCs w:val="26"/>
          <w:color w:val="auto"/>
        </w:rPr>
        <w:t>Especificidades das operações de crédito das instituições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jc w:val="center"/>
        <w:spacing w:after="0"/>
        <w:rPr>
          <w:sz w:val="20"/>
          <w:szCs w:val="20"/>
          <w:color w:val="auto"/>
        </w:rPr>
      </w:pPr>
      <w:r>
        <w:rPr>
          <w:rFonts w:ascii="Times" w:cs="Times" w:eastAsia="Times" w:hAnsi="Times"/>
          <w:sz w:val="26"/>
          <w:szCs w:val="26"/>
          <w:color w:val="auto"/>
        </w:rPr>
        <w:t>Conteúdo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firstLine="2"/>
        <w:spacing w:after="0" w:line="388" w:lineRule="auto"/>
        <w:rPr>
          <w:sz w:val="20"/>
          <w:szCs w:val="20"/>
          <w:color w:val="auto"/>
        </w:rPr>
      </w:pPr>
      <w:r>
        <w:rPr>
          <w:rFonts w:ascii="Times" w:cs="Times" w:eastAsia="Times" w:hAnsi="Times"/>
          <w:sz w:val="25"/>
          <w:szCs w:val="25"/>
          <w:color w:val="auto"/>
        </w:rPr>
        <w:t>Subcomponentes de Receitas e Despesas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center"/>
        <w:ind w:right="1240"/>
        <w:spacing w:after="0"/>
        <w:rPr>
          <w:sz w:val="20"/>
          <w:szCs w:val="20"/>
          <w:color w:val="auto"/>
        </w:rPr>
      </w:pPr>
      <w:r>
        <w:rPr>
          <w:rFonts w:ascii="Times" w:cs="Times" w:eastAsia="Times" w:hAnsi="Times"/>
          <w:sz w:val="26"/>
          <w:szCs w:val="26"/>
          <w:color w:val="auto"/>
        </w:rPr>
        <w:t>Origem</w:t>
      </w:r>
    </w:p>
    <w:p>
      <w:pPr>
        <w:spacing w:after="0" w:line="12" w:lineRule="exact"/>
        <w:rPr>
          <w:sz w:val="20"/>
          <w:szCs w:val="20"/>
          <w:color w:val="auto"/>
        </w:rPr>
      </w:pPr>
    </w:p>
    <w:p>
      <w:pPr>
        <w:jc w:val="center"/>
        <w:ind w:right="1240"/>
        <w:spacing w:after="0"/>
        <w:rPr>
          <w:sz w:val="20"/>
          <w:szCs w:val="20"/>
          <w:color w:val="auto"/>
        </w:rPr>
      </w:pPr>
      <w:r>
        <w:rPr>
          <w:rFonts w:ascii="Times" w:cs="Times" w:eastAsia="Times" w:hAnsi="Times"/>
          <w:sz w:val="25"/>
          <w:szCs w:val="25"/>
          <w:color w:val="auto"/>
        </w:rPr>
        <w:t>da Informação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jc w:val="center"/>
        <w:ind w:right="660"/>
        <w:spacing w:after="0"/>
        <w:rPr>
          <w:sz w:val="20"/>
          <w:szCs w:val="20"/>
          <w:color w:val="auto"/>
        </w:rPr>
      </w:pPr>
      <w:r>
        <w:rPr>
          <w:rFonts w:ascii="Times" w:cs="Times" w:eastAsia="Times" w:hAnsi="Times"/>
          <w:sz w:val="26"/>
          <w:szCs w:val="26"/>
          <w:color w:val="auto"/>
        </w:rPr>
        <w:t>Cenários</w:t>
      </w:r>
    </w:p>
    <w:p>
      <w:pPr>
        <w:spacing w:after="0" w:line="12" w:lineRule="exact"/>
        <w:rPr>
          <w:sz w:val="20"/>
          <w:szCs w:val="20"/>
          <w:color w:val="auto"/>
        </w:rPr>
      </w:pPr>
    </w:p>
    <w:p>
      <w:pPr>
        <w:jc w:val="center"/>
        <w:ind w:right="660"/>
        <w:spacing w:after="0"/>
        <w:rPr>
          <w:sz w:val="20"/>
          <w:szCs w:val="20"/>
          <w:color w:val="auto"/>
        </w:rPr>
      </w:pPr>
      <w:r>
        <w:rPr>
          <w:rFonts w:ascii="Times" w:cs="Times" w:eastAsia="Times" w:hAnsi="Times"/>
          <w:sz w:val="26"/>
          <w:szCs w:val="26"/>
          <w:color w:val="auto"/>
        </w:rPr>
        <w:t>Ex-ante e Ex-Post</w:t>
      </w:r>
    </w:p>
    <w:p>
      <w:pPr>
        <w:spacing w:after="0" w:line="499" w:lineRule="exact"/>
        <w:rPr>
          <w:sz w:val="20"/>
          <w:szCs w:val="20"/>
          <w:color w:val="auto"/>
        </w:rPr>
      </w:pPr>
    </w:p>
    <w:p>
      <w:pPr>
        <w:sectPr>
          <w:pgSz w:w="11900" w:h="16838" w:orient="portrait"/>
          <w:cols w:equalWidth="0" w:num="3">
            <w:col w:w="3320" w:space="660"/>
            <w:col w:w="2080" w:space="560"/>
            <w:col w:w="2740"/>
          </w:cols>
          <w:pgMar w:left="1440" w:top="991" w:right="1106" w:bottom="255" w:gutter="0" w:footer="0" w:header="0"/>
          <w:type w:val="continuous"/>
        </w:sectPr>
      </w:pPr>
    </w:p>
    <w:p>
      <w:pPr>
        <w:jc w:val="center"/>
        <w:ind w:right="-23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com base em (LEAL, 2006)</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260" w:firstLine="858"/>
        <w:spacing w:after="0" w:line="419" w:lineRule="auto"/>
        <w:rPr>
          <w:sz w:val="20"/>
          <w:szCs w:val="20"/>
          <w:color w:val="auto"/>
        </w:rPr>
      </w:pPr>
      <w:r>
        <w:rPr>
          <w:rFonts w:ascii="Arial" w:cs="Arial" w:eastAsia="Arial" w:hAnsi="Arial"/>
          <w:sz w:val="24"/>
          <w:szCs w:val="24"/>
          <w:color w:val="auto"/>
        </w:rPr>
        <w:t>A abordagem em torno do conteúdo está relacionada com os subcomponen-tes que envolvem a receita e as despesas das intermediações financeiras, podendo englobar, ou não, as tarifas e comissões sobre as taxas de captações e aplicação (BROCK; ROJAS SUAREZ, 2000). Porém com o formato atual dos dados divulgados, não é psosivel uma análises deste nível.</w:t>
      </w:r>
    </w:p>
    <w:p>
      <w:pPr>
        <w:spacing w:after="0" w:line="101" w:lineRule="exact"/>
        <w:rPr>
          <w:sz w:val="20"/>
          <w:szCs w:val="20"/>
          <w:color w:val="auto"/>
        </w:rPr>
      </w:pPr>
    </w:p>
    <w:p>
      <w:pPr>
        <w:jc w:val="both"/>
        <w:ind w:left="260" w:firstLine="858"/>
        <w:spacing w:after="0" w:line="440" w:lineRule="auto"/>
        <w:rPr>
          <w:sz w:val="20"/>
          <w:szCs w:val="20"/>
          <w:color w:val="auto"/>
        </w:rPr>
      </w:pPr>
      <w:r>
        <w:rPr>
          <w:rFonts w:ascii="Arial" w:cs="Arial" w:eastAsia="Arial" w:hAnsi="Arial"/>
          <w:sz w:val="23"/>
          <w:szCs w:val="23"/>
          <w:color w:val="auto"/>
        </w:rPr>
        <w:t>A origem da informação é analisada em dois cenários: ex-ante e ex-post (DEMIRGÜÇ-KUNT; HUIZINGAGA, 1999; LEVINE, 1997). A perspectiva ex-ante refere-se ao planejamento e expectativas das instituições bancárias em relação ao mercado de crédito e os riscos envolvidos, obtido por método de precificação envolvendo as taxas de captação e empréstimo (DURIGAN et al., 2018; LEAL, 2006; DANTAS, 2012).</w:t>
      </w:r>
    </w:p>
    <w:p>
      <w:pPr>
        <w:spacing w:after="0" w:line="86" w:lineRule="exact"/>
        <w:rPr>
          <w:sz w:val="20"/>
          <w:szCs w:val="20"/>
          <w:color w:val="auto"/>
        </w:rPr>
      </w:pPr>
    </w:p>
    <w:p>
      <w:pPr>
        <w:jc w:val="both"/>
        <w:ind w:left="260" w:right="20" w:firstLine="850"/>
        <w:spacing w:after="0" w:line="419" w:lineRule="auto"/>
        <w:rPr>
          <w:sz w:val="20"/>
          <w:szCs w:val="20"/>
          <w:color w:val="auto"/>
        </w:rPr>
      </w:pPr>
      <w:r>
        <w:rPr>
          <w:rFonts w:ascii="Arial" w:cs="Arial" w:eastAsia="Arial" w:hAnsi="Arial"/>
          <w:sz w:val="24"/>
          <w:szCs w:val="24"/>
          <w:color w:val="auto"/>
        </w:rPr>
        <w:t>O spread ex-ante, por se tratar de um indicador de planejamento, refletindo as expectativas das instituições bancárias em relação ao mercado, finda demonstrando-se mais volátil, não representando as taxas efetivas realizadas. As informações ex-ante são repassadas ao Banco Central que as divulga (DURIGAN et al., 2018; LEAL, 2006; DANTAS, 2012).</w:t>
      </w:r>
    </w:p>
    <w:p>
      <w:pPr>
        <w:spacing w:after="0" w:line="101" w:lineRule="exact"/>
        <w:rPr>
          <w:sz w:val="20"/>
          <w:szCs w:val="20"/>
          <w:color w:val="auto"/>
        </w:rPr>
      </w:pPr>
    </w:p>
    <w:p>
      <w:pPr>
        <w:jc w:val="both"/>
        <w:ind w:left="260" w:firstLine="850"/>
        <w:spacing w:after="0" w:line="460" w:lineRule="auto"/>
        <w:rPr>
          <w:sz w:val="20"/>
          <w:szCs w:val="20"/>
          <w:color w:val="auto"/>
        </w:rPr>
      </w:pPr>
      <w:r>
        <w:rPr>
          <w:rFonts w:ascii="Arial" w:cs="Arial" w:eastAsia="Arial" w:hAnsi="Arial"/>
          <w:sz w:val="23"/>
          <w:szCs w:val="23"/>
          <w:color w:val="auto"/>
        </w:rPr>
        <w:t>No spread ex-post as margens são obtidas mediante a apuração dos resultados contábeis, através dos demonstrativos, considerando as receitas e custos efetivos,</w:t>
      </w:r>
    </w:p>
    <w:p>
      <w:pPr>
        <w:sectPr>
          <w:pgSz w:w="11900" w:h="16838" w:orient="portrait"/>
          <w:cols w:equalWidth="0" w:num="1">
            <w:col w:w="9360"/>
          </w:cols>
          <w:pgMar w:left="1440" w:top="991" w:right="1106" w:bottom="255" w:gutter="0" w:footer="0" w:header="0"/>
          <w:type w:val="continuous"/>
        </w:sectPr>
      </w:pPr>
    </w:p>
    <w:p>
      <w:pPr>
        <w:ind w:left="9060"/>
        <w:spacing w:after="0"/>
        <w:rPr>
          <w:sz w:val="20"/>
          <w:szCs w:val="20"/>
          <w:color w:val="auto"/>
        </w:rPr>
      </w:pPr>
      <w:r>
        <w:rPr>
          <w:rFonts w:ascii="Arial" w:cs="Arial" w:eastAsia="Arial" w:hAnsi="Arial"/>
          <w:sz w:val="24"/>
          <w:szCs w:val="24"/>
          <w:color w:val="auto"/>
        </w:rPr>
        <w:t>35</w:t>
      </w:r>
    </w:p>
    <w:p>
      <w:pPr>
        <w:spacing w:after="0" w:line="200" w:lineRule="exact"/>
        <w:rPr>
          <w:sz w:val="20"/>
          <w:szCs w:val="20"/>
          <w:color w:val="auto"/>
        </w:rPr>
      </w:pPr>
    </w:p>
    <w:p>
      <w:pPr>
        <w:spacing w:after="0" w:line="246" w:lineRule="exact"/>
        <w:rPr>
          <w:sz w:val="20"/>
          <w:szCs w:val="20"/>
          <w:color w:val="auto"/>
        </w:rPr>
      </w:pPr>
    </w:p>
    <w:p>
      <w:pPr>
        <w:jc w:val="both"/>
        <w:ind w:left="260" w:right="20"/>
        <w:spacing w:after="0" w:line="447" w:lineRule="auto"/>
        <w:rPr>
          <w:sz w:val="20"/>
          <w:szCs w:val="20"/>
          <w:color w:val="auto"/>
        </w:rPr>
      </w:pPr>
      <w:r>
        <w:rPr>
          <w:rFonts w:ascii="Arial" w:cs="Arial" w:eastAsia="Arial" w:hAnsi="Arial"/>
          <w:sz w:val="23"/>
          <w:szCs w:val="23"/>
          <w:color w:val="auto"/>
        </w:rPr>
        <w:t>implicando nos resultados realizados pelas instituições financeiras (DEMIRGÜÇ-KUNT; HUIZINGAGA, 1999; DURIGAN et al., 2018). Nesse sentido, em termos médios, as taxas ex-post se demonstram mais estáveis (LEAL, 2006; DANTAS, 2012).</w:t>
      </w:r>
    </w:p>
    <w:p>
      <w:pPr>
        <w:spacing w:after="0" w:line="76"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Em oposição a medida de planejamento spread ex-ante, disponibilizada de forma agregada, o spread ex-post, por mostrar a diferença entre as taxas de aplicação e captação obtidas diretamente das demonstrações contábeis, se configura na efetiva margem realizada por cada instituições no período avaliado, e por isso com um maior para fins de análises (DANTAS, 2012).</w:t>
      </w:r>
    </w:p>
    <w:p>
      <w:pPr>
        <w:spacing w:after="0" w:line="101" w:lineRule="exact"/>
        <w:rPr>
          <w:sz w:val="20"/>
          <w:szCs w:val="20"/>
          <w:color w:val="auto"/>
        </w:rPr>
      </w:pPr>
    </w:p>
    <w:p>
      <w:pPr>
        <w:jc w:val="both"/>
        <w:ind w:left="260" w:firstLine="858"/>
        <w:spacing w:after="0" w:line="440" w:lineRule="auto"/>
        <w:rPr>
          <w:sz w:val="20"/>
          <w:szCs w:val="20"/>
          <w:color w:val="auto"/>
        </w:rPr>
      </w:pPr>
      <w:r>
        <w:rPr>
          <w:rFonts w:ascii="Arial" w:cs="Arial" w:eastAsia="Arial" w:hAnsi="Arial"/>
          <w:sz w:val="23"/>
          <w:szCs w:val="23"/>
          <w:color w:val="auto"/>
        </w:rPr>
        <w:t>Reduções no spread ex-post não necessariamente significam aumento da efici-ência de intermediação, pois podem estar associadas a uma redução da inadimplência (DEMIRGÜÇ-KUNT; HUIZINGAGA, 1999). Como observado em Klein (1971) e Ho e Saunders (1981) o spread bancário é determinado de acordo com as características e os riscos envolvidos nas operações, inerentes em cada estrutura de mercado.</w:t>
      </w:r>
    </w:p>
    <w:p>
      <w:pPr>
        <w:spacing w:after="0" w:line="301" w:lineRule="exact"/>
        <w:rPr>
          <w:sz w:val="20"/>
          <w:szCs w:val="20"/>
          <w:color w:val="auto"/>
        </w:rPr>
      </w:pPr>
    </w:p>
    <w:p>
      <w:pPr>
        <w:ind w:left="260"/>
        <w:spacing w:after="0"/>
        <w:tabs>
          <w:tab w:leader="none" w:pos="1000" w:val="left"/>
        </w:tabs>
        <w:rPr>
          <w:sz w:val="20"/>
          <w:szCs w:val="20"/>
          <w:color w:val="auto"/>
        </w:rPr>
      </w:pPr>
      <w:r>
        <w:rPr>
          <w:rFonts w:ascii="Arial" w:cs="Arial" w:eastAsia="Arial" w:hAnsi="Arial"/>
          <w:sz w:val="24"/>
          <w:szCs w:val="24"/>
          <w:color w:val="auto"/>
        </w:rPr>
        <w:t>2.2.2</w:t>
        <w:tab/>
        <w:t>SPREAD BANCÁRIO NO BRASIL</w:t>
      </w:r>
    </w:p>
    <w:p>
      <w:pPr>
        <w:spacing w:after="0" w:line="357"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No Brasil, a taxa de aplicação para crédito de recursos livres é pactuado entre instituição e tomador. Somente as operações de crédito envolvendo recursos direcio-nados são sujeitas à limites, não podendo exceder 12% a.a. mais a taxa referencial de juros (BACEN, 2016).O que faz spread bancário estar inserido nos mecanismos de mercado, sujeito a flutuações de oferta e demanda.</w:t>
      </w:r>
    </w:p>
    <w:p>
      <w:pPr>
        <w:spacing w:after="0" w:line="101" w:lineRule="exact"/>
        <w:rPr>
          <w:sz w:val="20"/>
          <w:szCs w:val="20"/>
          <w:color w:val="auto"/>
        </w:rPr>
      </w:pPr>
    </w:p>
    <w:p>
      <w:pPr>
        <w:jc w:val="both"/>
        <w:ind w:left="260" w:right="40" w:firstLine="858"/>
        <w:spacing w:after="0" w:line="419" w:lineRule="auto"/>
        <w:rPr>
          <w:sz w:val="20"/>
          <w:szCs w:val="20"/>
          <w:color w:val="auto"/>
        </w:rPr>
      </w:pPr>
      <w:r>
        <w:rPr>
          <w:rFonts w:ascii="Arial" w:cs="Arial" w:eastAsia="Arial" w:hAnsi="Arial"/>
          <w:sz w:val="24"/>
          <w:szCs w:val="24"/>
          <w:color w:val="auto"/>
        </w:rPr>
        <w:t>No mercado bancário brasileiro, o modelo consolidado de mensuração do spread bancário, de acordo com demonstrado na Tabela 5, leva em consideração o saldo médio de capital emprestado, e a diferença entre as receitas de aplicação e despesas de captação, ocorrendo a classificação em spread bruto, direto e líquido (FIPECAFI, 2005)</w:t>
      </w:r>
    </w:p>
    <w:p>
      <w:pPr>
        <w:spacing w:after="0" w:line="101" w:lineRule="exact"/>
        <w:rPr>
          <w:sz w:val="20"/>
          <w:szCs w:val="20"/>
          <w:color w:val="auto"/>
        </w:rPr>
      </w:pPr>
    </w:p>
    <w:p>
      <w:pPr>
        <w:jc w:val="both"/>
        <w:ind w:left="260" w:right="40" w:firstLine="850"/>
        <w:spacing w:after="0" w:line="473" w:lineRule="auto"/>
        <w:rPr>
          <w:sz w:val="20"/>
          <w:szCs w:val="20"/>
          <w:color w:val="auto"/>
        </w:rPr>
      </w:pPr>
      <w:r>
        <w:rPr>
          <w:rFonts w:ascii="Arial" w:cs="Arial" w:eastAsia="Arial" w:hAnsi="Arial"/>
          <w:sz w:val="22"/>
          <w:szCs w:val="22"/>
          <w:color w:val="auto"/>
        </w:rPr>
        <w:t>O Banco Central, em 1999, iniciou uma série de estudos e medidas com objetivo de reduzir a taxa de juros e o spread realizados no setor bancário brasileiro, atuando na identificação e ajustes em variáveis econômicas influentes. Entre as primeiras medidas</w:t>
      </w:r>
    </w:p>
    <w:p>
      <w:pPr>
        <w:sectPr>
          <w:pgSz w:w="11900" w:h="16838" w:orient="portrait"/>
          <w:cols w:equalWidth="0" w:num="1">
            <w:col w:w="9360"/>
          </w:cols>
          <w:pgMar w:left="1440" w:top="991" w:right="1106" w:bottom="621" w:gutter="0" w:footer="0" w:header="0"/>
        </w:sectPr>
      </w:pPr>
    </w:p>
    <w:tbl>
      <w:tblPr>
        <w:tblLayout w:type="fixed"/>
        <w:tblInd w:w="260" w:type="dxa"/>
        <w:tblCellMar>
          <w:top w:w="0" w:type="dxa"/>
          <w:left w:w="0" w:type="dxa"/>
          <w:bottom w:w="0" w:type="dxa"/>
          <w:right w:w="0" w:type="dxa"/>
        </w:tblCellMar>
      </w:tblPr>
      <w:tr>
        <w:trPr>
          <w:trHeight w:val="294"/>
        </w:trPr>
        <w:tc>
          <w:tcPr>
            <w:tcW w:w="1300" w:type="dxa"/>
            <w:vAlign w:val="bottom"/>
          </w:tcPr>
          <w:p>
            <w:pPr>
              <w:spacing w:after="0"/>
              <w:rPr>
                <w:sz w:val="24"/>
                <w:szCs w:val="24"/>
                <w:color w:val="auto"/>
              </w:rPr>
            </w:pPr>
          </w:p>
        </w:tc>
        <w:tc>
          <w:tcPr>
            <w:tcW w:w="166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3000" w:type="dxa"/>
            <w:vAlign w:val="bottom"/>
          </w:tcPr>
          <w:p>
            <w:pPr>
              <w:jc w:val="right"/>
              <w:spacing w:after="0"/>
              <w:rPr>
                <w:sz w:val="20"/>
                <w:szCs w:val="20"/>
                <w:color w:val="auto"/>
              </w:rPr>
            </w:pPr>
            <w:r>
              <w:rPr>
                <w:rFonts w:ascii="Arial" w:cs="Arial" w:eastAsia="Arial" w:hAnsi="Arial"/>
                <w:sz w:val="24"/>
                <w:szCs w:val="24"/>
                <w:color w:val="auto"/>
              </w:rPr>
              <w:t>36</w:t>
            </w:r>
          </w:p>
        </w:tc>
        <w:tc>
          <w:tcPr>
            <w:tcW w:w="0" w:type="dxa"/>
            <w:vAlign w:val="bottom"/>
          </w:tcPr>
          <w:p>
            <w:pPr>
              <w:spacing w:after="0"/>
              <w:rPr>
                <w:sz w:val="1"/>
                <w:szCs w:val="1"/>
                <w:color w:val="auto"/>
              </w:rPr>
            </w:pPr>
          </w:p>
        </w:tc>
      </w:tr>
      <w:tr>
        <w:trPr>
          <w:trHeight w:val="722"/>
        </w:trPr>
        <w:tc>
          <w:tcPr>
            <w:tcW w:w="9060" w:type="dxa"/>
            <w:vAlign w:val="bottom"/>
            <w:gridSpan w:val="5"/>
          </w:tcPr>
          <w:p>
            <w:pPr>
              <w:spacing w:after="0"/>
              <w:rPr>
                <w:sz w:val="20"/>
                <w:szCs w:val="20"/>
                <w:color w:val="auto"/>
              </w:rPr>
            </w:pPr>
            <w:r>
              <w:rPr>
                <w:rFonts w:ascii="Arial" w:cs="Arial" w:eastAsia="Arial" w:hAnsi="Arial"/>
                <w:sz w:val="24"/>
                <w:szCs w:val="24"/>
                <w:color w:val="auto"/>
                <w:w w:val="97"/>
              </w:rPr>
              <w:t>estavam a redução da taxa de compulsório para depósitos a vista e até a extinção para</w:t>
            </w:r>
          </w:p>
        </w:tc>
        <w:tc>
          <w:tcPr>
            <w:tcW w:w="0" w:type="dxa"/>
            <w:vAlign w:val="bottom"/>
          </w:tcPr>
          <w:p>
            <w:pPr>
              <w:spacing w:after="0"/>
              <w:rPr>
                <w:sz w:val="1"/>
                <w:szCs w:val="1"/>
                <w:color w:val="auto"/>
              </w:rPr>
            </w:pPr>
          </w:p>
        </w:tc>
      </w:tr>
      <w:tr>
        <w:trPr>
          <w:trHeight w:val="478"/>
        </w:trPr>
        <w:tc>
          <w:tcPr>
            <w:tcW w:w="9060" w:type="dxa"/>
            <w:vAlign w:val="bottom"/>
            <w:gridSpan w:val="5"/>
          </w:tcPr>
          <w:p>
            <w:pPr>
              <w:spacing w:after="0"/>
              <w:rPr>
                <w:sz w:val="20"/>
                <w:szCs w:val="20"/>
                <w:color w:val="auto"/>
              </w:rPr>
            </w:pPr>
            <w:r>
              <w:rPr>
                <w:rFonts w:ascii="Arial" w:cs="Arial" w:eastAsia="Arial" w:hAnsi="Arial"/>
                <w:sz w:val="24"/>
                <w:szCs w:val="24"/>
                <w:color w:val="auto"/>
              </w:rPr>
              <w:t>depósitos a prazo, redução do IOF e a redução da Selic (BACEN, 2000).</w:t>
            </w:r>
          </w:p>
        </w:tc>
        <w:tc>
          <w:tcPr>
            <w:tcW w:w="0" w:type="dxa"/>
            <w:vAlign w:val="bottom"/>
          </w:tcPr>
          <w:p>
            <w:pPr>
              <w:spacing w:after="0"/>
              <w:rPr>
                <w:sz w:val="1"/>
                <w:szCs w:val="1"/>
                <w:color w:val="auto"/>
              </w:rPr>
            </w:pPr>
          </w:p>
        </w:tc>
      </w:tr>
      <w:tr>
        <w:trPr>
          <w:trHeight w:val="516"/>
        </w:trPr>
        <w:tc>
          <w:tcPr>
            <w:tcW w:w="1300" w:type="dxa"/>
            <w:vAlign w:val="bottom"/>
          </w:tcPr>
          <w:p>
            <w:pPr>
              <w:spacing w:after="0"/>
              <w:rPr>
                <w:sz w:val="24"/>
                <w:szCs w:val="24"/>
                <w:color w:val="auto"/>
              </w:rPr>
            </w:pPr>
          </w:p>
        </w:tc>
        <w:tc>
          <w:tcPr>
            <w:tcW w:w="7760" w:type="dxa"/>
            <w:vAlign w:val="bottom"/>
            <w:gridSpan w:val="4"/>
          </w:tcPr>
          <w:p>
            <w:pPr>
              <w:jc w:val="right"/>
              <w:ind w:right="1495"/>
              <w:spacing w:after="0"/>
              <w:rPr>
                <w:sz w:val="20"/>
                <w:szCs w:val="20"/>
                <w:color w:val="auto"/>
              </w:rPr>
            </w:pPr>
            <w:r>
              <w:rPr>
                <w:rFonts w:ascii="Arial" w:cs="Arial" w:eastAsia="Arial" w:hAnsi="Arial"/>
                <w:sz w:val="22"/>
                <w:szCs w:val="22"/>
                <w:color w:val="auto"/>
              </w:rPr>
              <w:t>Figura 13 – Evolução do spread bancário brasileiro até 2011</w:t>
            </w:r>
          </w:p>
        </w:tc>
        <w:tc>
          <w:tcPr>
            <w:tcW w:w="0" w:type="dxa"/>
            <w:vAlign w:val="bottom"/>
          </w:tcPr>
          <w:p>
            <w:pPr>
              <w:spacing w:after="0"/>
              <w:rPr>
                <w:sz w:val="1"/>
                <w:szCs w:val="1"/>
                <w:color w:val="auto"/>
              </w:rPr>
            </w:pPr>
          </w:p>
        </w:tc>
      </w:tr>
      <w:tr>
        <w:trPr>
          <w:trHeight w:val="651"/>
        </w:trPr>
        <w:tc>
          <w:tcPr>
            <w:tcW w:w="1300" w:type="dxa"/>
            <w:vAlign w:val="bottom"/>
          </w:tcPr>
          <w:p>
            <w:pPr>
              <w:spacing w:after="0"/>
              <w:rPr>
                <w:sz w:val="24"/>
                <w:szCs w:val="24"/>
                <w:color w:val="auto"/>
              </w:rPr>
            </w:pPr>
          </w:p>
        </w:tc>
        <w:tc>
          <w:tcPr>
            <w:tcW w:w="1660" w:type="dxa"/>
            <w:vAlign w:val="bottom"/>
          </w:tcPr>
          <w:p>
            <w:pPr>
              <w:jc w:val="right"/>
              <w:ind w:right="1226"/>
              <w:spacing w:after="0"/>
              <w:rPr>
                <w:sz w:val="20"/>
                <w:szCs w:val="20"/>
                <w:color w:val="auto"/>
              </w:rPr>
            </w:pPr>
            <w:r>
              <w:rPr>
                <w:rFonts w:ascii="Helvetica" w:cs="Helvetica" w:eastAsia="Helvetica" w:hAnsi="Helvetica"/>
                <w:sz w:val="18"/>
                <w:szCs w:val="18"/>
                <w:color w:val="4D4D4D"/>
              </w:rPr>
              <w:t>150</w:t>
            </w:r>
          </w:p>
        </w:tc>
        <w:tc>
          <w:tcPr>
            <w:tcW w:w="156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3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72"/>
        </w:trPr>
        <w:tc>
          <w:tcPr>
            <w:tcW w:w="1300" w:type="dxa"/>
            <w:vAlign w:val="bottom"/>
            <w:textDirection w:val="btLr"/>
          </w:tcPr>
          <w:p>
            <w:pPr>
              <w:ind w:left="1036"/>
              <w:spacing w:after="0"/>
              <w:rPr>
                <w:sz w:val="20"/>
                <w:szCs w:val="20"/>
                <w:color w:val="auto"/>
              </w:rPr>
            </w:pPr>
            <w:r>
              <w:rPr>
                <w:rFonts w:ascii="Helvetica" w:cs="Helvetica" w:eastAsia="Helvetica" w:hAnsi="Helvetica"/>
                <w:sz w:val="22"/>
                <w:szCs w:val="22"/>
                <w:color w:val="auto"/>
                <w:w w:val="91"/>
              </w:rPr>
              <w:t>%</w:t>
            </w:r>
          </w:p>
        </w:tc>
        <w:tc>
          <w:tcPr>
            <w:tcW w:w="166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3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61"/>
        </w:trPr>
        <w:tc>
          <w:tcPr>
            <w:tcW w:w="1300" w:type="dxa"/>
            <w:vAlign w:val="bottom"/>
            <w:vMerge w:val="restart"/>
            <w:textDirection w:val="btLr"/>
          </w:tcPr>
          <w:p>
            <w:pPr>
              <w:ind w:left="1036"/>
              <w:spacing w:after="0"/>
              <w:rPr>
                <w:sz w:val="20"/>
                <w:szCs w:val="20"/>
                <w:color w:val="auto"/>
              </w:rPr>
            </w:pPr>
            <w:r>
              <w:rPr>
                <w:rFonts w:ascii="Helvetica" w:cs="Helvetica" w:eastAsia="Helvetica" w:hAnsi="Helvetica"/>
                <w:sz w:val="22"/>
                <w:szCs w:val="22"/>
                <w:color w:val="auto"/>
              </w:rPr>
              <w:t>Spread Médio</w:t>
            </w:r>
          </w:p>
        </w:tc>
        <w:tc>
          <w:tcPr>
            <w:tcW w:w="1660" w:type="dxa"/>
            <w:vAlign w:val="bottom"/>
          </w:tcPr>
          <w:p>
            <w:pPr>
              <w:jc w:val="right"/>
              <w:ind w:right="1226"/>
              <w:spacing w:after="0"/>
              <w:rPr>
                <w:sz w:val="20"/>
                <w:szCs w:val="20"/>
                <w:color w:val="auto"/>
              </w:rPr>
            </w:pPr>
            <w:r>
              <w:rPr>
                <w:rFonts w:ascii="Helvetica" w:cs="Helvetica" w:eastAsia="Helvetica" w:hAnsi="Helvetica"/>
                <w:sz w:val="18"/>
                <w:szCs w:val="18"/>
                <w:color w:val="4D4D4D"/>
              </w:rPr>
              <w:t>100</w:t>
            </w:r>
          </w:p>
        </w:tc>
        <w:tc>
          <w:tcPr>
            <w:tcW w:w="156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3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94"/>
        </w:trPr>
        <w:tc>
          <w:tcPr>
            <w:tcW w:w="1300" w:type="dxa"/>
            <w:vAlign w:val="bottom"/>
            <w:vMerge w:val="continue"/>
          </w:tcPr>
          <w:p>
            <w:pPr>
              <w:spacing w:after="0"/>
              <w:rPr>
                <w:sz w:val="24"/>
                <w:szCs w:val="24"/>
                <w:color w:val="auto"/>
              </w:rPr>
            </w:pPr>
          </w:p>
        </w:tc>
        <w:tc>
          <w:tcPr>
            <w:tcW w:w="1660" w:type="dxa"/>
            <w:vAlign w:val="bottom"/>
            <w:vMerge w:val="restart"/>
          </w:tcPr>
          <w:p>
            <w:pPr>
              <w:jc w:val="right"/>
              <w:ind w:right="1226"/>
              <w:spacing w:after="0"/>
              <w:rPr>
                <w:sz w:val="20"/>
                <w:szCs w:val="20"/>
                <w:color w:val="auto"/>
              </w:rPr>
            </w:pPr>
            <w:r>
              <w:rPr>
                <w:rFonts w:ascii="Helvetica" w:cs="Helvetica" w:eastAsia="Helvetica" w:hAnsi="Helvetica"/>
                <w:sz w:val="18"/>
                <w:szCs w:val="18"/>
                <w:color w:val="4D4D4D"/>
              </w:rPr>
              <w:t>50</w:t>
            </w:r>
          </w:p>
        </w:tc>
        <w:tc>
          <w:tcPr>
            <w:tcW w:w="156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30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0"/>
        </w:trPr>
        <w:tc>
          <w:tcPr>
            <w:tcW w:w="1300" w:type="dxa"/>
            <w:vAlign w:val="bottom"/>
          </w:tcPr>
          <w:p>
            <w:pPr>
              <w:spacing w:after="0"/>
              <w:rPr>
                <w:sz w:val="20"/>
                <w:szCs w:val="20"/>
                <w:color w:val="auto"/>
              </w:rPr>
            </w:pPr>
          </w:p>
        </w:tc>
        <w:tc>
          <w:tcPr>
            <w:tcW w:w="1660" w:type="dxa"/>
            <w:vAlign w:val="bottom"/>
            <w:vMerge w:val="continue"/>
          </w:tcPr>
          <w:p>
            <w:pPr>
              <w:spacing w:after="0"/>
              <w:rPr>
                <w:sz w:val="20"/>
                <w:szCs w:val="20"/>
                <w:color w:val="auto"/>
              </w:rPr>
            </w:pPr>
          </w:p>
        </w:tc>
        <w:tc>
          <w:tcPr>
            <w:tcW w:w="1560" w:type="dxa"/>
            <w:vAlign w:val="bottom"/>
          </w:tcPr>
          <w:p>
            <w:pPr>
              <w:spacing w:after="0"/>
              <w:rPr>
                <w:sz w:val="20"/>
                <w:szCs w:val="20"/>
                <w:color w:val="auto"/>
              </w:rPr>
            </w:pPr>
          </w:p>
        </w:tc>
        <w:tc>
          <w:tcPr>
            <w:tcW w:w="1560" w:type="dxa"/>
            <w:vAlign w:val="bottom"/>
          </w:tcPr>
          <w:p>
            <w:pPr>
              <w:spacing w:after="0"/>
              <w:rPr>
                <w:sz w:val="20"/>
                <w:szCs w:val="20"/>
                <w:color w:val="auto"/>
              </w:rPr>
            </w:pPr>
          </w:p>
        </w:tc>
        <w:tc>
          <w:tcPr>
            <w:tcW w:w="30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001"/>
        </w:trPr>
        <w:tc>
          <w:tcPr>
            <w:tcW w:w="1300" w:type="dxa"/>
            <w:vAlign w:val="bottom"/>
          </w:tcPr>
          <w:p>
            <w:pPr>
              <w:spacing w:after="0"/>
              <w:rPr>
                <w:sz w:val="24"/>
                <w:szCs w:val="24"/>
                <w:color w:val="auto"/>
              </w:rPr>
            </w:pPr>
          </w:p>
        </w:tc>
        <w:tc>
          <w:tcPr>
            <w:tcW w:w="1660" w:type="dxa"/>
            <w:vAlign w:val="bottom"/>
          </w:tcPr>
          <w:p>
            <w:pPr>
              <w:jc w:val="right"/>
              <w:ind w:right="486"/>
              <w:spacing w:after="0"/>
              <w:rPr>
                <w:sz w:val="20"/>
                <w:szCs w:val="20"/>
                <w:color w:val="auto"/>
              </w:rPr>
            </w:pPr>
            <w:r>
              <w:rPr>
                <w:rFonts w:ascii="Helvetica" w:cs="Helvetica" w:eastAsia="Helvetica" w:hAnsi="Helvetica"/>
                <w:sz w:val="18"/>
                <w:szCs w:val="18"/>
                <w:color w:val="4D4D4D"/>
              </w:rPr>
              <w:t>1995</w:t>
            </w:r>
          </w:p>
        </w:tc>
        <w:tc>
          <w:tcPr>
            <w:tcW w:w="1560" w:type="dxa"/>
            <w:vAlign w:val="bottom"/>
          </w:tcPr>
          <w:p>
            <w:pPr>
              <w:jc w:val="right"/>
              <w:ind w:right="490"/>
              <w:spacing w:after="0"/>
              <w:rPr>
                <w:sz w:val="20"/>
                <w:szCs w:val="20"/>
                <w:color w:val="auto"/>
              </w:rPr>
            </w:pPr>
            <w:r>
              <w:rPr>
                <w:rFonts w:ascii="Helvetica" w:cs="Helvetica" w:eastAsia="Helvetica" w:hAnsi="Helvetica"/>
                <w:sz w:val="18"/>
                <w:szCs w:val="18"/>
                <w:color w:val="4D4D4D"/>
              </w:rPr>
              <w:t>2000</w:t>
            </w:r>
          </w:p>
        </w:tc>
        <w:tc>
          <w:tcPr>
            <w:tcW w:w="1560" w:type="dxa"/>
            <w:vAlign w:val="bottom"/>
          </w:tcPr>
          <w:p>
            <w:pPr>
              <w:jc w:val="right"/>
              <w:ind w:right="490"/>
              <w:spacing w:after="0"/>
              <w:rPr>
                <w:sz w:val="20"/>
                <w:szCs w:val="20"/>
                <w:color w:val="auto"/>
              </w:rPr>
            </w:pPr>
            <w:r>
              <w:rPr>
                <w:rFonts w:ascii="Helvetica" w:cs="Helvetica" w:eastAsia="Helvetica" w:hAnsi="Helvetica"/>
                <w:sz w:val="18"/>
                <w:szCs w:val="18"/>
                <w:color w:val="4D4D4D"/>
              </w:rPr>
              <w:t>2005</w:t>
            </w:r>
          </w:p>
        </w:tc>
        <w:tc>
          <w:tcPr>
            <w:tcW w:w="3000" w:type="dxa"/>
            <w:vAlign w:val="bottom"/>
          </w:tcPr>
          <w:p>
            <w:pPr>
              <w:jc w:val="right"/>
              <w:ind w:right="1895"/>
              <w:spacing w:after="0"/>
              <w:rPr>
                <w:sz w:val="20"/>
                <w:szCs w:val="20"/>
                <w:color w:val="auto"/>
              </w:rPr>
            </w:pPr>
            <w:r>
              <w:rPr>
                <w:rFonts w:ascii="Helvetica" w:cs="Helvetica" w:eastAsia="Helvetica" w:hAnsi="Helvetica"/>
                <w:sz w:val="18"/>
                <w:szCs w:val="18"/>
                <w:color w:val="4D4D4D"/>
              </w:rPr>
              <w:t>2010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1236345</wp:posOffset>
            </wp:positionH>
            <wp:positionV relativeFrom="paragraph">
              <wp:posOffset>-2437765</wp:posOffset>
            </wp:positionV>
            <wp:extent cx="4048760" cy="230314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extLst>
                    </a:blip>
                    <a:srcRect/>
                    <a:stretch>
                      <a:fillRect/>
                    </a:stretch>
                  </pic:blipFill>
                  <pic:spPr bwMode="auto">
                    <a:xfrm>
                      <a:off x="0" y="0"/>
                      <a:ext cx="4048760" cy="2303145"/>
                    </a:xfrm>
                    <a:prstGeom prst="rect">
                      <a:avLst/>
                    </a:prstGeom>
                    <a:noFill/>
                  </pic:spPr>
                </pic:pic>
              </a:graphicData>
            </a:graphic>
          </wp:anchor>
        </w:drawing>
      </w:r>
    </w:p>
    <w:p>
      <w:pPr>
        <w:spacing w:after="0" w:line="233" w:lineRule="exact"/>
        <w:rPr>
          <w:sz w:val="20"/>
          <w:szCs w:val="20"/>
          <w:color w:val="auto"/>
        </w:rPr>
      </w:pPr>
    </w:p>
    <w:p>
      <w:pPr>
        <w:ind w:left="226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de dados do Banco Central</w:t>
      </w: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A Figura 13 mostra a evolução do spread bancário brasileiro médio entre os anos de 1994 e 2012, chegando a atingir 146.44%, com significativa queda ao longo desse período, atingindo 24.69% ao final. Esta série foi descontinuada em 2012, passando a ser utilizada nova metodologia de cálculo.</w:t>
      </w:r>
    </w:p>
    <w:p>
      <w:pPr>
        <w:spacing w:after="0" w:line="96" w:lineRule="exact"/>
        <w:rPr>
          <w:sz w:val="20"/>
          <w:szCs w:val="20"/>
          <w:color w:val="auto"/>
        </w:rPr>
      </w:pPr>
    </w:p>
    <w:p>
      <w:pPr>
        <w:jc w:val="both"/>
        <w:ind w:left="260" w:right="40" w:firstLine="850"/>
        <w:spacing w:after="0" w:line="447" w:lineRule="auto"/>
        <w:rPr>
          <w:sz w:val="20"/>
          <w:szCs w:val="20"/>
          <w:color w:val="auto"/>
        </w:rPr>
      </w:pPr>
      <w:r>
        <w:rPr>
          <w:rFonts w:ascii="Arial" w:cs="Arial" w:eastAsia="Arial" w:hAnsi="Arial"/>
          <w:sz w:val="23"/>
          <w:szCs w:val="23"/>
          <w:color w:val="auto"/>
        </w:rPr>
        <w:t>O Banco Central, até 2007 utilizava metodologia para avaliação do spread bancário contemplando somente os recursos livres, o que não vinha a proporcionar uma avaliação mais aprofundada. Em 2008 houve uma modificação na metodologia de</w:t>
      </w:r>
    </w:p>
    <w:p>
      <w:pPr>
        <w:spacing w:after="0" w:line="139" w:lineRule="exact"/>
        <w:rPr>
          <w:sz w:val="20"/>
          <w:szCs w:val="20"/>
          <w:color w:val="auto"/>
        </w:rPr>
      </w:pPr>
    </w:p>
    <w:p>
      <w:pPr>
        <w:ind w:left="1320"/>
        <w:spacing w:after="0"/>
        <w:rPr>
          <w:sz w:val="20"/>
          <w:szCs w:val="20"/>
          <w:color w:val="auto"/>
        </w:rPr>
      </w:pPr>
      <w:r>
        <w:rPr>
          <w:rFonts w:ascii="Arial" w:cs="Arial" w:eastAsia="Arial" w:hAnsi="Arial"/>
          <w:sz w:val="22"/>
          <w:szCs w:val="22"/>
          <w:color w:val="auto"/>
        </w:rPr>
        <w:t>Tabela 5 – Esquema de obtenção do Spread mais adotado no mercado</w:t>
      </w:r>
    </w:p>
    <w:p>
      <w:pPr>
        <w:spacing w:after="0" w:line="215" w:lineRule="exact"/>
        <w:rPr>
          <w:sz w:val="20"/>
          <w:szCs w:val="20"/>
          <w:color w:val="auto"/>
        </w:rPr>
      </w:pPr>
    </w:p>
    <w:tbl>
      <w:tblPr>
        <w:tblLayout w:type="fixed"/>
        <w:tblInd w:w="1220" w:type="dxa"/>
        <w:tblCellMar>
          <w:top w:w="0" w:type="dxa"/>
          <w:left w:w="0" w:type="dxa"/>
          <w:bottom w:w="0" w:type="dxa"/>
          <w:right w:w="0" w:type="dxa"/>
        </w:tblCellMar>
      </w:tblPr>
      <w:tr>
        <w:trPr>
          <w:trHeight w:val="297"/>
        </w:trPr>
        <w:tc>
          <w:tcPr>
            <w:tcW w:w="4220" w:type="dxa"/>
            <w:vAlign w:val="bottom"/>
            <w:tcBorders>
              <w:top w:val="single" w:sz="8" w:color="auto"/>
              <w:bottom w:val="single" w:sz="8" w:color="auto"/>
              <w:right w:val="single" w:sz="8" w:color="auto"/>
            </w:tcBorders>
          </w:tcPr>
          <w:p>
            <w:pPr>
              <w:spacing w:after="0"/>
              <w:rPr>
                <w:sz w:val="24"/>
                <w:szCs w:val="24"/>
                <w:color w:val="auto"/>
              </w:rPr>
            </w:pPr>
          </w:p>
        </w:tc>
        <w:tc>
          <w:tcPr>
            <w:tcW w:w="980" w:type="dxa"/>
            <w:vAlign w:val="bottom"/>
            <w:tcBorders>
              <w:top w:val="single" w:sz="8" w:color="auto"/>
              <w:bottom w:val="single" w:sz="8" w:color="auto"/>
              <w:right w:val="single" w:sz="8" w:color="auto"/>
            </w:tcBorders>
          </w:tcPr>
          <w:p>
            <w:pPr>
              <w:jc w:val="right"/>
              <w:ind w:right="20"/>
              <w:spacing w:after="0"/>
              <w:rPr>
                <w:sz w:val="20"/>
                <w:szCs w:val="20"/>
                <w:color w:val="auto"/>
              </w:rPr>
            </w:pPr>
            <w:r>
              <w:rPr>
                <w:rFonts w:ascii="Arial" w:cs="Arial" w:eastAsia="Arial" w:hAnsi="Arial"/>
                <w:sz w:val="24"/>
                <w:szCs w:val="24"/>
                <w:color w:val="auto"/>
              </w:rPr>
              <w:t>PJ</w:t>
            </w:r>
          </w:p>
        </w:tc>
        <w:tc>
          <w:tcPr>
            <w:tcW w:w="980" w:type="dxa"/>
            <w:vAlign w:val="bottom"/>
            <w:tcBorders>
              <w:top w:val="single" w:sz="8" w:color="auto"/>
              <w:bottom w:val="single" w:sz="8" w:color="auto"/>
              <w:right w:val="single" w:sz="8" w:color="auto"/>
            </w:tcBorders>
          </w:tcPr>
          <w:p>
            <w:pPr>
              <w:jc w:val="right"/>
              <w:ind w:right="20"/>
              <w:spacing w:after="0"/>
              <w:rPr>
                <w:sz w:val="20"/>
                <w:szCs w:val="20"/>
                <w:color w:val="auto"/>
              </w:rPr>
            </w:pPr>
            <w:r>
              <w:rPr>
                <w:rFonts w:ascii="Arial" w:cs="Arial" w:eastAsia="Arial" w:hAnsi="Arial"/>
                <w:sz w:val="24"/>
                <w:szCs w:val="24"/>
                <w:color w:val="auto"/>
              </w:rPr>
              <w:t>PF</w:t>
            </w:r>
          </w:p>
        </w:tc>
        <w:tc>
          <w:tcPr>
            <w:tcW w:w="980" w:type="dxa"/>
            <w:vAlign w:val="bottom"/>
            <w:tcBorders>
              <w:top w:val="single" w:sz="8" w:color="auto"/>
              <w:bottom w:val="single" w:sz="8" w:color="auto"/>
            </w:tcBorders>
          </w:tcPr>
          <w:p>
            <w:pPr>
              <w:jc w:val="right"/>
              <w:spacing w:after="0"/>
              <w:rPr>
                <w:sz w:val="20"/>
                <w:szCs w:val="20"/>
                <w:color w:val="auto"/>
              </w:rPr>
            </w:pPr>
            <w:r>
              <w:rPr>
                <w:rFonts w:ascii="Arial" w:cs="Arial" w:eastAsia="Arial" w:hAnsi="Arial"/>
                <w:sz w:val="24"/>
                <w:szCs w:val="24"/>
                <w:color w:val="auto"/>
              </w:rPr>
              <w:t>Total</w:t>
            </w:r>
          </w:p>
        </w:tc>
      </w:tr>
      <w:tr>
        <w:trPr>
          <w:trHeight w:val="253"/>
        </w:trPr>
        <w:tc>
          <w:tcPr>
            <w:tcW w:w="4220" w:type="dxa"/>
            <w:vAlign w:val="bottom"/>
            <w:tcBorders>
              <w:right w:val="single" w:sz="8" w:color="auto"/>
            </w:tcBorders>
          </w:tcPr>
          <w:p>
            <w:pPr>
              <w:ind w:left="120"/>
              <w:spacing w:after="0" w:line="252" w:lineRule="exact"/>
              <w:rPr>
                <w:sz w:val="20"/>
                <w:szCs w:val="20"/>
                <w:color w:val="auto"/>
              </w:rPr>
            </w:pPr>
            <w:r>
              <w:rPr>
                <w:rFonts w:ascii="Arial" w:cs="Arial" w:eastAsia="Arial" w:hAnsi="Arial"/>
                <w:sz w:val="24"/>
                <w:szCs w:val="24"/>
                <w:color w:val="auto"/>
              </w:rPr>
              <w:t>Saldo Médio do Capital Emprestado</w:t>
            </w:r>
          </w:p>
        </w:tc>
        <w:tc>
          <w:tcPr>
            <w:tcW w:w="980" w:type="dxa"/>
            <w:vAlign w:val="bottom"/>
            <w:tcBorders>
              <w:right w:val="single" w:sz="8" w:color="auto"/>
            </w:tcBorders>
          </w:tcPr>
          <w:p>
            <w:pPr>
              <w:jc w:val="right"/>
              <w:ind w:right="20"/>
              <w:spacing w:after="0" w:line="252" w:lineRule="exact"/>
              <w:rPr>
                <w:sz w:val="20"/>
                <w:szCs w:val="20"/>
                <w:color w:val="auto"/>
              </w:rPr>
            </w:pPr>
            <w:r>
              <w:rPr>
                <w:rFonts w:ascii="Arial" w:cs="Arial" w:eastAsia="Arial" w:hAnsi="Arial"/>
                <w:sz w:val="24"/>
                <w:szCs w:val="24"/>
                <w:color w:val="auto"/>
              </w:rPr>
              <w:t>100.00</w:t>
            </w:r>
          </w:p>
        </w:tc>
        <w:tc>
          <w:tcPr>
            <w:tcW w:w="980" w:type="dxa"/>
            <w:vAlign w:val="bottom"/>
            <w:tcBorders>
              <w:right w:val="single" w:sz="8" w:color="auto"/>
            </w:tcBorders>
          </w:tcPr>
          <w:p>
            <w:pPr>
              <w:jc w:val="right"/>
              <w:ind w:right="20"/>
              <w:spacing w:after="0" w:line="252" w:lineRule="exact"/>
              <w:rPr>
                <w:sz w:val="20"/>
                <w:szCs w:val="20"/>
                <w:color w:val="auto"/>
              </w:rPr>
            </w:pPr>
            <w:r>
              <w:rPr>
                <w:rFonts w:ascii="Arial" w:cs="Arial" w:eastAsia="Arial" w:hAnsi="Arial"/>
                <w:sz w:val="24"/>
                <w:szCs w:val="24"/>
                <w:color w:val="auto"/>
              </w:rPr>
              <w:t>100.00</w:t>
            </w:r>
          </w:p>
        </w:tc>
        <w:tc>
          <w:tcPr>
            <w:tcW w:w="980" w:type="dxa"/>
            <w:vAlign w:val="bottom"/>
          </w:tcPr>
          <w:p>
            <w:pPr>
              <w:jc w:val="right"/>
              <w:spacing w:after="0" w:line="252" w:lineRule="exact"/>
              <w:rPr>
                <w:sz w:val="20"/>
                <w:szCs w:val="20"/>
                <w:color w:val="auto"/>
              </w:rPr>
            </w:pPr>
            <w:r>
              <w:rPr>
                <w:rFonts w:ascii="Arial" w:cs="Arial" w:eastAsia="Arial" w:hAnsi="Arial"/>
                <w:sz w:val="24"/>
                <w:szCs w:val="24"/>
                <w:color w:val="auto"/>
              </w:rPr>
              <w:t>100.00</w:t>
            </w:r>
          </w:p>
        </w:tc>
      </w:tr>
      <w:tr>
        <w:trPr>
          <w:trHeight w:val="289"/>
        </w:trPr>
        <w:tc>
          <w:tcPr>
            <w:tcW w:w="422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A — Receita de Aplicação Financeira</w:t>
            </w:r>
          </w:p>
        </w:tc>
        <w:tc>
          <w:tcPr>
            <w:tcW w:w="980" w:type="dxa"/>
            <w:vAlign w:val="bottom"/>
            <w:tcBorders>
              <w:right w:val="single" w:sz="8" w:color="auto"/>
            </w:tcBorders>
          </w:tcPr>
          <w:p>
            <w:pPr>
              <w:jc w:val="right"/>
              <w:ind w:right="20"/>
              <w:spacing w:after="0"/>
              <w:rPr>
                <w:sz w:val="20"/>
                <w:szCs w:val="20"/>
                <w:color w:val="auto"/>
              </w:rPr>
            </w:pPr>
            <w:r>
              <w:rPr>
                <w:rFonts w:ascii="Arial" w:cs="Arial" w:eastAsia="Arial" w:hAnsi="Arial"/>
                <w:sz w:val="24"/>
                <w:szCs w:val="24"/>
                <w:color w:val="auto"/>
              </w:rPr>
              <w:t>9.4</w:t>
            </w:r>
          </w:p>
        </w:tc>
        <w:tc>
          <w:tcPr>
            <w:tcW w:w="980" w:type="dxa"/>
            <w:vAlign w:val="bottom"/>
            <w:tcBorders>
              <w:right w:val="single" w:sz="8" w:color="auto"/>
            </w:tcBorders>
          </w:tcPr>
          <w:p>
            <w:pPr>
              <w:jc w:val="right"/>
              <w:ind w:right="20"/>
              <w:spacing w:after="0"/>
              <w:rPr>
                <w:sz w:val="20"/>
                <w:szCs w:val="20"/>
                <w:color w:val="auto"/>
              </w:rPr>
            </w:pPr>
            <w:r>
              <w:rPr>
                <w:rFonts w:ascii="Arial" w:cs="Arial" w:eastAsia="Arial" w:hAnsi="Arial"/>
                <w:sz w:val="24"/>
                <w:szCs w:val="24"/>
                <w:color w:val="auto"/>
              </w:rPr>
              <w:t>16.5</w:t>
            </w:r>
          </w:p>
        </w:tc>
        <w:tc>
          <w:tcPr>
            <w:tcW w:w="980" w:type="dxa"/>
            <w:vAlign w:val="bottom"/>
          </w:tcPr>
          <w:p>
            <w:pPr>
              <w:jc w:val="right"/>
              <w:spacing w:after="0"/>
              <w:rPr>
                <w:sz w:val="20"/>
                <w:szCs w:val="20"/>
                <w:color w:val="auto"/>
              </w:rPr>
            </w:pPr>
            <w:r>
              <w:rPr>
                <w:rFonts w:ascii="Arial" w:cs="Arial" w:eastAsia="Arial" w:hAnsi="Arial"/>
                <w:sz w:val="24"/>
                <w:szCs w:val="24"/>
                <w:color w:val="auto"/>
              </w:rPr>
              <w:t>12,7</w:t>
            </w:r>
          </w:p>
        </w:tc>
      </w:tr>
      <w:tr>
        <w:trPr>
          <w:trHeight w:val="289"/>
        </w:trPr>
        <w:tc>
          <w:tcPr>
            <w:tcW w:w="422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B — Despesas de Captação</w:t>
            </w:r>
          </w:p>
        </w:tc>
        <w:tc>
          <w:tcPr>
            <w:tcW w:w="980" w:type="dxa"/>
            <w:vAlign w:val="bottom"/>
            <w:tcBorders>
              <w:right w:val="single" w:sz="8" w:color="auto"/>
            </w:tcBorders>
          </w:tcPr>
          <w:p>
            <w:pPr>
              <w:jc w:val="right"/>
              <w:ind w:right="20"/>
              <w:spacing w:after="0"/>
              <w:rPr>
                <w:sz w:val="20"/>
                <w:szCs w:val="20"/>
                <w:color w:val="auto"/>
              </w:rPr>
            </w:pPr>
            <w:r>
              <w:rPr>
                <w:rFonts w:ascii="Arial" w:cs="Arial" w:eastAsia="Arial" w:hAnsi="Arial"/>
                <w:sz w:val="24"/>
                <w:szCs w:val="24"/>
                <w:color w:val="auto"/>
              </w:rPr>
              <w:t>(4.8)</w:t>
            </w:r>
          </w:p>
        </w:tc>
        <w:tc>
          <w:tcPr>
            <w:tcW w:w="980" w:type="dxa"/>
            <w:vAlign w:val="bottom"/>
            <w:tcBorders>
              <w:right w:val="single" w:sz="8" w:color="auto"/>
            </w:tcBorders>
          </w:tcPr>
          <w:p>
            <w:pPr>
              <w:jc w:val="right"/>
              <w:ind w:right="20"/>
              <w:spacing w:after="0"/>
              <w:rPr>
                <w:sz w:val="20"/>
                <w:szCs w:val="20"/>
                <w:color w:val="auto"/>
              </w:rPr>
            </w:pPr>
            <w:r>
              <w:rPr>
                <w:rFonts w:ascii="Arial" w:cs="Arial" w:eastAsia="Arial" w:hAnsi="Arial"/>
                <w:sz w:val="24"/>
                <w:szCs w:val="24"/>
                <w:color w:val="auto"/>
              </w:rPr>
              <w:t>(4.9)</w:t>
            </w:r>
          </w:p>
        </w:tc>
        <w:tc>
          <w:tcPr>
            <w:tcW w:w="980" w:type="dxa"/>
            <w:vAlign w:val="bottom"/>
          </w:tcPr>
          <w:p>
            <w:pPr>
              <w:jc w:val="right"/>
              <w:spacing w:after="0"/>
              <w:rPr>
                <w:sz w:val="20"/>
                <w:szCs w:val="20"/>
                <w:color w:val="auto"/>
              </w:rPr>
            </w:pPr>
            <w:r>
              <w:rPr>
                <w:rFonts w:ascii="Arial" w:cs="Arial" w:eastAsia="Arial" w:hAnsi="Arial"/>
                <w:sz w:val="24"/>
                <w:szCs w:val="24"/>
                <w:color w:val="auto"/>
              </w:rPr>
              <w:t>(4.8)</w:t>
            </w:r>
          </w:p>
        </w:tc>
      </w:tr>
      <w:tr>
        <w:trPr>
          <w:trHeight w:val="289"/>
        </w:trPr>
        <w:tc>
          <w:tcPr>
            <w:tcW w:w="422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Spread Bruto</w:t>
            </w:r>
          </w:p>
        </w:tc>
        <w:tc>
          <w:tcPr>
            <w:tcW w:w="980" w:type="dxa"/>
            <w:vAlign w:val="bottom"/>
            <w:tcBorders>
              <w:right w:val="single" w:sz="8" w:color="auto"/>
            </w:tcBorders>
          </w:tcPr>
          <w:p>
            <w:pPr>
              <w:jc w:val="right"/>
              <w:ind w:right="20"/>
              <w:spacing w:after="0"/>
              <w:rPr>
                <w:sz w:val="20"/>
                <w:szCs w:val="20"/>
                <w:color w:val="auto"/>
              </w:rPr>
            </w:pPr>
            <w:r>
              <w:rPr>
                <w:rFonts w:ascii="Arial" w:cs="Arial" w:eastAsia="Arial" w:hAnsi="Arial"/>
                <w:sz w:val="24"/>
                <w:szCs w:val="24"/>
                <w:color w:val="auto"/>
              </w:rPr>
              <w:t>4.6</w:t>
            </w:r>
          </w:p>
        </w:tc>
        <w:tc>
          <w:tcPr>
            <w:tcW w:w="980" w:type="dxa"/>
            <w:vAlign w:val="bottom"/>
            <w:tcBorders>
              <w:right w:val="single" w:sz="8" w:color="auto"/>
            </w:tcBorders>
          </w:tcPr>
          <w:p>
            <w:pPr>
              <w:jc w:val="right"/>
              <w:ind w:right="20"/>
              <w:spacing w:after="0"/>
              <w:rPr>
                <w:sz w:val="20"/>
                <w:szCs w:val="20"/>
                <w:color w:val="auto"/>
              </w:rPr>
            </w:pPr>
            <w:r>
              <w:rPr>
                <w:rFonts w:ascii="Arial" w:cs="Arial" w:eastAsia="Arial" w:hAnsi="Arial"/>
                <w:sz w:val="24"/>
                <w:szCs w:val="24"/>
                <w:color w:val="auto"/>
              </w:rPr>
              <w:t>11.6</w:t>
            </w:r>
          </w:p>
        </w:tc>
        <w:tc>
          <w:tcPr>
            <w:tcW w:w="980" w:type="dxa"/>
            <w:vAlign w:val="bottom"/>
          </w:tcPr>
          <w:p>
            <w:pPr>
              <w:jc w:val="right"/>
              <w:spacing w:after="0"/>
              <w:rPr>
                <w:sz w:val="20"/>
                <w:szCs w:val="20"/>
                <w:color w:val="auto"/>
              </w:rPr>
            </w:pPr>
            <w:r>
              <w:rPr>
                <w:rFonts w:ascii="Arial" w:cs="Arial" w:eastAsia="Arial" w:hAnsi="Arial"/>
                <w:sz w:val="24"/>
                <w:szCs w:val="24"/>
                <w:color w:val="auto"/>
              </w:rPr>
              <w:t>7.9</w:t>
            </w:r>
          </w:p>
        </w:tc>
      </w:tr>
      <w:tr>
        <w:trPr>
          <w:trHeight w:val="289"/>
        </w:trPr>
        <w:tc>
          <w:tcPr>
            <w:tcW w:w="422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Spread Direto</w:t>
            </w:r>
          </w:p>
        </w:tc>
        <w:tc>
          <w:tcPr>
            <w:tcW w:w="980" w:type="dxa"/>
            <w:vAlign w:val="bottom"/>
            <w:tcBorders>
              <w:right w:val="single" w:sz="8" w:color="auto"/>
            </w:tcBorders>
          </w:tcPr>
          <w:p>
            <w:pPr>
              <w:jc w:val="right"/>
              <w:ind w:right="20"/>
              <w:spacing w:after="0"/>
              <w:rPr>
                <w:sz w:val="20"/>
                <w:szCs w:val="20"/>
                <w:color w:val="auto"/>
              </w:rPr>
            </w:pPr>
            <w:r>
              <w:rPr>
                <w:rFonts w:ascii="Arial" w:cs="Arial" w:eastAsia="Arial" w:hAnsi="Arial"/>
                <w:sz w:val="24"/>
                <w:szCs w:val="24"/>
                <w:color w:val="auto"/>
              </w:rPr>
              <w:t>3.2</w:t>
            </w:r>
          </w:p>
        </w:tc>
        <w:tc>
          <w:tcPr>
            <w:tcW w:w="980" w:type="dxa"/>
            <w:vAlign w:val="bottom"/>
            <w:tcBorders>
              <w:right w:val="single" w:sz="8" w:color="auto"/>
            </w:tcBorders>
          </w:tcPr>
          <w:p>
            <w:pPr>
              <w:jc w:val="right"/>
              <w:ind w:right="20"/>
              <w:spacing w:after="0"/>
              <w:rPr>
                <w:sz w:val="20"/>
                <w:szCs w:val="20"/>
                <w:color w:val="auto"/>
              </w:rPr>
            </w:pPr>
            <w:r>
              <w:rPr>
                <w:rFonts w:ascii="Arial" w:cs="Arial" w:eastAsia="Arial" w:hAnsi="Arial"/>
                <w:sz w:val="24"/>
                <w:szCs w:val="24"/>
                <w:color w:val="auto"/>
              </w:rPr>
              <w:t>7.6</w:t>
            </w:r>
          </w:p>
        </w:tc>
        <w:tc>
          <w:tcPr>
            <w:tcW w:w="980" w:type="dxa"/>
            <w:vAlign w:val="bottom"/>
          </w:tcPr>
          <w:p>
            <w:pPr>
              <w:jc w:val="right"/>
              <w:spacing w:after="0"/>
              <w:rPr>
                <w:sz w:val="20"/>
                <w:szCs w:val="20"/>
                <w:color w:val="auto"/>
              </w:rPr>
            </w:pPr>
            <w:r>
              <w:rPr>
                <w:rFonts w:ascii="Arial" w:cs="Arial" w:eastAsia="Arial" w:hAnsi="Arial"/>
                <w:sz w:val="24"/>
                <w:szCs w:val="24"/>
                <w:color w:val="auto"/>
              </w:rPr>
              <w:t>5.3</w:t>
            </w:r>
          </w:p>
        </w:tc>
      </w:tr>
      <w:tr>
        <w:trPr>
          <w:trHeight w:val="304"/>
        </w:trPr>
        <w:tc>
          <w:tcPr>
            <w:tcW w:w="422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Spread Líquido</w:t>
            </w:r>
          </w:p>
        </w:tc>
        <w:tc>
          <w:tcPr>
            <w:tcW w:w="980" w:type="dxa"/>
            <w:vAlign w:val="bottom"/>
            <w:tcBorders>
              <w:bottom w:val="single" w:sz="8" w:color="auto"/>
              <w:right w:val="single" w:sz="8" w:color="auto"/>
            </w:tcBorders>
          </w:tcPr>
          <w:p>
            <w:pPr>
              <w:jc w:val="right"/>
              <w:ind w:right="20"/>
              <w:spacing w:after="0"/>
              <w:rPr>
                <w:sz w:val="20"/>
                <w:szCs w:val="20"/>
                <w:color w:val="auto"/>
              </w:rPr>
            </w:pPr>
            <w:r>
              <w:rPr>
                <w:rFonts w:ascii="Arial" w:cs="Arial" w:eastAsia="Arial" w:hAnsi="Arial"/>
                <w:sz w:val="24"/>
                <w:szCs w:val="24"/>
                <w:color w:val="auto"/>
              </w:rPr>
              <w:t>0.5</w:t>
            </w:r>
          </w:p>
        </w:tc>
        <w:tc>
          <w:tcPr>
            <w:tcW w:w="980" w:type="dxa"/>
            <w:vAlign w:val="bottom"/>
            <w:tcBorders>
              <w:bottom w:val="single" w:sz="8" w:color="auto"/>
              <w:right w:val="single" w:sz="8" w:color="auto"/>
            </w:tcBorders>
          </w:tcPr>
          <w:p>
            <w:pPr>
              <w:jc w:val="right"/>
              <w:ind w:right="20"/>
              <w:spacing w:after="0"/>
              <w:rPr>
                <w:sz w:val="20"/>
                <w:szCs w:val="20"/>
                <w:color w:val="auto"/>
              </w:rPr>
            </w:pPr>
            <w:r>
              <w:rPr>
                <w:rFonts w:ascii="Arial" w:cs="Arial" w:eastAsia="Arial" w:hAnsi="Arial"/>
                <w:sz w:val="24"/>
                <w:szCs w:val="24"/>
                <w:color w:val="auto"/>
              </w:rPr>
              <w:t>1.6</w:t>
            </w:r>
          </w:p>
        </w:tc>
        <w:tc>
          <w:tcPr>
            <w:tcW w:w="98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1.0</w:t>
            </w:r>
          </w:p>
        </w:tc>
      </w:tr>
    </w:tbl>
    <w:p>
      <w:pPr>
        <w:spacing w:after="0" w:line="2" w:lineRule="exact"/>
        <w:rPr>
          <w:sz w:val="20"/>
          <w:szCs w:val="20"/>
          <w:color w:val="auto"/>
        </w:rPr>
      </w:pPr>
    </w:p>
    <w:p>
      <w:pPr>
        <w:sectPr>
          <w:pgSz w:w="11900" w:h="16838" w:orient="portrait"/>
          <w:cols w:equalWidth="0" w:num="1">
            <w:col w:w="9360"/>
          </w:cols>
          <w:pgMar w:left="1440" w:top="991" w:right="1106" w:bottom="1440" w:gutter="0" w:footer="0" w:header="0"/>
        </w:sectPr>
      </w:pPr>
    </w:p>
    <w:p>
      <w:pPr>
        <w:jc w:val="center"/>
        <w:ind w:right="-219"/>
        <w:spacing w:after="0"/>
        <w:rPr>
          <w:sz w:val="20"/>
          <w:szCs w:val="20"/>
          <w:color w:val="auto"/>
        </w:rPr>
      </w:pPr>
      <w:r>
        <w:rPr>
          <w:rFonts w:ascii="Arial" w:cs="Arial" w:eastAsia="Arial" w:hAnsi="Arial"/>
          <w:sz w:val="19"/>
          <w:szCs w:val="19"/>
          <w:color w:val="auto"/>
        </w:rPr>
        <w:t>Fonte:</w:t>
      </w:r>
      <w:r>
        <w:rPr>
          <w:rFonts w:ascii="Arial" w:cs="Arial" w:eastAsia="Arial" w:hAnsi="Arial"/>
          <w:sz w:val="20"/>
          <w:szCs w:val="20"/>
          <w:color w:val="auto"/>
        </w:rPr>
        <w:t xml:space="preserve"> :</w:t>
      </w:r>
      <w:r>
        <w:rPr>
          <w:rFonts w:ascii="Arial" w:cs="Arial" w:eastAsia="Arial" w:hAnsi="Arial"/>
          <w:sz w:val="19"/>
          <w:szCs w:val="19"/>
          <w:color w:val="auto"/>
        </w:rPr>
        <w:t xml:space="preserve"> in (FIPECAFI, 2005)</w:t>
      </w:r>
    </w:p>
    <w:p>
      <w:pPr>
        <w:sectPr>
          <w:pgSz w:w="11900" w:h="16838" w:orient="portrait"/>
          <w:cols w:equalWidth="0" w:num="1">
            <w:col w:w="9360"/>
          </w:cols>
          <w:pgMar w:left="1440" w:top="991" w:right="1106" w:bottom="1440" w:gutter="0" w:footer="0" w:header="0"/>
          <w:type w:val="continuous"/>
        </w:sectPr>
      </w:pPr>
    </w:p>
    <w:p>
      <w:pPr>
        <w:ind w:left="9060"/>
        <w:spacing w:after="0"/>
        <w:rPr>
          <w:sz w:val="20"/>
          <w:szCs w:val="20"/>
          <w:color w:val="auto"/>
        </w:rPr>
      </w:pPr>
      <w:r>
        <w:rPr>
          <w:rFonts w:ascii="Arial" w:cs="Arial" w:eastAsia="Arial" w:hAnsi="Arial"/>
          <w:sz w:val="24"/>
          <w:szCs w:val="24"/>
          <w:color w:val="auto"/>
        </w:rPr>
        <w:t>37</w:t>
      </w:r>
    </w:p>
    <w:p>
      <w:pPr>
        <w:spacing w:after="0" w:line="200" w:lineRule="exact"/>
        <w:rPr>
          <w:sz w:val="20"/>
          <w:szCs w:val="20"/>
          <w:color w:val="auto"/>
        </w:rPr>
      </w:pPr>
    </w:p>
    <w:p>
      <w:pPr>
        <w:spacing w:after="0" w:line="215" w:lineRule="exact"/>
        <w:rPr>
          <w:sz w:val="20"/>
          <w:szCs w:val="20"/>
          <w:color w:val="auto"/>
        </w:rPr>
      </w:pPr>
    </w:p>
    <w:p>
      <w:pPr>
        <w:ind w:left="1420"/>
        <w:spacing w:after="0"/>
        <w:rPr>
          <w:sz w:val="20"/>
          <w:szCs w:val="20"/>
          <w:color w:val="auto"/>
        </w:rPr>
      </w:pPr>
      <w:r>
        <w:rPr>
          <w:rFonts w:ascii="Arial" w:cs="Arial" w:eastAsia="Arial" w:hAnsi="Arial"/>
          <w:sz w:val="22"/>
          <w:szCs w:val="22"/>
          <w:color w:val="auto"/>
        </w:rPr>
        <w:t>Tabela 6 – Resumo das séries de Spread Ex-Ante e suas subdivisões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154940</wp:posOffset>
                </wp:positionV>
                <wp:extent cx="570357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0357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462.05pt,12.2pt" o:allowincell="f" strokecolor="#000000" strokeweight="0.936pt"/>
            </w:pict>
          </mc:Fallback>
        </mc:AlternateContent>
      </w:r>
    </w:p>
    <w:p>
      <w:pPr>
        <w:spacing w:after="0" w:line="278" w:lineRule="exact"/>
        <w:rPr>
          <w:sz w:val="20"/>
          <w:szCs w:val="20"/>
          <w:color w:val="auto"/>
        </w:rPr>
      </w:pPr>
    </w:p>
    <w:tbl>
      <w:tblPr>
        <w:tblLayout w:type="fixed"/>
        <w:tblInd w:w="260" w:type="dxa"/>
        <w:tblCellMar>
          <w:top w:w="0" w:type="dxa"/>
          <w:left w:w="0" w:type="dxa"/>
          <w:bottom w:w="0" w:type="dxa"/>
          <w:right w:w="0" w:type="dxa"/>
        </w:tblCellMar>
      </w:tblPr>
      <w:tr>
        <w:trPr>
          <w:trHeight w:val="246"/>
        </w:trPr>
        <w:tc>
          <w:tcPr>
            <w:tcW w:w="4120" w:type="dxa"/>
            <w:vAlign w:val="bottom"/>
          </w:tcPr>
          <w:p>
            <w:pPr>
              <w:ind w:left="120"/>
              <w:spacing w:after="0"/>
              <w:rPr>
                <w:sz w:val="20"/>
                <w:szCs w:val="20"/>
                <w:color w:val="auto"/>
              </w:rPr>
            </w:pPr>
            <w:r>
              <w:rPr>
                <w:rFonts w:ascii="Arial" w:cs="Arial" w:eastAsia="Arial" w:hAnsi="Arial"/>
                <w:sz w:val="20"/>
                <w:szCs w:val="20"/>
                <w:color w:val="auto"/>
              </w:rPr>
              <w:t>Spread.ICC</w:t>
            </w:r>
          </w:p>
        </w:tc>
        <w:tc>
          <w:tcPr>
            <w:tcW w:w="4880" w:type="dxa"/>
            <w:vAlign w:val="bottom"/>
          </w:tcPr>
          <w:p>
            <w:pPr>
              <w:ind w:left="200"/>
              <w:spacing w:after="0"/>
              <w:rPr>
                <w:sz w:val="20"/>
                <w:szCs w:val="20"/>
                <w:color w:val="auto"/>
              </w:rPr>
            </w:pPr>
            <w:r>
              <w:rPr>
                <w:rFonts w:ascii="Arial" w:cs="Arial" w:eastAsia="Arial" w:hAnsi="Arial"/>
                <w:sz w:val="20"/>
                <w:szCs w:val="20"/>
                <w:color w:val="auto"/>
              </w:rPr>
              <w:t>Spread.MOC</w:t>
            </w:r>
          </w:p>
        </w:tc>
        <w:tc>
          <w:tcPr>
            <w:tcW w:w="0" w:type="dxa"/>
            <w:vAlign w:val="bottom"/>
          </w:tcPr>
          <w:p>
            <w:pPr>
              <w:spacing w:after="0"/>
              <w:rPr>
                <w:sz w:val="1"/>
                <w:szCs w:val="1"/>
                <w:color w:val="auto"/>
              </w:rPr>
            </w:pPr>
          </w:p>
        </w:tc>
      </w:tr>
      <w:tr>
        <w:trPr>
          <w:trHeight w:val="57"/>
        </w:trPr>
        <w:tc>
          <w:tcPr>
            <w:tcW w:w="4120" w:type="dxa"/>
            <w:vAlign w:val="bottom"/>
            <w:tcBorders>
              <w:bottom w:val="single" w:sz="8" w:color="auto"/>
            </w:tcBorders>
          </w:tcPr>
          <w:p>
            <w:pPr>
              <w:spacing w:after="0"/>
              <w:rPr>
                <w:sz w:val="4"/>
                <w:szCs w:val="4"/>
                <w:color w:val="auto"/>
              </w:rPr>
            </w:pPr>
          </w:p>
        </w:tc>
        <w:tc>
          <w:tcPr>
            <w:tcW w:w="48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75"/>
        </w:trPr>
        <w:tc>
          <w:tcPr>
            <w:tcW w:w="4120" w:type="dxa"/>
            <w:vAlign w:val="bottom"/>
          </w:tcPr>
          <w:p>
            <w:pPr>
              <w:ind w:left="120"/>
              <w:spacing w:after="0"/>
              <w:rPr>
                <w:sz w:val="20"/>
                <w:szCs w:val="20"/>
                <w:color w:val="auto"/>
              </w:rPr>
            </w:pPr>
            <w:r>
              <w:rPr>
                <w:rFonts w:ascii="Arial" w:cs="Arial" w:eastAsia="Arial" w:hAnsi="Arial"/>
                <w:sz w:val="20"/>
                <w:szCs w:val="20"/>
                <w:color w:val="auto"/>
              </w:rPr>
              <w:t>Spread do ICC - Total</w:t>
            </w:r>
          </w:p>
        </w:tc>
        <w:tc>
          <w:tcPr>
            <w:tcW w:w="4880" w:type="dxa"/>
            <w:vAlign w:val="bottom"/>
          </w:tcPr>
          <w:p>
            <w:pPr>
              <w:ind w:left="200"/>
              <w:spacing w:after="0"/>
              <w:rPr>
                <w:sz w:val="20"/>
                <w:szCs w:val="20"/>
                <w:color w:val="auto"/>
              </w:rPr>
            </w:pPr>
            <w:r>
              <w:rPr>
                <w:rFonts w:ascii="Arial" w:cs="Arial" w:eastAsia="Arial" w:hAnsi="Arial"/>
                <w:sz w:val="20"/>
                <w:szCs w:val="20"/>
                <w:color w:val="auto"/>
              </w:rPr>
              <w:t>Spread médio das operações de crédito - Total</w:t>
            </w:r>
          </w:p>
        </w:tc>
        <w:tc>
          <w:tcPr>
            <w:tcW w:w="0" w:type="dxa"/>
            <w:vAlign w:val="bottom"/>
          </w:tcPr>
          <w:p>
            <w:pPr>
              <w:spacing w:after="0"/>
              <w:rPr>
                <w:sz w:val="1"/>
                <w:szCs w:val="1"/>
                <w:color w:val="auto"/>
              </w:rPr>
            </w:pPr>
          </w:p>
        </w:tc>
      </w:tr>
      <w:tr>
        <w:trPr>
          <w:trHeight w:val="239"/>
        </w:trPr>
        <w:tc>
          <w:tcPr>
            <w:tcW w:w="4120" w:type="dxa"/>
            <w:vAlign w:val="bottom"/>
          </w:tcPr>
          <w:p>
            <w:pPr>
              <w:ind w:left="120"/>
              <w:spacing w:after="0"/>
              <w:rPr>
                <w:sz w:val="20"/>
                <w:szCs w:val="20"/>
                <w:color w:val="auto"/>
              </w:rPr>
            </w:pPr>
            <w:r>
              <w:rPr>
                <w:rFonts w:ascii="Arial" w:cs="Arial" w:eastAsia="Arial" w:hAnsi="Arial"/>
                <w:sz w:val="20"/>
                <w:szCs w:val="20"/>
                <w:color w:val="auto"/>
              </w:rPr>
              <w:t>Spread do ICC - Crédito Direcionado</w:t>
            </w:r>
          </w:p>
        </w:tc>
        <w:tc>
          <w:tcPr>
            <w:tcW w:w="4880" w:type="dxa"/>
            <w:vAlign w:val="bottom"/>
          </w:tcPr>
          <w:p>
            <w:pPr>
              <w:ind w:left="200"/>
              <w:spacing w:after="0"/>
              <w:rPr>
                <w:sz w:val="20"/>
                <w:szCs w:val="20"/>
                <w:color w:val="auto"/>
              </w:rPr>
            </w:pPr>
            <w:r>
              <w:rPr>
                <w:rFonts w:ascii="Arial" w:cs="Arial" w:eastAsia="Arial" w:hAnsi="Arial"/>
                <w:sz w:val="20"/>
                <w:szCs w:val="20"/>
                <w:color w:val="auto"/>
                <w:w w:val="99"/>
              </w:rPr>
              <w:t>Spread médio das operações de crédito não rotativo</w:t>
            </w:r>
          </w:p>
        </w:tc>
        <w:tc>
          <w:tcPr>
            <w:tcW w:w="0" w:type="dxa"/>
            <w:vAlign w:val="bottom"/>
          </w:tcPr>
          <w:p>
            <w:pPr>
              <w:spacing w:after="0"/>
              <w:rPr>
                <w:sz w:val="1"/>
                <w:szCs w:val="1"/>
                <w:color w:val="auto"/>
              </w:rPr>
            </w:pPr>
          </w:p>
        </w:tc>
      </w:tr>
      <w:tr>
        <w:trPr>
          <w:trHeight w:val="190"/>
        </w:trPr>
        <w:tc>
          <w:tcPr>
            <w:tcW w:w="4120" w:type="dxa"/>
            <w:vAlign w:val="bottom"/>
            <w:vMerge w:val="restart"/>
          </w:tcPr>
          <w:p>
            <w:pPr>
              <w:ind w:left="120"/>
              <w:spacing w:after="0"/>
              <w:rPr>
                <w:sz w:val="20"/>
                <w:szCs w:val="20"/>
                <w:color w:val="auto"/>
              </w:rPr>
            </w:pPr>
            <w:r>
              <w:rPr>
                <w:rFonts w:ascii="Arial" w:cs="Arial" w:eastAsia="Arial" w:hAnsi="Arial"/>
                <w:sz w:val="20"/>
                <w:szCs w:val="20"/>
                <w:color w:val="auto"/>
              </w:rPr>
              <w:t>Spread do ICC - Crédito Livre</w:t>
            </w:r>
          </w:p>
        </w:tc>
        <w:tc>
          <w:tcPr>
            <w:tcW w:w="4880" w:type="dxa"/>
            <w:vAlign w:val="bottom"/>
          </w:tcPr>
          <w:p>
            <w:pPr>
              <w:ind w:left="180"/>
              <w:spacing w:after="0" w:line="190" w:lineRule="exact"/>
              <w:rPr>
                <w:sz w:val="20"/>
                <w:szCs w:val="20"/>
                <w:color w:val="auto"/>
              </w:rPr>
            </w:pPr>
            <w:r>
              <w:rPr>
                <w:rFonts w:ascii="Arial" w:cs="Arial" w:eastAsia="Arial" w:hAnsi="Arial"/>
                <w:sz w:val="20"/>
                <w:szCs w:val="20"/>
                <w:color w:val="auto"/>
              </w:rPr>
              <w:t>- Total</w:t>
            </w:r>
          </w:p>
        </w:tc>
        <w:tc>
          <w:tcPr>
            <w:tcW w:w="0" w:type="dxa"/>
            <w:vAlign w:val="bottom"/>
          </w:tcPr>
          <w:p>
            <w:pPr>
              <w:spacing w:after="0"/>
              <w:rPr>
                <w:sz w:val="1"/>
                <w:szCs w:val="1"/>
                <w:color w:val="auto"/>
              </w:rPr>
            </w:pPr>
          </w:p>
        </w:tc>
      </w:tr>
      <w:tr>
        <w:trPr>
          <w:trHeight w:val="219"/>
        </w:trPr>
        <w:tc>
          <w:tcPr>
            <w:tcW w:w="4120" w:type="dxa"/>
            <w:vAlign w:val="bottom"/>
            <w:vMerge w:val="continue"/>
          </w:tcPr>
          <w:p>
            <w:pPr>
              <w:spacing w:after="0"/>
              <w:rPr>
                <w:sz w:val="19"/>
                <w:szCs w:val="19"/>
                <w:color w:val="auto"/>
              </w:rPr>
            </w:pPr>
          </w:p>
        </w:tc>
        <w:tc>
          <w:tcPr>
            <w:tcW w:w="4880" w:type="dxa"/>
            <w:vAlign w:val="bottom"/>
          </w:tcPr>
          <w:p>
            <w:pPr>
              <w:ind w:left="200"/>
              <w:spacing w:after="0" w:line="219" w:lineRule="exact"/>
              <w:rPr>
                <w:sz w:val="20"/>
                <w:szCs w:val="20"/>
                <w:color w:val="auto"/>
              </w:rPr>
            </w:pPr>
            <w:r>
              <w:rPr>
                <w:rFonts w:ascii="Arial" w:cs="Arial" w:eastAsia="Arial" w:hAnsi="Arial"/>
                <w:sz w:val="20"/>
                <w:szCs w:val="20"/>
                <w:color w:val="auto"/>
              </w:rPr>
              <w:t>Spread médio das operações de crédito com</w:t>
            </w:r>
          </w:p>
        </w:tc>
        <w:tc>
          <w:tcPr>
            <w:tcW w:w="0" w:type="dxa"/>
            <w:vAlign w:val="bottom"/>
          </w:tcPr>
          <w:p>
            <w:pPr>
              <w:spacing w:after="0"/>
              <w:rPr>
                <w:sz w:val="1"/>
                <w:szCs w:val="1"/>
                <w:color w:val="auto"/>
              </w:rPr>
            </w:pPr>
          </w:p>
        </w:tc>
      </w:tr>
      <w:tr>
        <w:trPr>
          <w:trHeight w:val="190"/>
        </w:trPr>
        <w:tc>
          <w:tcPr>
            <w:tcW w:w="4120" w:type="dxa"/>
            <w:vAlign w:val="bottom"/>
            <w:vMerge w:val="restart"/>
          </w:tcPr>
          <w:p>
            <w:pPr>
              <w:ind w:left="120"/>
              <w:spacing w:after="0"/>
              <w:rPr>
                <w:sz w:val="20"/>
                <w:szCs w:val="20"/>
                <w:color w:val="auto"/>
              </w:rPr>
            </w:pPr>
            <w:r>
              <w:rPr>
                <w:rFonts w:ascii="Arial" w:cs="Arial" w:eastAsia="Arial" w:hAnsi="Arial"/>
                <w:sz w:val="20"/>
                <w:szCs w:val="20"/>
                <w:color w:val="auto"/>
              </w:rPr>
              <w:t>Spread do ICC - Pessoas físicas</w:t>
            </w:r>
          </w:p>
        </w:tc>
        <w:tc>
          <w:tcPr>
            <w:tcW w:w="4880" w:type="dxa"/>
            <w:vAlign w:val="bottom"/>
          </w:tcPr>
          <w:p>
            <w:pPr>
              <w:ind w:left="200"/>
              <w:spacing w:after="0" w:line="190" w:lineRule="exact"/>
              <w:rPr>
                <w:sz w:val="20"/>
                <w:szCs w:val="20"/>
                <w:color w:val="auto"/>
              </w:rPr>
            </w:pPr>
            <w:r>
              <w:rPr>
                <w:rFonts w:ascii="Arial" w:cs="Arial" w:eastAsia="Arial" w:hAnsi="Arial"/>
                <w:sz w:val="20"/>
                <w:szCs w:val="20"/>
                <w:color w:val="auto"/>
              </w:rPr>
              <w:t>recursos direcionados - Total</w:t>
            </w:r>
          </w:p>
        </w:tc>
        <w:tc>
          <w:tcPr>
            <w:tcW w:w="0" w:type="dxa"/>
            <w:vAlign w:val="bottom"/>
          </w:tcPr>
          <w:p>
            <w:pPr>
              <w:spacing w:after="0"/>
              <w:rPr>
                <w:sz w:val="1"/>
                <w:szCs w:val="1"/>
                <w:color w:val="auto"/>
              </w:rPr>
            </w:pPr>
          </w:p>
        </w:tc>
      </w:tr>
      <w:tr>
        <w:trPr>
          <w:trHeight w:val="219"/>
        </w:trPr>
        <w:tc>
          <w:tcPr>
            <w:tcW w:w="4120" w:type="dxa"/>
            <w:vAlign w:val="bottom"/>
            <w:vMerge w:val="continue"/>
          </w:tcPr>
          <w:p>
            <w:pPr>
              <w:spacing w:after="0"/>
              <w:rPr>
                <w:sz w:val="19"/>
                <w:szCs w:val="19"/>
                <w:color w:val="auto"/>
              </w:rPr>
            </w:pPr>
          </w:p>
        </w:tc>
        <w:tc>
          <w:tcPr>
            <w:tcW w:w="4880" w:type="dxa"/>
            <w:vAlign w:val="bottom"/>
          </w:tcPr>
          <w:p>
            <w:pPr>
              <w:ind w:left="200"/>
              <w:spacing w:after="0" w:line="219" w:lineRule="exact"/>
              <w:rPr>
                <w:sz w:val="20"/>
                <w:szCs w:val="20"/>
                <w:color w:val="auto"/>
              </w:rPr>
            </w:pPr>
            <w:r>
              <w:rPr>
                <w:rFonts w:ascii="Arial" w:cs="Arial" w:eastAsia="Arial" w:hAnsi="Arial"/>
                <w:sz w:val="20"/>
                <w:szCs w:val="20"/>
                <w:color w:val="auto"/>
              </w:rPr>
              <w:t>Spread médio das operações de crédito com</w:t>
            </w:r>
          </w:p>
        </w:tc>
        <w:tc>
          <w:tcPr>
            <w:tcW w:w="0" w:type="dxa"/>
            <w:vAlign w:val="bottom"/>
          </w:tcPr>
          <w:p>
            <w:pPr>
              <w:spacing w:after="0"/>
              <w:rPr>
                <w:sz w:val="1"/>
                <w:szCs w:val="1"/>
                <w:color w:val="auto"/>
              </w:rPr>
            </w:pPr>
          </w:p>
        </w:tc>
      </w:tr>
      <w:tr>
        <w:trPr>
          <w:trHeight w:val="190"/>
        </w:trPr>
        <w:tc>
          <w:tcPr>
            <w:tcW w:w="4120" w:type="dxa"/>
            <w:vAlign w:val="bottom"/>
            <w:vMerge w:val="restart"/>
          </w:tcPr>
          <w:p>
            <w:pPr>
              <w:ind w:left="120"/>
              <w:spacing w:after="0"/>
              <w:rPr>
                <w:sz w:val="20"/>
                <w:szCs w:val="20"/>
                <w:color w:val="auto"/>
              </w:rPr>
            </w:pPr>
            <w:r>
              <w:rPr>
                <w:rFonts w:ascii="Arial" w:cs="Arial" w:eastAsia="Arial" w:hAnsi="Arial"/>
                <w:sz w:val="20"/>
                <w:szCs w:val="20"/>
                <w:color w:val="auto"/>
              </w:rPr>
              <w:t>Spread do ICC - Pessoas jurídicas</w:t>
            </w:r>
          </w:p>
        </w:tc>
        <w:tc>
          <w:tcPr>
            <w:tcW w:w="4880" w:type="dxa"/>
            <w:vAlign w:val="bottom"/>
          </w:tcPr>
          <w:p>
            <w:pPr>
              <w:ind w:left="200"/>
              <w:spacing w:after="0" w:line="190" w:lineRule="exact"/>
              <w:rPr>
                <w:sz w:val="20"/>
                <w:szCs w:val="20"/>
                <w:color w:val="auto"/>
              </w:rPr>
            </w:pPr>
            <w:r>
              <w:rPr>
                <w:rFonts w:ascii="Arial" w:cs="Arial" w:eastAsia="Arial" w:hAnsi="Arial"/>
                <w:sz w:val="20"/>
                <w:szCs w:val="20"/>
                <w:color w:val="auto"/>
              </w:rPr>
              <w:t>recursos livres - Total</w:t>
            </w:r>
          </w:p>
        </w:tc>
        <w:tc>
          <w:tcPr>
            <w:tcW w:w="0" w:type="dxa"/>
            <w:vAlign w:val="bottom"/>
          </w:tcPr>
          <w:p>
            <w:pPr>
              <w:spacing w:after="0"/>
              <w:rPr>
                <w:sz w:val="1"/>
                <w:szCs w:val="1"/>
                <w:color w:val="auto"/>
              </w:rPr>
            </w:pPr>
          </w:p>
        </w:tc>
      </w:tr>
      <w:tr>
        <w:trPr>
          <w:trHeight w:val="219"/>
        </w:trPr>
        <w:tc>
          <w:tcPr>
            <w:tcW w:w="4120" w:type="dxa"/>
            <w:vAlign w:val="bottom"/>
            <w:vMerge w:val="continue"/>
          </w:tcPr>
          <w:p>
            <w:pPr>
              <w:spacing w:after="0"/>
              <w:rPr>
                <w:sz w:val="19"/>
                <w:szCs w:val="19"/>
                <w:color w:val="auto"/>
              </w:rPr>
            </w:pPr>
          </w:p>
        </w:tc>
        <w:tc>
          <w:tcPr>
            <w:tcW w:w="4880" w:type="dxa"/>
            <w:vAlign w:val="bottom"/>
          </w:tcPr>
          <w:p>
            <w:pPr>
              <w:ind w:left="200"/>
              <w:spacing w:after="0" w:line="219" w:lineRule="exact"/>
              <w:rPr>
                <w:sz w:val="20"/>
                <w:szCs w:val="20"/>
                <w:color w:val="auto"/>
              </w:rPr>
            </w:pPr>
            <w:r>
              <w:rPr>
                <w:rFonts w:ascii="Arial" w:cs="Arial" w:eastAsia="Arial" w:hAnsi="Arial"/>
                <w:sz w:val="20"/>
                <w:szCs w:val="20"/>
                <w:color w:val="auto"/>
              </w:rPr>
              <w:t>Spread médio das operações de crédito - Pessoas</w:t>
            </w:r>
          </w:p>
        </w:tc>
        <w:tc>
          <w:tcPr>
            <w:tcW w:w="0" w:type="dxa"/>
            <w:vAlign w:val="bottom"/>
          </w:tcPr>
          <w:p>
            <w:pPr>
              <w:spacing w:after="0"/>
              <w:rPr>
                <w:sz w:val="1"/>
                <w:szCs w:val="1"/>
                <w:color w:val="auto"/>
              </w:rPr>
            </w:pPr>
          </w:p>
        </w:tc>
      </w:tr>
      <w:tr>
        <w:trPr>
          <w:trHeight w:val="246"/>
        </w:trPr>
        <w:tc>
          <w:tcPr>
            <w:tcW w:w="4120" w:type="dxa"/>
            <w:vAlign w:val="bottom"/>
          </w:tcPr>
          <w:p>
            <w:pPr>
              <w:spacing w:after="0"/>
              <w:rPr>
                <w:sz w:val="21"/>
                <w:szCs w:val="21"/>
                <w:color w:val="auto"/>
              </w:rPr>
            </w:pPr>
          </w:p>
        </w:tc>
        <w:tc>
          <w:tcPr>
            <w:tcW w:w="4880" w:type="dxa"/>
            <w:vAlign w:val="bottom"/>
          </w:tcPr>
          <w:p>
            <w:pPr>
              <w:ind w:left="200"/>
              <w:spacing w:after="0"/>
              <w:rPr>
                <w:sz w:val="20"/>
                <w:szCs w:val="20"/>
                <w:color w:val="auto"/>
              </w:rPr>
            </w:pPr>
            <w:r>
              <w:rPr>
                <w:rFonts w:ascii="Arial" w:cs="Arial" w:eastAsia="Arial" w:hAnsi="Arial"/>
                <w:sz w:val="20"/>
                <w:szCs w:val="20"/>
                <w:color w:val="auto"/>
              </w:rPr>
              <w:t>físicas - Total</w:t>
            </w:r>
          </w:p>
        </w:tc>
        <w:tc>
          <w:tcPr>
            <w:tcW w:w="0" w:type="dxa"/>
            <w:vAlign w:val="bottom"/>
          </w:tcPr>
          <w:p>
            <w:pPr>
              <w:spacing w:after="0"/>
              <w:rPr>
                <w:sz w:val="1"/>
                <w:szCs w:val="1"/>
                <w:color w:val="auto"/>
              </w:rPr>
            </w:pPr>
          </w:p>
        </w:tc>
      </w:tr>
      <w:tr>
        <w:trPr>
          <w:trHeight w:val="280"/>
        </w:trPr>
        <w:tc>
          <w:tcPr>
            <w:tcW w:w="4120" w:type="dxa"/>
            <w:vAlign w:val="bottom"/>
          </w:tcPr>
          <w:p>
            <w:pPr>
              <w:ind w:left="120"/>
              <w:spacing w:after="0"/>
              <w:rPr>
                <w:sz w:val="20"/>
                <w:szCs w:val="20"/>
                <w:color w:val="auto"/>
              </w:rPr>
            </w:pPr>
            <w:r>
              <w:rPr>
                <w:rFonts w:ascii="Arial" w:cs="Arial" w:eastAsia="Arial" w:hAnsi="Arial"/>
                <w:sz w:val="20"/>
                <w:szCs w:val="20"/>
                <w:color w:val="auto"/>
              </w:rPr>
              <w:t>Spread do ICC - Crédito não rotativo - Total</w:t>
            </w:r>
          </w:p>
        </w:tc>
        <w:tc>
          <w:tcPr>
            <w:tcW w:w="4880" w:type="dxa"/>
            <w:vAlign w:val="bottom"/>
          </w:tcPr>
          <w:p>
            <w:pPr>
              <w:ind w:left="200"/>
              <w:spacing w:after="0"/>
              <w:rPr>
                <w:sz w:val="20"/>
                <w:szCs w:val="20"/>
                <w:color w:val="auto"/>
              </w:rPr>
            </w:pPr>
            <w:r>
              <w:rPr>
                <w:rFonts w:ascii="Arial" w:cs="Arial" w:eastAsia="Arial" w:hAnsi="Arial"/>
                <w:sz w:val="20"/>
                <w:szCs w:val="20"/>
                <w:color w:val="auto"/>
              </w:rPr>
              <w:t>Spread médio das operações de crédito - Pessoas</w:t>
            </w:r>
          </w:p>
        </w:tc>
        <w:tc>
          <w:tcPr>
            <w:tcW w:w="0" w:type="dxa"/>
            <w:vAlign w:val="bottom"/>
          </w:tcPr>
          <w:p>
            <w:pPr>
              <w:spacing w:after="0"/>
              <w:rPr>
                <w:sz w:val="1"/>
                <w:szCs w:val="1"/>
                <w:color w:val="auto"/>
              </w:rPr>
            </w:pPr>
          </w:p>
        </w:tc>
      </w:tr>
      <w:tr>
        <w:trPr>
          <w:trHeight w:val="209"/>
        </w:trPr>
        <w:tc>
          <w:tcPr>
            <w:tcW w:w="4120" w:type="dxa"/>
            <w:vAlign w:val="bottom"/>
          </w:tcPr>
          <w:p>
            <w:pPr>
              <w:spacing w:after="0"/>
              <w:rPr>
                <w:sz w:val="18"/>
                <w:szCs w:val="18"/>
                <w:color w:val="auto"/>
              </w:rPr>
            </w:pPr>
          </w:p>
        </w:tc>
        <w:tc>
          <w:tcPr>
            <w:tcW w:w="4880" w:type="dxa"/>
            <w:vAlign w:val="bottom"/>
          </w:tcPr>
          <w:p>
            <w:pPr>
              <w:ind w:left="200"/>
              <w:spacing w:after="0" w:line="209" w:lineRule="exact"/>
              <w:rPr>
                <w:sz w:val="20"/>
                <w:szCs w:val="20"/>
                <w:color w:val="auto"/>
              </w:rPr>
            </w:pPr>
            <w:r>
              <w:rPr>
                <w:rFonts w:ascii="Arial" w:cs="Arial" w:eastAsia="Arial" w:hAnsi="Arial"/>
                <w:sz w:val="20"/>
                <w:szCs w:val="20"/>
                <w:color w:val="auto"/>
              </w:rPr>
              <w:t>jurídicas - Total</w:t>
            </w:r>
          </w:p>
        </w:tc>
        <w:tc>
          <w:tcPr>
            <w:tcW w:w="0" w:type="dxa"/>
            <w:vAlign w:val="bottom"/>
          </w:tcPr>
          <w:p>
            <w:pPr>
              <w:spacing w:after="0"/>
              <w:rPr>
                <w:sz w:val="1"/>
                <w:szCs w:val="1"/>
                <w:color w:val="auto"/>
              </w:rPr>
            </w:pPr>
          </w:p>
        </w:tc>
      </w:tr>
      <w:tr>
        <w:trPr>
          <w:trHeight w:val="239"/>
        </w:trPr>
        <w:tc>
          <w:tcPr>
            <w:tcW w:w="4120" w:type="dxa"/>
            <w:vAlign w:val="bottom"/>
          </w:tcPr>
          <w:p>
            <w:pPr>
              <w:ind w:left="120"/>
              <w:spacing w:after="0"/>
              <w:rPr>
                <w:sz w:val="20"/>
                <w:szCs w:val="20"/>
                <w:color w:val="auto"/>
              </w:rPr>
            </w:pPr>
            <w:r>
              <w:rPr>
                <w:rFonts w:ascii="Arial" w:cs="Arial" w:eastAsia="Arial" w:hAnsi="Arial"/>
                <w:sz w:val="20"/>
                <w:szCs w:val="20"/>
                <w:color w:val="auto"/>
              </w:rPr>
              <w:t>Spread do ICC - Crédito Direcionado -</w:t>
            </w:r>
          </w:p>
        </w:tc>
        <w:tc>
          <w:tcPr>
            <w:tcW w:w="4880" w:type="dxa"/>
            <w:vAlign w:val="bottom"/>
          </w:tcPr>
          <w:p>
            <w:pPr>
              <w:ind w:left="200"/>
              <w:spacing w:after="0"/>
              <w:rPr>
                <w:sz w:val="20"/>
                <w:szCs w:val="20"/>
                <w:color w:val="auto"/>
              </w:rPr>
            </w:pPr>
            <w:r>
              <w:rPr>
                <w:rFonts w:ascii="Arial" w:cs="Arial" w:eastAsia="Arial" w:hAnsi="Arial"/>
                <w:sz w:val="20"/>
                <w:szCs w:val="20"/>
                <w:color w:val="auto"/>
              </w:rPr>
              <w:t>Spread médio das operações de crédito não</w:t>
            </w:r>
          </w:p>
        </w:tc>
        <w:tc>
          <w:tcPr>
            <w:tcW w:w="0" w:type="dxa"/>
            <w:vAlign w:val="bottom"/>
          </w:tcPr>
          <w:p>
            <w:pPr>
              <w:spacing w:after="0"/>
              <w:rPr>
                <w:sz w:val="1"/>
                <w:szCs w:val="1"/>
                <w:color w:val="auto"/>
              </w:rPr>
            </w:pPr>
          </w:p>
        </w:tc>
      </w:tr>
      <w:tr>
        <w:trPr>
          <w:trHeight w:val="190"/>
        </w:trPr>
        <w:tc>
          <w:tcPr>
            <w:tcW w:w="4120" w:type="dxa"/>
            <w:vAlign w:val="bottom"/>
          </w:tcPr>
          <w:p>
            <w:pPr>
              <w:ind w:left="120"/>
              <w:spacing w:after="0" w:line="190" w:lineRule="exact"/>
              <w:rPr>
                <w:sz w:val="20"/>
                <w:szCs w:val="20"/>
                <w:color w:val="auto"/>
              </w:rPr>
            </w:pPr>
            <w:r>
              <w:rPr>
                <w:rFonts w:ascii="Arial" w:cs="Arial" w:eastAsia="Arial" w:hAnsi="Arial"/>
                <w:sz w:val="20"/>
                <w:szCs w:val="20"/>
                <w:color w:val="auto"/>
              </w:rPr>
              <w:t>Pessoas físicas</w:t>
            </w:r>
          </w:p>
        </w:tc>
        <w:tc>
          <w:tcPr>
            <w:tcW w:w="4880" w:type="dxa"/>
            <w:vAlign w:val="bottom"/>
          </w:tcPr>
          <w:p>
            <w:pPr>
              <w:ind w:left="200"/>
              <w:spacing w:after="0" w:line="190" w:lineRule="exact"/>
              <w:rPr>
                <w:sz w:val="20"/>
                <w:szCs w:val="20"/>
                <w:color w:val="auto"/>
              </w:rPr>
            </w:pPr>
            <w:r>
              <w:rPr>
                <w:rFonts w:ascii="Arial" w:cs="Arial" w:eastAsia="Arial" w:hAnsi="Arial"/>
                <w:sz w:val="20"/>
                <w:szCs w:val="20"/>
                <w:color w:val="auto"/>
              </w:rPr>
              <w:t>rotativo com recursos livres - Pessoas Jurídicas</w:t>
            </w:r>
          </w:p>
        </w:tc>
        <w:tc>
          <w:tcPr>
            <w:tcW w:w="0" w:type="dxa"/>
            <w:vAlign w:val="bottom"/>
          </w:tcPr>
          <w:p>
            <w:pPr>
              <w:spacing w:after="0"/>
              <w:rPr>
                <w:sz w:val="1"/>
                <w:szCs w:val="1"/>
                <w:color w:val="auto"/>
              </w:rPr>
            </w:pPr>
          </w:p>
        </w:tc>
      </w:tr>
      <w:tr>
        <w:trPr>
          <w:trHeight w:val="221"/>
        </w:trPr>
        <w:tc>
          <w:tcPr>
            <w:tcW w:w="4120" w:type="dxa"/>
            <w:vAlign w:val="bottom"/>
          </w:tcPr>
          <w:p>
            <w:pPr>
              <w:ind w:left="120"/>
              <w:spacing w:after="0" w:line="221" w:lineRule="exact"/>
              <w:rPr>
                <w:sz w:val="20"/>
                <w:szCs w:val="20"/>
                <w:color w:val="auto"/>
              </w:rPr>
            </w:pPr>
            <w:r>
              <w:rPr>
                <w:rFonts w:ascii="Arial" w:cs="Arial" w:eastAsia="Arial" w:hAnsi="Arial"/>
                <w:sz w:val="20"/>
                <w:szCs w:val="20"/>
                <w:color w:val="auto"/>
              </w:rPr>
              <w:t>Spread do ICC - Crédito Direcionado -</w:t>
            </w:r>
          </w:p>
        </w:tc>
        <w:tc>
          <w:tcPr>
            <w:tcW w:w="4880" w:type="dxa"/>
            <w:vAlign w:val="bottom"/>
          </w:tcPr>
          <w:p>
            <w:pPr>
              <w:ind w:left="200"/>
              <w:spacing w:after="0" w:line="221" w:lineRule="exact"/>
              <w:rPr>
                <w:sz w:val="20"/>
                <w:szCs w:val="20"/>
                <w:color w:val="auto"/>
              </w:rPr>
            </w:pPr>
            <w:r>
              <w:rPr>
                <w:rFonts w:ascii="Arial" w:cs="Arial" w:eastAsia="Arial" w:hAnsi="Arial"/>
                <w:sz w:val="20"/>
                <w:szCs w:val="20"/>
                <w:color w:val="auto"/>
                <w:w w:val="99"/>
              </w:rPr>
              <w:t>Spread médio das operações de crédito não rotativo</w:t>
            </w:r>
          </w:p>
        </w:tc>
        <w:tc>
          <w:tcPr>
            <w:tcW w:w="0" w:type="dxa"/>
            <w:vAlign w:val="bottom"/>
          </w:tcPr>
          <w:p>
            <w:pPr>
              <w:spacing w:after="0"/>
              <w:rPr>
                <w:sz w:val="1"/>
                <w:szCs w:val="1"/>
                <w:color w:val="auto"/>
              </w:rPr>
            </w:pPr>
          </w:p>
        </w:tc>
      </w:tr>
      <w:tr>
        <w:trPr>
          <w:trHeight w:val="209"/>
        </w:trPr>
        <w:tc>
          <w:tcPr>
            <w:tcW w:w="4120" w:type="dxa"/>
            <w:vAlign w:val="bottom"/>
          </w:tcPr>
          <w:p>
            <w:pPr>
              <w:ind w:left="120"/>
              <w:spacing w:after="0" w:line="209" w:lineRule="exact"/>
              <w:rPr>
                <w:sz w:val="20"/>
                <w:szCs w:val="20"/>
                <w:color w:val="auto"/>
              </w:rPr>
            </w:pPr>
            <w:r>
              <w:rPr>
                <w:rFonts w:ascii="Arial" w:cs="Arial" w:eastAsia="Arial" w:hAnsi="Arial"/>
                <w:sz w:val="20"/>
                <w:szCs w:val="20"/>
                <w:color w:val="auto"/>
              </w:rPr>
              <w:t>Pessoas jurídicas</w:t>
            </w:r>
          </w:p>
        </w:tc>
        <w:tc>
          <w:tcPr>
            <w:tcW w:w="4880" w:type="dxa"/>
            <w:vAlign w:val="bottom"/>
          </w:tcPr>
          <w:p>
            <w:pPr>
              <w:ind w:left="200"/>
              <w:spacing w:after="0" w:line="209" w:lineRule="exact"/>
              <w:rPr>
                <w:sz w:val="20"/>
                <w:szCs w:val="20"/>
                <w:color w:val="auto"/>
              </w:rPr>
            </w:pPr>
            <w:r>
              <w:rPr>
                <w:rFonts w:ascii="Arial" w:cs="Arial" w:eastAsia="Arial" w:hAnsi="Arial"/>
                <w:sz w:val="20"/>
                <w:szCs w:val="20"/>
                <w:color w:val="auto"/>
              </w:rPr>
              <w:t>com recursos livres - Pess oas Físicas</w:t>
            </w:r>
          </w:p>
        </w:tc>
        <w:tc>
          <w:tcPr>
            <w:tcW w:w="0" w:type="dxa"/>
            <w:vAlign w:val="bottom"/>
          </w:tcPr>
          <w:p>
            <w:pPr>
              <w:spacing w:after="0"/>
              <w:rPr>
                <w:sz w:val="1"/>
                <w:szCs w:val="1"/>
                <w:color w:val="auto"/>
              </w:rPr>
            </w:pPr>
          </w:p>
        </w:tc>
      </w:tr>
      <w:tr>
        <w:trPr>
          <w:trHeight w:val="239"/>
        </w:trPr>
        <w:tc>
          <w:tcPr>
            <w:tcW w:w="4120" w:type="dxa"/>
            <w:vAlign w:val="bottom"/>
          </w:tcPr>
          <w:p>
            <w:pPr>
              <w:ind w:left="120"/>
              <w:spacing w:after="0"/>
              <w:rPr>
                <w:sz w:val="20"/>
                <w:szCs w:val="20"/>
                <w:color w:val="auto"/>
              </w:rPr>
            </w:pPr>
            <w:r>
              <w:rPr>
                <w:rFonts w:ascii="Arial" w:cs="Arial" w:eastAsia="Arial" w:hAnsi="Arial"/>
                <w:sz w:val="20"/>
                <w:szCs w:val="20"/>
                <w:color w:val="auto"/>
              </w:rPr>
              <w:t>Spread do ICC - Crédito Livre - Pessoas</w:t>
            </w:r>
          </w:p>
        </w:tc>
        <w:tc>
          <w:tcPr>
            <w:tcW w:w="4880" w:type="dxa"/>
            <w:vAlign w:val="bottom"/>
          </w:tcPr>
          <w:p>
            <w:pPr>
              <w:ind w:left="200"/>
              <w:spacing w:after="0"/>
              <w:rPr>
                <w:sz w:val="20"/>
                <w:szCs w:val="20"/>
                <w:color w:val="auto"/>
              </w:rPr>
            </w:pPr>
            <w:r>
              <w:rPr>
                <w:rFonts w:ascii="Arial" w:cs="Arial" w:eastAsia="Arial" w:hAnsi="Arial"/>
                <w:sz w:val="20"/>
                <w:szCs w:val="20"/>
                <w:color w:val="auto"/>
              </w:rPr>
              <w:t>Spread médio das operações de crédito não</w:t>
            </w:r>
          </w:p>
        </w:tc>
        <w:tc>
          <w:tcPr>
            <w:tcW w:w="0" w:type="dxa"/>
            <w:vAlign w:val="bottom"/>
          </w:tcPr>
          <w:p>
            <w:pPr>
              <w:spacing w:after="0"/>
              <w:rPr>
                <w:sz w:val="1"/>
                <w:szCs w:val="1"/>
                <w:color w:val="auto"/>
              </w:rPr>
            </w:pPr>
          </w:p>
        </w:tc>
      </w:tr>
      <w:tr>
        <w:trPr>
          <w:trHeight w:val="190"/>
        </w:trPr>
        <w:tc>
          <w:tcPr>
            <w:tcW w:w="4120" w:type="dxa"/>
            <w:vAlign w:val="bottom"/>
          </w:tcPr>
          <w:p>
            <w:pPr>
              <w:ind w:left="120"/>
              <w:spacing w:after="0" w:line="190" w:lineRule="exact"/>
              <w:rPr>
                <w:sz w:val="20"/>
                <w:szCs w:val="20"/>
                <w:color w:val="auto"/>
              </w:rPr>
            </w:pPr>
            <w:r>
              <w:rPr>
                <w:rFonts w:ascii="Arial" w:cs="Arial" w:eastAsia="Arial" w:hAnsi="Arial"/>
                <w:sz w:val="20"/>
                <w:szCs w:val="20"/>
                <w:color w:val="auto"/>
              </w:rPr>
              <w:t>físicas</w:t>
            </w:r>
          </w:p>
        </w:tc>
        <w:tc>
          <w:tcPr>
            <w:tcW w:w="4880" w:type="dxa"/>
            <w:vAlign w:val="bottom"/>
          </w:tcPr>
          <w:p>
            <w:pPr>
              <w:ind w:left="200"/>
              <w:spacing w:after="0" w:line="190" w:lineRule="exact"/>
              <w:rPr>
                <w:sz w:val="20"/>
                <w:szCs w:val="20"/>
                <w:color w:val="auto"/>
              </w:rPr>
            </w:pPr>
            <w:r>
              <w:rPr>
                <w:rFonts w:ascii="Arial" w:cs="Arial" w:eastAsia="Arial" w:hAnsi="Arial"/>
                <w:sz w:val="20"/>
                <w:szCs w:val="20"/>
                <w:color w:val="auto"/>
              </w:rPr>
              <w:t>rotativo com recursos livres - Total</w:t>
            </w:r>
          </w:p>
        </w:tc>
        <w:tc>
          <w:tcPr>
            <w:tcW w:w="0" w:type="dxa"/>
            <w:vAlign w:val="bottom"/>
          </w:tcPr>
          <w:p>
            <w:pPr>
              <w:spacing w:after="0"/>
              <w:rPr>
                <w:sz w:val="1"/>
                <w:szCs w:val="1"/>
                <w:color w:val="auto"/>
              </w:rPr>
            </w:pPr>
          </w:p>
        </w:tc>
      </w:tr>
      <w:tr>
        <w:trPr>
          <w:trHeight w:val="219"/>
        </w:trPr>
        <w:tc>
          <w:tcPr>
            <w:tcW w:w="4120" w:type="dxa"/>
            <w:vAlign w:val="bottom"/>
          </w:tcPr>
          <w:p>
            <w:pPr>
              <w:ind w:left="120"/>
              <w:spacing w:after="0" w:line="219" w:lineRule="exact"/>
              <w:rPr>
                <w:sz w:val="20"/>
                <w:szCs w:val="20"/>
                <w:color w:val="auto"/>
              </w:rPr>
            </w:pPr>
            <w:r>
              <w:rPr>
                <w:rFonts w:ascii="Arial" w:cs="Arial" w:eastAsia="Arial" w:hAnsi="Arial"/>
                <w:sz w:val="20"/>
                <w:szCs w:val="20"/>
                <w:color w:val="auto"/>
              </w:rPr>
              <w:t>Spread do ICC - Crédito Livre - Pessoas</w:t>
            </w:r>
          </w:p>
        </w:tc>
        <w:tc>
          <w:tcPr>
            <w:tcW w:w="4880" w:type="dxa"/>
            <w:vAlign w:val="bottom"/>
          </w:tcPr>
          <w:p>
            <w:pPr>
              <w:ind w:left="200"/>
              <w:spacing w:after="0" w:line="219" w:lineRule="exact"/>
              <w:rPr>
                <w:sz w:val="20"/>
                <w:szCs w:val="20"/>
                <w:color w:val="auto"/>
              </w:rPr>
            </w:pPr>
            <w:r>
              <w:rPr>
                <w:rFonts w:ascii="Arial" w:cs="Arial" w:eastAsia="Arial" w:hAnsi="Arial"/>
                <w:sz w:val="20"/>
                <w:szCs w:val="20"/>
                <w:color w:val="auto"/>
                <w:w w:val="99"/>
              </w:rPr>
              <w:t>Spread médio das operações de crédito não rotativo</w:t>
            </w:r>
          </w:p>
        </w:tc>
        <w:tc>
          <w:tcPr>
            <w:tcW w:w="0" w:type="dxa"/>
            <w:vAlign w:val="bottom"/>
          </w:tcPr>
          <w:p>
            <w:pPr>
              <w:spacing w:after="0"/>
              <w:rPr>
                <w:sz w:val="1"/>
                <w:szCs w:val="1"/>
                <w:color w:val="auto"/>
              </w:rPr>
            </w:pPr>
          </w:p>
        </w:tc>
      </w:tr>
      <w:tr>
        <w:trPr>
          <w:trHeight w:val="246"/>
        </w:trPr>
        <w:tc>
          <w:tcPr>
            <w:tcW w:w="4120" w:type="dxa"/>
            <w:vAlign w:val="bottom"/>
          </w:tcPr>
          <w:p>
            <w:pPr>
              <w:ind w:left="120"/>
              <w:spacing w:after="0"/>
              <w:rPr>
                <w:sz w:val="20"/>
                <w:szCs w:val="20"/>
                <w:color w:val="auto"/>
              </w:rPr>
            </w:pPr>
            <w:r>
              <w:rPr>
                <w:rFonts w:ascii="Arial" w:cs="Arial" w:eastAsia="Arial" w:hAnsi="Arial"/>
                <w:sz w:val="20"/>
                <w:szCs w:val="20"/>
                <w:color w:val="auto"/>
              </w:rPr>
              <w:t>jurídicas</w:t>
            </w:r>
          </w:p>
        </w:tc>
        <w:tc>
          <w:tcPr>
            <w:tcW w:w="4880" w:type="dxa"/>
            <w:vAlign w:val="bottom"/>
          </w:tcPr>
          <w:p>
            <w:pPr>
              <w:ind w:left="180"/>
              <w:spacing w:after="0"/>
              <w:rPr>
                <w:sz w:val="20"/>
                <w:szCs w:val="20"/>
                <w:color w:val="auto"/>
              </w:rPr>
            </w:pPr>
            <w:r>
              <w:rPr>
                <w:rFonts w:ascii="Arial" w:cs="Arial" w:eastAsia="Arial" w:hAnsi="Arial"/>
                <w:sz w:val="20"/>
                <w:szCs w:val="20"/>
                <w:color w:val="auto"/>
              </w:rPr>
              <w:t>- Pessoas físicas - Total</w:t>
            </w:r>
          </w:p>
        </w:tc>
        <w:tc>
          <w:tcPr>
            <w:tcW w:w="0" w:type="dxa"/>
            <w:vAlign w:val="bottom"/>
          </w:tcPr>
          <w:p>
            <w:pPr>
              <w:spacing w:after="0"/>
              <w:rPr>
                <w:sz w:val="1"/>
                <w:szCs w:val="1"/>
                <w:color w:val="auto"/>
              </w:rPr>
            </w:pPr>
          </w:p>
        </w:tc>
      </w:tr>
      <w:tr>
        <w:trPr>
          <w:trHeight w:val="320"/>
        </w:trPr>
        <w:tc>
          <w:tcPr>
            <w:tcW w:w="4120" w:type="dxa"/>
            <w:vAlign w:val="bottom"/>
          </w:tcPr>
          <w:p>
            <w:pPr>
              <w:ind w:left="120"/>
              <w:spacing w:after="0"/>
              <w:rPr>
                <w:sz w:val="20"/>
                <w:szCs w:val="20"/>
                <w:color w:val="auto"/>
              </w:rPr>
            </w:pPr>
            <w:r>
              <w:rPr>
                <w:rFonts w:ascii="Arial" w:cs="Arial" w:eastAsia="Arial" w:hAnsi="Arial"/>
                <w:sz w:val="20"/>
                <w:szCs w:val="20"/>
                <w:color w:val="auto"/>
              </w:rPr>
              <w:t>Spread do ICC - Crédito não rotativo -</w:t>
            </w:r>
          </w:p>
        </w:tc>
        <w:tc>
          <w:tcPr>
            <w:tcW w:w="4880" w:type="dxa"/>
            <w:vAlign w:val="bottom"/>
          </w:tcPr>
          <w:p>
            <w:pPr>
              <w:ind w:left="200"/>
              <w:spacing w:after="0"/>
              <w:rPr>
                <w:sz w:val="20"/>
                <w:szCs w:val="20"/>
                <w:color w:val="auto"/>
              </w:rPr>
            </w:pPr>
            <w:r>
              <w:rPr>
                <w:rFonts w:ascii="Arial" w:cs="Arial" w:eastAsia="Arial" w:hAnsi="Arial"/>
                <w:sz w:val="20"/>
                <w:szCs w:val="20"/>
                <w:color w:val="auto"/>
              </w:rPr>
              <w:t>Spread médio das operações de crédito não</w:t>
            </w:r>
          </w:p>
        </w:tc>
        <w:tc>
          <w:tcPr>
            <w:tcW w:w="0" w:type="dxa"/>
            <w:vAlign w:val="bottom"/>
          </w:tcPr>
          <w:p>
            <w:pPr>
              <w:spacing w:after="0"/>
              <w:rPr>
                <w:sz w:val="1"/>
                <w:szCs w:val="1"/>
                <w:color w:val="auto"/>
              </w:rPr>
            </w:pPr>
          </w:p>
        </w:tc>
      </w:tr>
      <w:tr>
        <w:trPr>
          <w:trHeight w:val="209"/>
        </w:trPr>
        <w:tc>
          <w:tcPr>
            <w:tcW w:w="4120" w:type="dxa"/>
            <w:vAlign w:val="bottom"/>
          </w:tcPr>
          <w:p>
            <w:pPr>
              <w:ind w:left="120"/>
              <w:spacing w:after="0" w:line="209" w:lineRule="exact"/>
              <w:rPr>
                <w:sz w:val="20"/>
                <w:szCs w:val="20"/>
                <w:color w:val="auto"/>
              </w:rPr>
            </w:pPr>
            <w:r>
              <w:rPr>
                <w:rFonts w:ascii="Arial" w:cs="Arial" w:eastAsia="Arial" w:hAnsi="Arial"/>
                <w:sz w:val="20"/>
                <w:szCs w:val="20"/>
                <w:color w:val="auto"/>
              </w:rPr>
              <w:t>Recursos livres - Pessoas físicas</w:t>
            </w:r>
          </w:p>
        </w:tc>
        <w:tc>
          <w:tcPr>
            <w:tcW w:w="4880" w:type="dxa"/>
            <w:vAlign w:val="bottom"/>
          </w:tcPr>
          <w:p>
            <w:pPr>
              <w:ind w:left="200"/>
              <w:spacing w:after="0" w:line="209" w:lineRule="exact"/>
              <w:rPr>
                <w:sz w:val="20"/>
                <w:szCs w:val="20"/>
                <w:color w:val="auto"/>
              </w:rPr>
            </w:pPr>
            <w:r>
              <w:rPr>
                <w:rFonts w:ascii="Arial" w:cs="Arial" w:eastAsia="Arial" w:hAnsi="Arial"/>
                <w:sz w:val="20"/>
                <w:szCs w:val="20"/>
                <w:color w:val="auto"/>
              </w:rPr>
              <w:t>rotativo - Pessoas jurídicas - Total</w:t>
            </w:r>
          </w:p>
        </w:tc>
        <w:tc>
          <w:tcPr>
            <w:tcW w:w="0" w:type="dxa"/>
            <w:vAlign w:val="bottom"/>
          </w:tcPr>
          <w:p>
            <w:pPr>
              <w:spacing w:after="0"/>
              <w:rPr>
                <w:sz w:val="1"/>
                <w:szCs w:val="1"/>
                <w:color w:val="auto"/>
              </w:rPr>
            </w:pPr>
          </w:p>
        </w:tc>
      </w:tr>
      <w:tr>
        <w:trPr>
          <w:trHeight w:val="239"/>
        </w:trPr>
        <w:tc>
          <w:tcPr>
            <w:tcW w:w="4120" w:type="dxa"/>
            <w:vAlign w:val="bottom"/>
          </w:tcPr>
          <w:p>
            <w:pPr>
              <w:ind w:left="120"/>
              <w:spacing w:after="0"/>
              <w:rPr>
                <w:sz w:val="20"/>
                <w:szCs w:val="20"/>
                <w:color w:val="auto"/>
              </w:rPr>
            </w:pPr>
            <w:r>
              <w:rPr>
                <w:rFonts w:ascii="Arial" w:cs="Arial" w:eastAsia="Arial" w:hAnsi="Arial"/>
                <w:sz w:val="20"/>
                <w:szCs w:val="20"/>
                <w:color w:val="auto"/>
              </w:rPr>
              <w:t>Spread do ICC - Crédito não rotativo -</w:t>
            </w:r>
          </w:p>
        </w:tc>
        <w:tc>
          <w:tcPr>
            <w:tcW w:w="4880" w:type="dxa"/>
            <w:vAlign w:val="bottom"/>
          </w:tcPr>
          <w:p>
            <w:pPr>
              <w:ind w:left="200"/>
              <w:spacing w:after="0"/>
              <w:rPr>
                <w:sz w:val="20"/>
                <w:szCs w:val="20"/>
                <w:color w:val="auto"/>
              </w:rPr>
            </w:pPr>
            <w:r>
              <w:rPr>
                <w:rFonts w:ascii="Arial" w:cs="Arial" w:eastAsia="Arial" w:hAnsi="Arial"/>
                <w:sz w:val="20"/>
                <w:szCs w:val="20"/>
                <w:color w:val="auto"/>
              </w:rPr>
              <w:t>Spread médio das operações de crédito com</w:t>
            </w:r>
          </w:p>
        </w:tc>
        <w:tc>
          <w:tcPr>
            <w:tcW w:w="0" w:type="dxa"/>
            <w:vAlign w:val="bottom"/>
          </w:tcPr>
          <w:p>
            <w:pPr>
              <w:spacing w:after="0"/>
              <w:rPr>
                <w:sz w:val="1"/>
                <w:szCs w:val="1"/>
                <w:color w:val="auto"/>
              </w:rPr>
            </w:pPr>
          </w:p>
        </w:tc>
      </w:tr>
      <w:tr>
        <w:trPr>
          <w:trHeight w:val="209"/>
        </w:trPr>
        <w:tc>
          <w:tcPr>
            <w:tcW w:w="4120" w:type="dxa"/>
            <w:vAlign w:val="bottom"/>
          </w:tcPr>
          <w:p>
            <w:pPr>
              <w:ind w:left="120"/>
              <w:spacing w:after="0" w:line="209" w:lineRule="exact"/>
              <w:rPr>
                <w:sz w:val="20"/>
                <w:szCs w:val="20"/>
                <w:color w:val="auto"/>
              </w:rPr>
            </w:pPr>
            <w:r>
              <w:rPr>
                <w:rFonts w:ascii="Arial" w:cs="Arial" w:eastAsia="Arial" w:hAnsi="Arial"/>
                <w:sz w:val="20"/>
                <w:szCs w:val="20"/>
                <w:color w:val="auto"/>
              </w:rPr>
              <w:t>Recursos livres - Pessoas jurídicas</w:t>
            </w:r>
          </w:p>
        </w:tc>
        <w:tc>
          <w:tcPr>
            <w:tcW w:w="4880" w:type="dxa"/>
            <w:vAlign w:val="bottom"/>
          </w:tcPr>
          <w:p>
            <w:pPr>
              <w:ind w:left="200"/>
              <w:spacing w:after="0" w:line="209" w:lineRule="exact"/>
              <w:rPr>
                <w:sz w:val="20"/>
                <w:szCs w:val="20"/>
                <w:color w:val="auto"/>
              </w:rPr>
            </w:pPr>
            <w:r>
              <w:rPr>
                <w:rFonts w:ascii="Arial" w:cs="Arial" w:eastAsia="Arial" w:hAnsi="Arial"/>
                <w:sz w:val="20"/>
                <w:szCs w:val="20"/>
                <w:color w:val="auto"/>
              </w:rPr>
              <w:t>recursos direcionados - Pessoas físicas</w:t>
            </w:r>
          </w:p>
        </w:tc>
        <w:tc>
          <w:tcPr>
            <w:tcW w:w="0" w:type="dxa"/>
            <w:vAlign w:val="bottom"/>
          </w:tcPr>
          <w:p>
            <w:pPr>
              <w:spacing w:after="0"/>
              <w:rPr>
                <w:sz w:val="1"/>
                <w:szCs w:val="1"/>
                <w:color w:val="auto"/>
              </w:rPr>
            </w:pPr>
          </w:p>
        </w:tc>
      </w:tr>
      <w:tr>
        <w:trPr>
          <w:trHeight w:val="239"/>
        </w:trPr>
        <w:tc>
          <w:tcPr>
            <w:tcW w:w="4120" w:type="dxa"/>
            <w:vAlign w:val="bottom"/>
          </w:tcPr>
          <w:p>
            <w:pPr>
              <w:ind w:left="120"/>
              <w:spacing w:after="0"/>
              <w:rPr>
                <w:sz w:val="20"/>
                <w:szCs w:val="20"/>
                <w:color w:val="auto"/>
              </w:rPr>
            </w:pPr>
            <w:r>
              <w:rPr>
                <w:rFonts w:ascii="Arial" w:cs="Arial" w:eastAsia="Arial" w:hAnsi="Arial"/>
                <w:sz w:val="20"/>
                <w:szCs w:val="20"/>
                <w:color w:val="auto"/>
              </w:rPr>
              <w:t>Spread do ICC - Crédito não rotativo -</w:t>
            </w:r>
          </w:p>
        </w:tc>
        <w:tc>
          <w:tcPr>
            <w:tcW w:w="4880" w:type="dxa"/>
            <w:vAlign w:val="bottom"/>
          </w:tcPr>
          <w:p>
            <w:pPr>
              <w:ind w:left="200"/>
              <w:spacing w:after="0"/>
              <w:rPr>
                <w:sz w:val="20"/>
                <w:szCs w:val="20"/>
                <w:color w:val="auto"/>
              </w:rPr>
            </w:pPr>
            <w:r>
              <w:rPr>
                <w:rFonts w:ascii="Arial" w:cs="Arial" w:eastAsia="Arial" w:hAnsi="Arial"/>
                <w:sz w:val="20"/>
                <w:szCs w:val="20"/>
                <w:color w:val="auto"/>
              </w:rPr>
              <w:t>Spread médio das operações de crédito com</w:t>
            </w:r>
          </w:p>
        </w:tc>
        <w:tc>
          <w:tcPr>
            <w:tcW w:w="0" w:type="dxa"/>
            <w:vAlign w:val="bottom"/>
          </w:tcPr>
          <w:p>
            <w:pPr>
              <w:spacing w:after="0"/>
              <w:rPr>
                <w:sz w:val="1"/>
                <w:szCs w:val="1"/>
                <w:color w:val="auto"/>
              </w:rPr>
            </w:pPr>
          </w:p>
        </w:tc>
      </w:tr>
      <w:tr>
        <w:trPr>
          <w:trHeight w:val="209"/>
        </w:trPr>
        <w:tc>
          <w:tcPr>
            <w:tcW w:w="4120" w:type="dxa"/>
            <w:vAlign w:val="bottom"/>
          </w:tcPr>
          <w:p>
            <w:pPr>
              <w:ind w:left="120"/>
              <w:spacing w:after="0" w:line="209" w:lineRule="exact"/>
              <w:rPr>
                <w:sz w:val="20"/>
                <w:szCs w:val="20"/>
                <w:color w:val="auto"/>
              </w:rPr>
            </w:pPr>
            <w:r>
              <w:rPr>
                <w:rFonts w:ascii="Arial" w:cs="Arial" w:eastAsia="Arial" w:hAnsi="Arial"/>
                <w:sz w:val="20"/>
                <w:szCs w:val="20"/>
                <w:color w:val="auto"/>
              </w:rPr>
              <w:t>Recursos livres</w:t>
            </w:r>
          </w:p>
        </w:tc>
        <w:tc>
          <w:tcPr>
            <w:tcW w:w="4880" w:type="dxa"/>
            <w:vAlign w:val="bottom"/>
          </w:tcPr>
          <w:p>
            <w:pPr>
              <w:ind w:left="200"/>
              <w:spacing w:after="0" w:line="209" w:lineRule="exact"/>
              <w:rPr>
                <w:sz w:val="20"/>
                <w:szCs w:val="20"/>
                <w:color w:val="auto"/>
              </w:rPr>
            </w:pPr>
            <w:r>
              <w:rPr>
                <w:rFonts w:ascii="Arial" w:cs="Arial" w:eastAsia="Arial" w:hAnsi="Arial"/>
                <w:sz w:val="20"/>
                <w:szCs w:val="20"/>
                <w:color w:val="auto"/>
              </w:rPr>
              <w:t>recursos direcionados - Pessoas jurídicas</w:t>
            </w:r>
          </w:p>
        </w:tc>
        <w:tc>
          <w:tcPr>
            <w:tcW w:w="0" w:type="dxa"/>
            <w:vAlign w:val="bottom"/>
          </w:tcPr>
          <w:p>
            <w:pPr>
              <w:spacing w:after="0"/>
              <w:rPr>
                <w:sz w:val="1"/>
                <w:szCs w:val="1"/>
                <w:color w:val="auto"/>
              </w:rPr>
            </w:pPr>
          </w:p>
        </w:tc>
      </w:tr>
      <w:tr>
        <w:trPr>
          <w:trHeight w:val="239"/>
        </w:trPr>
        <w:tc>
          <w:tcPr>
            <w:tcW w:w="4120" w:type="dxa"/>
            <w:vAlign w:val="bottom"/>
          </w:tcPr>
          <w:p>
            <w:pPr>
              <w:ind w:left="120"/>
              <w:spacing w:after="0"/>
              <w:rPr>
                <w:sz w:val="20"/>
                <w:szCs w:val="20"/>
                <w:color w:val="auto"/>
              </w:rPr>
            </w:pPr>
            <w:r>
              <w:rPr>
                <w:rFonts w:ascii="Arial" w:cs="Arial" w:eastAsia="Arial" w:hAnsi="Arial"/>
                <w:sz w:val="20"/>
                <w:szCs w:val="20"/>
                <w:color w:val="auto"/>
              </w:rPr>
              <w:t>Spread do ICC - Crédito não rotativo -</w:t>
            </w:r>
          </w:p>
        </w:tc>
        <w:tc>
          <w:tcPr>
            <w:tcW w:w="4880" w:type="dxa"/>
            <w:vAlign w:val="bottom"/>
          </w:tcPr>
          <w:p>
            <w:pPr>
              <w:ind w:left="200"/>
              <w:spacing w:after="0"/>
              <w:rPr>
                <w:sz w:val="20"/>
                <w:szCs w:val="20"/>
                <w:color w:val="auto"/>
              </w:rPr>
            </w:pPr>
            <w:r>
              <w:rPr>
                <w:rFonts w:ascii="Arial" w:cs="Arial" w:eastAsia="Arial" w:hAnsi="Arial"/>
                <w:sz w:val="20"/>
                <w:szCs w:val="20"/>
                <w:color w:val="auto"/>
              </w:rPr>
              <w:t>Spread médio das operações de crédito com</w:t>
            </w:r>
          </w:p>
        </w:tc>
        <w:tc>
          <w:tcPr>
            <w:tcW w:w="0" w:type="dxa"/>
            <w:vAlign w:val="bottom"/>
          </w:tcPr>
          <w:p>
            <w:pPr>
              <w:spacing w:after="0"/>
              <w:rPr>
                <w:sz w:val="1"/>
                <w:szCs w:val="1"/>
                <w:color w:val="auto"/>
              </w:rPr>
            </w:pPr>
          </w:p>
        </w:tc>
      </w:tr>
      <w:tr>
        <w:trPr>
          <w:trHeight w:val="190"/>
        </w:trPr>
        <w:tc>
          <w:tcPr>
            <w:tcW w:w="4120" w:type="dxa"/>
            <w:vAlign w:val="bottom"/>
          </w:tcPr>
          <w:p>
            <w:pPr>
              <w:ind w:left="120"/>
              <w:spacing w:after="0" w:line="190" w:lineRule="exact"/>
              <w:rPr>
                <w:sz w:val="20"/>
                <w:szCs w:val="20"/>
                <w:color w:val="auto"/>
              </w:rPr>
            </w:pPr>
            <w:r>
              <w:rPr>
                <w:rFonts w:ascii="Arial" w:cs="Arial" w:eastAsia="Arial" w:hAnsi="Arial"/>
                <w:sz w:val="20"/>
                <w:szCs w:val="20"/>
                <w:color w:val="auto"/>
              </w:rPr>
              <w:t>Pessoas físicas</w:t>
            </w:r>
          </w:p>
        </w:tc>
        <w:tc>
          <w:tcPr>
            <w:tcW w:w="4880" w:type="dxa"/>
            <w:vAlign w:val="bottom"/>
          </w:tcPr>
          <w:p>
            <w:pPr>
              <w:ind w:left="200"/>
              <w:spacing w:after="0" w:line="190" w:lineRule="exact"/>
              <w:rPr>
                <w:sz w:val="20"/>
                <w:szCs w:val="20"/>
                <w:color w:val="auto"/>
              </w:rPr>
            </w:pPr>
            <w:r>
              <w:rPr>
                <w:rFonts w:ascii="Arial" w:cs="Arial" w:eastAsia="Arial" w:hAnsi="Arial"/>
                <w:sz w:val="20"/>
                <w:szCs w:val="20"/>
                <w:color w:val="auto"/>
              </w:rPr>
              <w:t>recursos livres - Pessoas físicas</w:t>
            </w:r>
          </w:p>
        </w:tc>
        <w:tc>
          <w:tcPr>
            <w:tcW w:w="0" w:type="dxa"/>
            <w:vAlign w:val="bottom"/>
          </w:tcPr>
          <w:p>
            <w:pPr>
              <w:spacing w:after="0"/>
              <w:rPr>
                <w:sz w:val="1"/>
                <w:szCs w:val="1"/>
                <w:color w:val="auto"/>
              </w:rPr>
            </w:pPr>
          </w:p>
        </w:tc>
      </w:tr>
      <w:tr>
        <w:trPr>
          <w:trHeight w:val="219"/>
        </w:trPr>
        <w:tc>
          <w:tcPr>
            <w:tcW w:w="4120" w:type="dxa"/>
            <w:vAlign w:val="bottom"/>
          </w:tcPr>
          <w:p>
            <w:pPr>
              <w:ind w:left="120"/>
              <w:spacing w:after="0" w:line="219" w:lineRule="exact"/>
              <w:rPr>
                <w:sz w:val="20"/>
                <w:szCs w:val="20"/>
                <w:color w:val="auto"/>
              </w:rPr>
            </w:pPr>
            <w:r>
              <w:rPr>
                <w:rFonts w:ascii="Arial" w:cs="Arial" w:eastAsia="Arial" w:hAnsi="Arial"/>
                <w:sz w:val="20"/>
                <w:szCs w:val="20"/>
                <w:color w:val="auto"/>
              </w:rPr>
              <w:t>Spread do ICC - Crédito não rotativo -</w:t>
            </w:r>
          </w:p>
        </w:tc>
        <w:tc>
          <w:tcPr>
            <w:tcW w:w="4880" w:type="dxa"/>
            <w:vAlign w:val="bottom"/>
          </w:tcPr>
          <w:p>
            <w:pPr>
              <w:ind w:left="200"/>
              <w:spacing w:after="0" w:line="219" w:lineRule="exact"/>
              <w:rPr>
                <w:sz w:val="20"/>
                <w:szCs w:val="20"/>
                <w:color w:val="auto"/>
              </w:rPr>
            </w:pPr>
            <w:r>
              <w:rPr>
                <w:rFonts w:ascii="Arial" w:cs="Arial" w:eastAsia="Arial" w:hAnsi="Arial"/>
                <w:sz w:val="20"/>
                <w:szCs w:val="20"/>
                <w:color w:val="auto"/>
              </w:rPr>
              <w:t>Spread médio das operações de crédito com</w:t>
            </w:r>
          </w:p>
        </w:tc>
        <w:tc>
          <w:tcPr>
            <w:tcW w:w="0" w:type="dxa"/>
            <w:vAlign w:val="bottom"/>
          </w:tcPr>
          <w:p>
            <w:pPr>
              <w:spacing w:after="0"/>
              <w:rPr>
                <w:sz w:val="1"/>
                <w:szCs w:val="1"/>
                <w:color w:val="auto"/>
              </w:rPr>
            </w:pPr>
          </w:p>
        </w:tc>
      </w:tr>
      <w:tr>
        <w:trPr>
          <w:trHeight w:val="246"/>
        </w:trPr>
        <w:tc>
          <w:tcPr>
            <w:tcW w:w="4120" w:type="dxa"/>
            <w:vAlign w:val="bottom"/>
          </w:tcPr>
          <w:p>
            <w:pPr>
              <w:ind w:left="120"/>
              <w:spacing w:after="0"/>
              <w:rPr>
                <w:sz w:val="20"/>
                <w:szCs w:val="20"/>
                <w:color w:val="auto"/>
              </w:rPr>
            </w:pPr>
            <w:r>
              <w:rPr>
                <w:rFonts w:ascii="Arial" w:cs="Arial" w:eastAsia="Arial" w:hAnsi="Arial"/>
                <w:sz w:val="20"/>
                <w:szCs w:val="20"/>
                <w:color w:val="auto"/>
              </w:rPr>
              <w:t>Pessoas jurídicas</w:t>
            </w:r>
          </w:p>
        </w:tc>
        <w:tc>
          <w:tcPr>
            <w:tcW w:w="4880" w:type="dxa"/>
            <w:vAlign w:val="bottom"/>
          </w:tcPr>
          <w:p>
            <w:pPr>
              <w:ind w:left="200"/>
              <w:spacing w:after="0"/>
              <w:rPr>
                <w:sz w:val="20"/>
                <w:szCs w:val="20"/>
                <w:color w:val="auto"/>
              </w:rPr>
            </w:pPr>
            <w:r>
              <w:rPr>
                <w:rFonts w:ascii="Arial" w:cs="Arial" w:eastAsia="Arial" w:hAnsi="Arial"/>
                <w:sz w:val="20"/>
                <w:szCs w:val="20"/>
                <w:color w:val="auto"/>
              </w:rPr>
              <w:t>recursos livres - Pessoas jurídicas</w:t>
            </w:r>
          </w:p>
        </w:tc>
        <w:tc>
          <w:tcPr>
            <w:tcW w:w="0" w:type="dxa"/>
            <w:vAlign w:val="bottom"/>
          </w:tcPr>
          <w:p>
            <w:pPr>
              <w:spacing w:after="0"/>
              <w:rPr>
                <w:sz w:val="1"/>
                <w:szCs w:val="1"/>
                <w:color w:val="auto"/>
              </w:rPr>
            </w:pPr>
          </w:p>
        </w:tc>
      </w:tr>
      <w:tr>
        <w:trPr>
          <w:trHeight w:val="27"/>
        </w:trPr>
        <w:tc>
          <w:tcPr>
            <w:tcW w:w="4120" w:type="dxa"/>
            <w:vAlign w:val="bottom"/>
            <w:tcBorders>
              <w:bottom w:val="single" w:sz="8" w:color="auto"/>
            </w:tcBorders>
          </w:tcPr>
          <w:p>
            <w:pPr>
              <w:spacing w:after="0"/>
              <w:rPr>
                <w:sz w:val="2"/>
                <w:szCs w:val="2"/>
                <w:color w:val="auto"/>
              </w:rPr>
            </w:pPr>
          </w:p>
        </w:tc>
        <w:tc>
          <w:tcPr>
            <w:tcW w:w="488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52" w:lineRule="exact"/>
        <w:rPr>
          <w:sz w:val="20"/>
          <w:szCs w:val="20"/>
          <w:color w:val="auto"/>
        </w:rPr>
      </w:pPr>
    </w:p>
    <w:p>
      <w:pPr>
        <w:ind w:left="82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com base do relatório do portal de dados abertos do Banco Central</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260" w:right="40"/>
        <w:spacing w:after="0" w:line="431" w:lineRule="auto"/>
        <w:rPr>
          <w:sz w:val="20"/>
          <w:szCs w:val="20"/>
          <w:color w:val="auto"/>
        </w:rPr>
      </w:pPr>
      <w:r>
        <w:rPr>
          <w:rFonts w:ascii="Arial" w:cs="Arial" w:eastAsia="Arial" w:hAnsi="Arial"/>
          <w:sz w:val="24"/>
          <w:szCs w:val="24"/>
          <w:color w:val="auto"/>
        </w:rPr>
        <w:t>decomposição do spread, alterando o cálculo do custo médio de captação e detalhando classificações do crédito (DANTAS, 2012)</w:t>
      </w:r>
    </w:p>
    <w:p>
      <w:pPr>
        <w:spacing w:after="0" w:line="85"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Para o custo médio de captação passou a se utilizar a taxa média ponderada entre as taxas dos depósitos a prazo (CDB), caderneta de poupança e a vista, a participação dos custos efetivos dos recolhimentos compulsórios em detrimento do custo de oportunidade (DANTAS, 2012)</w:t>
      </w:r>
    </w:p>
    <w:p>
      <w:pPr>
        <w:spacing w:after="0" w:line="96"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O BACEN mantém atualmente duas séries para o indicador: Spread Médio das operações de crédito (MOC) e Spread do Indicador de Custo de Crédito (ICC). As séries são disponibilizadas em termos totais e nas subdivisões por tipo de recursos, crédito e tomador, conforme demonstrado na Tabela 6.</w:t>
      </w:r>
    </w:p>
    <w:p>
      <w:pPr>
        <w:sectPr>
          <w:pgSz w:w="11900" w:h="16838" w:orient="portrait"/>
          <w:cols w:equalWidth="0" w:num="1">
            <w:col w:w="9360"/>
          </w:cols>
          <w:pgMar w:left="1440" w:top="991" w:right="1106" w:bottom="1137" w:gutter="0" w:footer="0" w:header="0"/>
        </w:sectPr>
      </w:pPr>
    </w:p>
    <w:p>
      <w:pPr>
        <w:ind w:left="9060"/>
        <w:spacing w:after="0"/>
        <w:rPr>
          <w:sz w:val="20"/>
          <w:szCs w:val="20"/>
          <w:color w:val="auto"/>
        </w:rPr>
      </w:pPr>
      <w:r>
        <w:rPr>
          <w:rFonts w:ascii="Arial" w:cs="Arial" w:eastAsia="Arial" w:hAnsi="Arial"/>
          <w:sz w:val="24"/>
          <w:szCs w:val="24"/>
          <w:color w:val="auto"/>
        </w:rPr>
        <w:t>38</w:t>
      </w:r>
    </w:p>
    <w:p>
      <w:pPr>
        <w:spacing w:after="0" w:line="200" w:lineRule="exact"/>
        <w:rPr>
          <w:sz w:val="20"/>
          <w:szCs w:val="20"/>
          <w:color w:val="auto"/>
        </w:rPr>
      </w:pPr>
    </w:p>
    <w:p>
      <w:pPr>
        <w:spacing w:after="0" w:line="246" w:lineRule="exact"/>
        <w:rPr>
          <w:sz w:val="20"/>
          <w:szCs w:val="20"/>
          <w:color w:val="auto"/>
        </w:rPr>
      </w:pPr>
    </w:p>
    <w:p>
      <w:pPr>
        <w:jc w:val="both"/>
        <w:ind w:left="260" w:right="60" w:firstLine="850"/>
        <w:spacing w:after="0" w:line="421" w:lineRule="auto"/>
        <w:rPr>
          <w:sz w:val="20"/>
          <w:szCs w:val="20"/>
          <w:color w:val="auto"/>
        </w:rPr>
      </w:pPr>
      <w:r>
        <w:rPr>
          <w:rFonts w:ascii="Arial" w:cs="Arial" w:eastAsia="Arial" w:hAnsi="Arial"/>
          <w:sz w:val="24"/>
          <w:szCs w:val="24"/>
          <w:color w:val="auto"/>
        </w:rPr>
        <w:t>Estas séries estatísticas representam estimativas baseadas nas informações repassadas pelas instituições bancárias das taxas de juros das operações de crédito e indicadores do mercado financeiro do custo médio do dinheiro para o custo médio de captação (BACEN, 2016).</w:t>
      </w:r>
    </w:p>
    <w:p>
      <w:pPr>
        <w:spacing w:after="0" w:line="88" w:lineRule="exact"/>
        <w:rPr>
          <w:sz w:val="20"/>
          <w:szCs w:val="20"/>
          <w:color w:val="auto"/>
        </w:rPr>
      </w:pPr>
    </w:p>
    <w:p>
      <w:pPr>
        <w:jc w:val="both"/>
        <w:ind w:left="260" w:right="60" w:firstLine="850"/>
        <w:spacing w:after="0" w:line="421" w:lineRule="auto"/>
        <w:rPr>
          <w:sz w:val="20"/>
          <w:szCs w:val="20"/>
          <w:color w:val="auto"/>
        </w:rPr>
      </w:pPr>
      <w:r>
        <w:rPr>
          <w:rFonts w:ascii="Arial" w:cs="Arial" w:eastAsia="Arial" w:hAnsi="Arial"/>
          <w:sz w:val="24"/>
          <w:szCs w:val="24"/>
          <w:color w:val="auto"/>
        </w:rPr>
        <w:t>A série do Spread médio das operações de crédito é calculada a partir da diferença entre a taxa média de juros de novas operações de crédito no SFN e o custo de captação referencial médio de operações de crédito livre, direcionado e não rotativo podendo ser observados por tomador (BACEN, 2016).</w:t>
      </w:r>
    </w:p>
    <w:p>
      <w:pPr>
        <w:spacing w:after="0" w:line="4" w:lineRule="exact"/>
        <w:rPr>
          <w:sz w:val="20"/>
          <w:szCs w:val="20"/>
          <w:color w:val="auto"/>
        </w:rPr>
      </w:pPr>
    </w:p>
    <w:tbl>
      <w:tblPr>
        <w:tblLayout w:type="fixed"/>
        <w:tblInd w:w="1300" w:type="dxa"/>
        <w:tblCellMar>
          <w:top w:w="0" w:type="dxa"/>
          <w:left w:w="0" w:type="dxa"/>
          <w:bottom w:w="0" w:type="dxa"/>
          <w:right w:w="0" w:type="dxa"/>
        </w:tblCellMar>
      </w:tblPr>
      <w:tr>
        <w:trPr>
          <w:trHeight w:val="269"/>
        </w:trPr>
        <w:tc>
          <w:tcPr>
            <w:tcW w:w="200" w:type="dxa"/>
            <w:vAlign w:val="bottom"/>
          </w:tcPr>
          <w:p>
            <w:pPr>
              <w:spacing w:after="0"/>
              <w:rPr>
                <w:sz w:val="23"/>
                <w:szCs w:val="23"/>
                <w:color w:val="auto"/>
              </w:rPr>
            </w:pPr>
          </w:p>
        </w:tc>
        <w:tc>
          <w:tcPr>
            <w:tcW w:w="7100" w:type="dxa"/>
            <w:vAlign w:val="bottom"/>
            <w:gridSpan w:val="5"/>
          </w:tcPr>
          <w:p>
            <w:pPr>
              <w:jc w:val="center"/>
              <w:ind w:right="410"/>
              <w:spacing w:after="0"/>
              <w:rPr>
                <w:sz w:val="20"/>
                <w:szCs w:val="20"/>
                <w:color w:val="auto"/>
              </w:rPr>
            </w:pPr>
            <w:r>
              <w:rPr>
                <w:rFonts w:ascii="Arial" w:cs="Arial" w:eastAsia="Arial" w:hAnsi="Arial"/>
                <w:sz w:val="22"/>
                <w:szCs w:val="22"/>
                <w:color w:val="auto"/>
                <w:w w:val="98"/>
              </w:rPr>
              <w:t>Figura 14 – Evolução do Spread médio das operações de crédito</w:t>
            </w:r>
          </w:p>
        </w:tc>
        <w:tc>
          <w:tcPr>
            <w:tcW w:w="0" w:type="dxa"/>
            <w:vAlign w:val="bottom"/>
          </w:tcPr>
          <w:p>
            <w:pPr>
              <w:spacing w:after="0"/>
              <w:rPr>
                <w:sz w:val="1"/>
                <w:szCs w:val="1"/>
                <w:color w:val="auto"/>
              </w:rPr>
            </w:pPr>
          </w:p>
        </w:tc>
      </w:tr>
      <w:tr>
        <w:trPr>
          <w:trHeight w:val="831"/>
        </w:trPr>
        <w:tc>
          <w:tcPr>
            <w:tcW w:w="200" w:type="dxa"/>
            <w:vAlign w:val="bottom"/>
          </w:tcPr>
          <w:p>
            <w:pPr>
              <w:spacing w:after="0"/>
              <w:rPr>
                <w:sz w:val="24"/>
                <w:szCs w:val="24"/>
                <w:color w:val="auto"/>
              </w:rPr>
            </w:pPr>
          </w:p>
        </w:tc>
        <w:tc>
          <w:tcPr>
            <w:tcW w:w="1820" w:type="dxa"/>
            <w:vAlign w:val="bottom"/>
          </w:tcPr>
          <w:p>
            <w:pPr>
              <w:jc w:val="right"/>
              <w:ind w:right="1467"/>
              <w:spacing w:after="0"/>
              <w:rPr>
                <w:sz w:val="20"/>
                <w:szCs w:val="20"/>
                <w:color w:val="auto"/>
              </w:rPr>
            </w:pPr>
            <w:r>
              <w:rPr>
                <w:rFonts w:ascii="Helvetica" w:cs="Helvetica" w:eastAsia="Helvetica" w:hAnsi="Helvetica"/>
                <w:sz w:val="18"/>
                <w:szCs w:val="18"/>
                <w:color w:val="4D4D4D"/>
              </w:rPr>
              <w:t>40</w:t>
            </w:r>
          </w:p>
        </w:tc>
        <w:tc>
          <w:tcPr>
            <w:tcW w:w="7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07"/>
        </w:trPr>
        <w:tc>
          <w:tcPr>
            <w:tcW w:w="200" w:type="dxa"/>
            <w:vAlign w:val="bottom"/>
            <w:vMerge w:val="restart"/>
            <w:textDirection w:val="btLr"/>
          </w:tcPr>
          <w:p>
            <w:pPr>
              <w:spacing w:after="0"/>
              <w:rPr>
                <w:sz w:val="20"/>
                <w:szCs w:val="20"/>
                <w:color w:val="auto"/>
              </w:rPr>
            </w:pPr>
            <w:r>
              <w:rPr>
                <w:rFonts w:ascii="Helvetica" w:cs="Helvetica" w:eastAsia="Helvetica" w:hAnsi="Helvetica"/>
                <w:sz w:val="22"/>
                <w:szCs w:val="22"/>
                <w:color w:val="auto"/>
              </w:rPr>
              <w:t>%</w:t>
            </w:r>
          </w:p>
        </w:tc>
        <w:tc>
          <w:tcPr>
            <w:tcW w:w="1820" w:type="dxa"/>
            <w:vAlign w:val="bottom"/>
          </w:tcPr>
          <w:p>
            <w:pPr>
              <w:jc w:val="right"/>
              <w:ind w:right="1467"/>
              <w:spacing w:after="0"/>
              <w:rPr>
                <w:sz w:val="20"/>
                <w:szCs w:val="20"/>
                <w:color w:val="auto"/>
              </w:rPr>
            </w:pPr>
            <w:r>
              <w:rPr>
                <w:rFonts w:ascii="Helvetica" w:cs="Helvetica" w:eastAsia="Helvetica" w:hAnsi="Helvetica"/>
                <w:sz w:val="18"/>
                <w:szCs w:val="18"/>
                <w:color w:val="4D4D4D"/>
              </w:rPr>
              <w:t>30</w:t>
            </w:r>
          </w:p>
        </w:tc>
        <w:tc>
          <w:tcPr>
            <w:tcW w:w="7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2"/>
        </w:trPr>
        <w:tc>
          <w:tcPr>
            <w:tcW w:w="200" w:type="dxa"/>
            <w:vAlign w:val="bottom"/>
            <w:vMerge w:val="continue"/>
          </w:tcPr>
          <w:p>
            <w:pPr>
              <w:spacing w:after="0"/>
              <w:rPr>
                <w:sz w:val="10"/>
                <w:szCs w:val="10"/>
                <w:color w:val="auto"/>
              </w:rPr>
            </w:pPr>
          </w:p>
        </w:tc>
        <w:tc>
          <w:tcPr>
            <w:tcW w:w="1820" w:type="dxa"/>
            <w:vAlign w:val="bottom"/>
          </w:tcPr>
          <w:p>
            <w:pPr>
              <w:spacing w:after="0"/>
              <w:rPr>
                <w:sz w:val="10"/>
                <w:szCs w:val="10"/>
                <w:color w:val="auto"/>
              </w:rPr>
            </w:pPr>
          </w:p>
        </w:tc>
        <w:tc>
          <w:tcPr>
            <w:tcW w:w="720" w:type="dxa"/>
            <w:vAlign w:val="bottom"/>
          </w:tcPr>
          <w:p>
            <w:pPr>
              <w:spacing w:after="0"/>
              <w:rPr>
                <w:sz w:val="10"/>
                <w:szCs w:val="10"/>
                <w:color w:val="auto"/>
              </w:rPr>
            </w:pPr>
          </w:p>
        </w:tc>
        <w:tc>
          <w:tcPr>
            <w:tcW w:w="1280" w:type="dxa"/>
            <w:vAlign w:val="bottom"/>
          </w:tcPr>
          <w:p>
            <w:pPr>
              <w:spacing w:after="0"/>
              <w:rPr>
                <w:sz w:val="10"/>
                <w:szCs w:val="10"/>
                <w:color w:val="auto"/>
              </w:rPr>
            </w:pPr>
          </w:p>
        </w:tc>
        <w:tc>
          <w:tcPr>
            <w:tcW w:w="1500" w:type="dxa"/>
            <w:vAlign w:val="bottom"/>
          </w:tcPr>
          <w:p>
            <w:pPr>
              <w:spacing w:after="0"/>
              <w:rPr>
                <w:sz w:val="10"/>
                <w:szCs w:val="10"/>
                <w:color w:val="auto"/>
              </w:rPr>
            </w:pPr>
          </w:p>
        </w:tc>
        <w:tc>
          <w:tcPr>
            <w:tcW w:w="180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85"/>
        </w:trPr>
        <w:tc>
          <w:tcPr>
            <w:tcW w:w="200" w:type="dxa"/>
            <w:vAlign w:val="bottom"/>
            <w:vMerge w:val="restart"/>
            <w:textDirection w:val="btLr"/>
          </w:tcPr>
          <w:p>
            <w:pPr>
              <w:spacing w:after="0"/>
              <w:rPr>
                <w:sz w:val="20"/>
                <w:szCs w:val="20"/>
                <w:color w:val="auto"/>
              </w:rPr>
            </w:pPr>
            <w:r>
              <w:rPr>
                <w:rFonts w:ascii="Helvetica" w:cs="Helvetica" w:eastAsia="Helvetica" w:hAnsi="Helvetica"/>
                <w:sz w:val="22"/>
                <w:szCs w:val="22"/>
                <w:color w:val="auto"/>
              </w:rPr>
              <w:t>Spreads</w:t>
            </w:r>
          </w:p>
        </w:tc>
        <w:tc>
          <w:tcPr>
            <w:tcW w:w="1820" w:type="dxa"/>
            <w:vAlign w:val="bottom"/>
          </w:tcPr>
          <w:p>
            <w:pPr>
              <w:jc w:val="right"/>
              <w:ind w:right="1467"/>
              <w:spacing w:after="0"/>
              <w:rPr>
                <w:sz w:val="20"/>
                <w:szCs w:val="20"/>
                <w:color w:val="auto"/>
              </w:rPr>
            </w:pPr>
            <w:r>
              <w:rPr>
                <w:rFonts w:ascii="Helvetica" w:cs="Helvetica" w:eastAsia="Helvetica" w:hAnsi="Helvetica"/>
                <w:sz w:val="18"/>
                <w:szCs w:val="18"/>
                <w:color w:val="4D4D4D"/>
              </w:rPr>
              <w:t>20</w:t>
            </w:r>
          </w:p>
        </w:tc>
        <w:tc>
          <w:tcPr>
            <w:tcW w:w="7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5"/>
        </w:trPr>
        <w:tc>
          <w:tcPr>
            <w:tcW w:w="200" w:type="dxa"/>
            <w:vAlign w:val="bottom"/>
            <w:vMerge w:val="continue"/>
          </w:tcPr>
          <w:p>
            <w:pPr>
              <w:spacing w:after="0"/>
              <w:rPr>
                <w:sz w:val="24"/>
                <w:szCs w:val="24"/>
                <w:color w:val="auto"/>
              </w:rPr>
            </w:pPr>
          </w:p>
        </w:tc>
        <w:tc>
          <w:tcPr>
            <w:tcW w:w="18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12"/>
        </w:trPr>
        <w:tc>
          <w:tcPr>
            <w:tcW w:w="200" w:type="dxa"/>
            <w:vAlign w:val="bottom"/>
          </w:tcPr>
          <w:p>
            <w:pPr>
              <w:spacing w:after="0"/>
              <w:rPr>
                <w:sz w:val="24"/>
                <w:szCs w:val="24"/>
                <w:color w:val="auto"/>
              </w:rPr>
            </w:pPr>
          </w:p>
        </w:tc>
        <w:tc>
          <w:tcPr>
            <w:tcW w:w="1820" w:type="dxa"/>
            <w:vAlign w:val="bottom"/>
          </w:tcPr>
          <w:p>
            <w:pPr>
              <w:jc w:val="right"/>
              <w:ind w:right="1467"/>
              <w:spacing w:after="0"/>
              <w:rPr>
                <w:sz w:val="20"/>
                <w:szCs w:val="20"/>
                <w:color w:val="auto"/>
              </w:rPr>
            </w:pPr>
            <w:r>
              <w:rPr>
                <w:rFonts w:ascii="Helvetica" w:cs="Helvetica" w:eastAsia="Helvetica" w:hAnsi="Helvetica"/>
                <w:sz w:val="18"/>
                <w:szCs w:val="18"/>
                <w:color w:val="4D4D4D"/>
              </w:rPr>
              <w:t>10</w:t>
            </w:r>
          </w:p>
        </w:tc>
        <w:tc>
          <w:tcPr>
            <w:tcW w:w="72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18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43"/>
        </w:trPr>
        <w:tc>
          <w:tcPr>
            <w:tcW w:w="200" w:type="dxa"/>
            <w:vAlign w:val="bottom"/>
          </w:tcPr>
          <w:p>
            <w:pPr>
              <w:spacing w:after="0"/>
              <w:rPr>
                <w:sz w:val="24"/>
                <w:szCs w:val="24"/>
                <w:color w:val="auto"/>
              </w:rPr>
            </w:pPr>
          </w:p>
        </w:tc>
        <w:tc>
          <w:tcPr>
            <w:tcW w:w="1820" w:type="dxa"/>
            <w:vAlign w:val="bottom"/>
          </w:tcPr>
          <w:p>
            <w:pPr>
              <w:jc w:val="right"/>
              <w:ind w:right="147"/>
              <w:spacing w:after="0"/>
              <w:rPr>
                <w:sz w:val="20"/>
                <w:szCs w:val="20"/>
                <w:color w:val="auto"/>
              </w:rPr>
            </w:pPr>
            <w:r>
              <w:rPr>
                <w:rFonts w:ascii="Helvetica" w:cs="Helvetica" w:eastAsia="Helvetica" w:hAnsi="Helvetica"/>
                <w:sz w:val="18"/>
                <w:szCs w:val="18"/>
                <w:color w:val="4D4D4D"/>
              </w:rPr>
              <w:t>2014</w:t>
            </w:r>
          </w:p>
        </w:tc>
        <w:tc>
          <w:tcPr>
            <w:tcW w:w="720" w:type="dxa"/>
            <w:vAlign w:val="bottom"/>
          </w:tcPr>
          <w:p>
            <w:pPr>
              <w:spacing w:after="0"/>
              <w:rPr>
                <w:sz w:val="24"/>
                <w:szCs w:val="24"/>
                <w:color w:val="auto"/>
              </w:rPr>
            </w:pPr>
          </w:p>
        </w:tc>
        <w:tc>
          <w:tcPr>
            <w:tcW w:w="1280" w:type="dxa"/>
            <w:vAlign w:val="bottom"/>
          </w:tcPr>
          <w:p>
            <w:pPr>
              <w:jc w:val="right"/>
              <w:ind w:right="690"/>
              <w:spacing w:after="0"/>
              <w:rPr>
                <w:sz w:val="20"/>
                <w:szCs w:val="20"/>
                <w:color w:val="auto"/>
              </w:rPr>
            </w:pPr>
            <w:r>
              <w:rPr>
                <w:rFonts w:ascii="Helvetica" w:cs="Helvetica" w:eastAsia="Helvetica" w:hAnsi="Helvetica"/>
                <w:sz w:val="18"/>
                <w:szCs w:val="18"/>
                <w:color w:val="4D4D4D"/>
              </w:rPr>
              <w:t>2016</w:t>
            </w:r>
          </w:p>
        </w:tc>
        <w:tc>
          <w:tcPr>
            <w:tcW w:w="1500" w:type="dxa"/>
            <w:vAlign w:val="bottom"/>
          </w:tcPr>
          <w:p>
            <w:pPr>
              <w:ind w:left="280"/>
              <w:spacing w:after="0"/>
              <w:rPr>
                <w:sz w:val="20"/>
                <w:szCs w:val="20"/>
                <w:color w:val="auto"/>
              </w:rPr>
            </w:pPr>
            <w:r>
              <w:rPr>
                <w:rFonts w:ascii="Helvetica" w:cs="Helvetica" w:eastAsia="Helvetica" w:hAnsi="Helvetica"/>
                <w:sz w:val="18"/>
                <w:szCs w:val="18"/>
                <w:color w:val="4D4D4D"/>
              </w:rPr>
              <w:t>2018</w:t>
            </w:r>
          </w:p>
        </w:tc>
        <w:tc>
          <w:tcPr>
            <w:tcW w:w="1800" w:type="dxa"/>
            <w:vAlign w:val="bottom"/>
          </w:tcPr>
          <w:p>
            <w:pPr>
              <w:jc w:val="right"/>
              <w:ind w:right="1070"/>
              <w:spacing w:after="0"/>
              <w:rPr>
                <w:sz w:val="20"/>
                <w:szCs w:val="20"/>
                <w:color w:val="auto"/>
              </w:rPr>
            </w:pPr>
            <w:r>
              <w:rPr>
                <w:rFonts w:ascii="Helvetica" w:cs="Helvetica" w:eastAsia="Helvetica" w:hAnsi="Helvetica"/>
                <w:sz w:val="18"/>
                <w:szCs w:val="18"/>
                <w:color w:val="4D4D4D"/>
              </w:rPr>
              <w:t>2020</w:t>
            </w:r>
          </w:p>
        </w:tc>
        <w:tc>
          <w:tcPr>
            <w:tcW w:w="0" w:type="dxa"/>
            <w:vAlign w:val="bottom"/>
          </w:tcPr>
          <w:p>
            <w:pPr>
              <w:spacing w:after="0"/>
              <w:rPr>
                <w:sz w:val="1"/>
                <w:szCs w:val="1"/>
                <w:color w:val="auto"/>
              </w:rPr>
            </w:pPr>
          </w:p>
        </w:tc>
      </w:tr>
      <w:tr>
        <w:trPr>
          <w:trHeight w:val="606"/>
        </w:trPr>
        <w:tc>
          <w:tcPr>
            <w:tcW w:w="200" w:type="dxa"/>
            <w:vAlign w:val="bottom"/>
          </w:tcPr>
          <w:p>
            <w:pPr>
              <w:spacing w:after="0"/>
              <w:rPr>
                <w:sz w:val="24"/>
                <w:szCs w:val="24"/>
                <w:color w:val="auto"/>
              </w:rPr>
            </w:pPr>
          </w:p>
        </w:tc>
        <w:tc>
          <w:tcPr>
            <w:tcW w:w="1820" w:type="dxa"/>
            <w:vAlign w:val="bottom"/>
          </w:tcPr>
          <w:p>
            <w:pPr>
              <w:jc w:val="right"/>
              <w:ind w:right="227"/>
              <w:spacing w:after="0"/>
              <w:rPr>
                <w:sz w:val="20"/>
                <w:szCs w:val="20"/>
                <w:color w:val="auto"/>
              </w:rPr>
            </w:pPr>
            <w:r>
              <w:rPr>
                <w:rFonts w:ascii="Helvetica" w:cs="Helvetica" w:eastAsia="Helvetica" w:hAnsi="Helvetica"/>
                <w:sz w:val="18"/>
                <w:szCs w:val="18"/>
                <w:color w:val="auto"/>
              </w:rPr>
              <w:t>Direcionado</w:t>
            </w:r>
          </w:p>
        </w:tc>
        <w:tc>
          <w:tcPr>
            <w:tcW w:w="720" w:type="dxa"/>
            <w:vAlign w:val="bottom"/>
          </w:tcPr>
          <w:p>
            <w:pPr>
              <w:ind w:left="260"/>
              <w:spacing w:after="0"/>
              <w:rPr>
                <w:sz w:val="20"/>
                <w:szCs w:val="20"/>
                <w:color w:val="auto"/>
              </w:rPr>
            </w:pPr>
            <w:r>
              <w:rPr>
                <w:rFonts w:ascii="Helvetica" w:cs="Helvetica" w:eastAsia="Helvetica" w:hAnsi="Helvetica"/>
                <w:sz w:val="18"/>
                <w:szCs w:val="18"/>
                <w:color w:val="auto"/>
              </w:rPr>
              <w:t>Livre</w:t>
            </w:r>
          </w:p>
        </w:tc>
        <w:tc>
          <w:tcPr>
            <w:tcW w:w="1280" w:type="dxa"/>
            <w:vAlign w:val="bottom"/>
          </w:tcPr>
          <w:p>
            <w:pPr>
              <w:jc w:val="center"/>
              <w:ind w:left="110"/>
              <w:spacing w:after="0"/>
              <w:rPr>
                <w:sz w:val="20"/>
                <w:szCs w:val="20"/>
                <w:color w:val="auto"/>
              </w:rPr>
            </w:pPr>
            <w:r>
              <w:rPr>
                <w:rFonts w:ascii="Helvetica" w:cs="Helvetica" w:eastAsia="Helvetica" w:hAnsi="Helvetica"/>
                <w:sz w:val="18"/>
                <w:szCs w:val="18"/>
                <w:color w:val="auto"/>
              </w:rPr>
              <w:t>Médio</w:t>
            </w:r>
          </w:p>
        </w:tc>
        <w:tc>
          <w:tcPr>
            <w:tcW w:w="1500" w:type="dxa"/>
            <w:vAlign w:val="bottom"/>
          </w:tcPr>
          <w:p>
            <w:pPr>
              <w:ind w:left="260"/>
              <w:spacing w:after="0"/>
              <w:rPr>
                <w:sz w:val="20"/>
                <w:szCs w:val="20"/>
                <w:color w:val="auto"/>
              </w:rPr>
            </w:pPr>
            <w:r>
              <w:rPr>
                <w:rFonts w:ascii="Helvetica" w:cs="Helvetica" w:eastAsia="Helvetica" w:hAnsi="Helvetica"/>
                <w:sz w:val="18"/>
                <w:szCs w:val="18"/>
                <w:color w:val="auto"/>
              </w:rPr>
              <w:t>Não.Rotativo</w:t>
            </w:r>
          </w:p>
        </w:tc>
        <w:tc>
          <w:tcPr>
            <w:tcW w:w="1800" w:type="dxa"/>
            <w:vAlign w:val="bottom"/>
          </w:tcPr>
          <w:p>
            <w:pPr>
              <w:jc w:val="right"/>
              <w:spacing w:after="0"/>
              <w:rPr>
                <w:sz w:val="20"/>
                <w:szCs w:val="20"/>
                <w:color w:val="auto"/>
              </w:rPr>
            </w:pPr>
            <w:r>
              <w:rPr>
                <w:rFonts w:ascii="Helvetica" w:cs="Helvetica" w:eastAsia="Helvetica" w:hAnsi="Helvetica"/>
                <w:sz w:val="18"/>
                <w:szCs w:val="18"/>
                <w:color w:val="auto"/>
              </w:rPr>
              <w:t>Não.Rotativo.Livre</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1141095</wp:posOffset>
            </wp:positionH>
            <wp:positionV relativeFrom="paragraph">
              <wp:posOffset>-2490470</wp:posOffset>
            </wp:positionV>
            <wp:extent cx="4112260" cy="197104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extLst>
                        <a:ext uri="{28A0092B-C50C-407E-A947-70E740481C1C}"/>
                      </a:extLst>
                    </a:blip>
                    <a:srcRect/>
                    <a:stretch>
                      <a:fillRect/>
                    </a:stretch>
                  </pic:blipFill>
                  <pic:spPr bwMode="auto">
                    <a:xfrm>
                      <a:off x="0" y="0"/>
                      <a:ext cx="4112260" cy="197104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1012190</wp:posOffset>
                </wp:positionH>
                <wp:positionV relativeFrom="paragraph">
                  <wp:posOffset>-175260</wp:posOffset>
                </wp:positionV>
                <wp:extent cx="219710" cy="21844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9710" cy="218440"/>
                        </a:xfrm>
                        <a:prstGeom prst="rect">
                          <a:avLst/>
                        </a:prstGeom>
                        <a:solidFill>
                          <a:srgbClr val="F2F2F2"/>
                        </a:solidFill>
                      </wps:spPr>
                      <wps:bodyPr/>
                    </wps:wsp>
                  </a:graphicData>
                </a:graphic>
              </wp:anchor>
            </w:drawing>
          </mc:Choice>
          <mc:Fallback>
            <w:pict>
              <v:rect id="Shape 67" o:spid="_x0000_s1092" style="position:absolute;margin-left:79.7pt;margin-top:-13.7999pt;width:17.3pt;height:1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1033780</wp:posOffset>
                </wp:positionH>
                <wp:positionV relativeFrom="paragraph">
                  <wp:posOffset>-66040</wp:posOffset>
                </wp:positionV>
                <wp:extent cx="17589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895" cy="4763"/>
                        </a:xfrm>
                        <a:prstGeom prst="line">
                          <a:avLst/>
                        </a:prstGeom>
                        <a:solidFill>
                          <a:srgbClr val="FFFFFF"/>
                        </a:solidFill>
                        <a:ln w="13589">
                          <a:solidFill>
                            <a:srgbClr val="F8766D"/>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1.4pt,-5.1999pt" to="95.25pt,-5.1999pt" o:allowincell="f" strokecolor="#F8766D" strokeweight="1.07pt"/>
            </w:pict>
          </mc:Fallback>
        </mc:AlternateContent>
        <mc:AlternateContent>
          <mc:Choice Requires="wps">
            <w:drawing>
              <wp:anchor simplePos="0" relativeHeight="251657728" behindDoc="1" locked="0" layoutInCell="0" allowOverlap="1">
                <wp:simplePos x="0" y="0"/>
                <wp:positionH relativeFrom="column">
                  <wp:posOffset>1980565</wp:posOffset>
                </wp:positionH>
                <wp:positionV relativeFrom="paragraph">
                  <wp:posOffset>-175260</wp:posOffset>
                </wp:positionV>
                <wp:extent cx="219710" cy="21844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9710" cy="218440"/>
                        </a:xfrm>
                        <a:prstGeom prst="rect">
                          <a:avLst/>
                        </a:prstGeom>
                        <a:solidFill>
                          <a:srgbClr val="F2F2F2"/>
                        </a:solidFill>
                      </wps:spPr>
                      <wps:bodyPr/>
                    </wps:wsp>
                  </a:graphicData>
                </a:graphic>
              </wp:anchor>
            </w:drawing>
          </mc:Choice>
          <mc:Fallback>
            <w:pict>
              <v:rect id="Shape 69" o:spid="_x0000_s1094" style="position:absolute;margin-left:155.95pt;margin-top:-13.7999pt;width:17.3pt;height:1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2002155</wp:posOffset>
                </wp:positionH>
                <wp:positionV relativeFrom="paragraph">
                  <wp:posOffset>-66040</wp:posOffset>
                </wp:positionV>
                <wp:extent cx="175895"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895" cy="4763"/>
                        </a:xfrm>
                        <a:prstGeom prst="line">
                          <a:avLst/>
                        </a:prstGeom>
                        <a:solidFill>
                          <a:srgbClr val="FFFFFF"/>
                        </a:solidFill>
                        <a:ln w="13589">
                          <a:solidFill>
                            <a:srgbClr val="A3A5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7.65pt,-5.1999pt" to="171.5pt,-5.1999pt" o:allowincell="f" strokecolor="#A3A500" strokeweight="1.07pt"/>
            </w:pict>
          </mc:Fallback>
        </mc:AlternateContent>
        <mc:AlternateContent>
          <mc:Choice Requires="wps">
            <w:drawing>
              <wp:anchor simplePos="0" relativeHeight="251657728" behindDoc="1" locked="0" layoutInCell="0" allowOverlap="1">
                <wp:simplePos x="0" y="0"/>
                <wp:positionH relativeFrom="column">
                  <wp:posOffset>2586990</wp:posOffset>
                </wp:positionH>
                <wp:positionV relativeFrom="paragraph">
                  <wp:posOffset>-175260</wp:posOffset>
                </wp:positionV>
                <wp:extent cx="219710" cy="21844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9710" cy="218440"/>
                        </a:xfrm>
                        <a:prstGeom prst="rect">
                          <a:avLst/>
                        </a:prstGeom>
                        <a:solidFill>
                          <a:srgbClr val="F2F2F2"/>
                        </a:solidFill>
                      </wps:spPr>
                      <wps:bodyPr/>
                    </wps:wsp>
                  </a:graphicData>
                </a:graphic>
              </wp:anchor>
            </w:drawing>
          </mc:Choice>
          <mc:Fallback>
            <w:pict>
              <v:rect id="Shape 71" o:spid="_x0000_s1096" style="position:absolute;margin-left:203.7pt;margin-top:-13.7999pt;width:17.3pt;height:1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2608580</wp:posOffset>
                </wp:positionH>
                <wp:positionV relativeFrom="paragraph">
                  <wp:posOffset>-66040</wp:posOffset>
                </wp:positionV>
                <wp:extent cx="175895"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895" cy="4763"/>
                        </a:xfrm>
                        <a:prstGeom prst="line">
                          <a:avLst/>
                        </a:prstGeom>
                        <a:solidFill>
                          <a:srgbClr val="FFFFFF"/>
                        </a:solidFill>
                        <a:ln w="13589">
                          <a:solidFill>
                            <a:srgbClr val="00BF7D"/>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4pt,-5.1999pt" to="219.25pt,-5.1999pt" o:allowincell="f" strokecolor="#00BF7D" strokeweight="1.07pt"/>
            </w:pict>
          </mc:Fallback>
        </mc:AlternateContent>
        <mc:AlternateContent>
          <mc:Choice Requires="wps">
            <w:drawing>
              <wp:anchor simplePos="0" relativeHeight="251657728" behindDoc="1" locked="0" layoutInCell="0" allowOverlap="1">
                <wp:simplePos x="0" y="0"/>
                <wp:positionH relativeFrom="column">
                  <wp:posOffset>3256915</wp:posOffset>
                </wp:positionH>
                <wp:positionV relativeFrom="paragraph">
                  <wp:posOffset>-175260</wp:posOffset>
                </wp:positionV>
                <wp:extent cx="219710" cy="21844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9710" cy="218440"/>
                        </a:xfrm>
                        <a:prstGeom prst="rect">
                          <a:avLst/>
                        </a:prstGeom>
                        <a:solidFill>
                          <a:srgbClr val="F2F2F2"/>
                        </a:solidFill>
                      </wps:spPr>
                      <wps:bodyPr/>
                    </wps:wsp>
                  </a:graphicData>
                </a:graphic>
              </wp:anchor>
            </w:drawing>
          </mc:Choice>
          <mc:Fallback>
            <w:pict>
              <v:rect id="Shape 73" o:spid="_x0000_s1098" style="position:absolute;margin-left:256.45pt;margin-top:-13.7999pt;width:17.3pt;height:1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3278505</wp:posOffset>
                </wp:positionH>
                <wp:positionV relativeFrom="paragraph">
                  <wp:posOffset>-66040</wp:posOffset>
                </wp:positionV>
                <wp:extent cx="175895"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895" cy="4763"/>
                        </a:xfrm>
                        <a:prstGeom prst="line">
                          <a:avLst/>
                        </a:prstGeom>
                        <a:solidFill>
                          <a:srgbClr val="FFFFFF"/>
                        </a:solidFill>
                        <a:ln w="13589">
                          <a:solidFill>
                            <a:srgbClr val="00B0F6"/>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8.15pt,-5.1999pt" to="272pt,-5.1999pt" o:allowincell="f" strokecolor="#00B0F6" strokeweight="1.07pt"/>
            </w:pict>
          </mc:Fallback>
        </mc:AlternateContent>
        <mc:AlternateContent>
          <mc:Choice Requires="wps">
            <w:drawing>
              <wp:anchor simplePos="0" relativeHeight="251657728" behindDoc="1" locked="0" layoutInCell="0" allowOverlap="1">
                <wp:simplePos x="0" y="0"/>
                <wp:positionH relativeFrom="column">
                  <wp:posOffset>4269105</wp:posOffset>
                </wp:positionH>
                <wp:positionV relativeFrom="paragraph">
                  <wp:posOffset>-175260</wp:posOffset>
                </wp:positionV>
                <wp:extent cx="219075" cy="21844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9075" cy="218440"/>
                        </a:xfrm>
                        <a:prstGeom prst="rect">
                          <a:avLst/>
                        </a:prstGeom>
                        <a:solidFill>
                          <a:srgbClr val="F2F2F2"/>
                        </a:solidFill>
                      </wps:spPr>
                      <wps:bodyPr/>
                    </wps:wsp>
                  </a:graphicData>
                </a:graphic>
              </wp:anchor>
            </w:drawing>
          </mc:Choice>
          <mc:Fallback>
            <w:pict>
              <v:rect id="Shape 75" o:spid="_x0000_s1100" style="position:absolute;margin-left:336.15pt;margin-top:-13.7999pt;width:17.25pt;height:1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4290695</wp:posOffset>
                </wp:positionH>
                <wp:positionV relativeFrom="paragraph">
                  <wp:posOffset>-66040</wp:posOffset>
                </wp:positionV>
                <wp:extent cx="17526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260" cy="4763"/>
                        </a:xfrm>
                        <a:prstGeom prst="line">
                          <a:avLst/>
                        </a:prstGeom>
                        <a:solidFill>
                          <a:srgbClr val="FFFFFF"/>
                        </a:solidFill>
                        <a:ln w="13589">
                          <a:solidFill>
                            <a:srgbClr val="E76BF3"/>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7.85pt,-5.1999pt" to="351.65pt,-5.1999pt" o:allowincell="f" strokecolor="#E76BF3" strokeweight="1.07pt"/>
            </w:pict>
          </mc:Fallback>
        </mc:AlternateContent>
      </w:r>
    </w:p>
    <w:p>
      <w:pPr>
        <w:spacing w:after="0" w:line="350" w:lineRule="exact"/>
        <w:rPr>
          <w:sz w:val="20"/>
          <w:szCs w:val="20"/>
          <w:color w:val="auto"/>
        </w:rPr>
      </w:pPr>
    </w:p>
    <w:p>
      <w:pPr>
        <w:ind w:left="38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de dados do Banco Central do Brasil — Departamento de Estatísticas</w:t>
      </w: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A Figura 14 mostra a visualização da evolução mensal do spread médio das novas operações de crédito contratadas entre janeiro de 2013 e julho de 2020. No período entre 2014 e 2017 se verifica uma elevação de 10 p.p no spread total, recuando 8 p.p a patamar próximo ao início do período. É possível notar a grande disparidade entre os spread de recursos livres e direcionados.</w:t>
      </w:r>
    </w:p>
    <w:p>
      <w:pPr>
        <w:spacing w:after="0" w:line="93" w:lineRule="exact"/>
        <w:rPr>
          <w:sz w:val="20"/>
          <w:szCs w:val="20"/>
          <w:color w:val="auto"/>
        </w:rPr>
      </w:pPr>
    </w:p>
    <w:p>
      <w:pPr>
        <w:jc w:val="both"/>
        <w:ind w:left="260" w:firstLine="850"/>
        <w:spacing w:after="0" w:line="442" w:lineRule="auto"/>
        <w:rPr>
          <w:sz w:val="20"/>
          <w:szCs w:val="20"/>
          <w:color w:val="auto"/>
        </w:rPr>
      </w:pPr>
      <w:r>
        <w:rPr>
          <w:rFonts w:ascii="Arial" w:cs="Arial" w:eastAsia="Arial" w:hAnsi="Arial"/>
          <w:sz w:val="23"/>
          <w:szCs w:val="23"/>
          <w:color w:val="auto"/>
        </w:rPr>
        <w:t>O Spread do ICC, considera a diferença entre o Índice de Custo de Crédito — equivalente ao custo médio de juros das operações ativas da carteira do SFN — e o custo de captação médio ponderado, levando em consideração operações de crédito livre, direcionado e não rotativo, subdividido por pessoa física e jurídica (BACEN, 2016).</w:t>
      </w:r>
    </w:p>
    <w:p>
      <w:pPr>
        <w:sectPr>
          <w:pgSz w:w="11900" w:h="16838" w:orient="portrait"/>
          <w:cols w:equalWidth="0" w:num="1">
            <w:col w:w="9380"/>
          </w:cols>
          <w:pgMar w:left="1440" w:top="991" w:right="1086" w:bottom="178" w:gutter="0" w:footer="0" w:header="0"/>
        </w:sectPr>
      </w:pPr>
    </w:p>
    <w:p>
      <w:pPr>
        <w:ind w:left="9060"/>
        <w:spacing w:after="0"/>
        <w:rPr>
          <w:sz w:val="20"/>
          <w:szCs w:val="20"/>
          <w:color w:val="auto"/>
        </w:rPr>
      </w:pPr>
      <w:r>
        <w:rPr>
          <w:rFonts w:ascii="Arial" w:cs="Arial" w:eastAsia="Arial" w:hAnsi="Arial"/>
          <w:sz w:val="23"/>
          <w:szCs w:val="23"/>
          <w:color w:val="auto"/>
        </w:rPr>
        <w:t>39</w:t>
      </w:r>
    </w:p>
    <w:p>
      <w:pPr>
        <w:spacing w:after="0" w:line="200" w:lineRule="exact"/>
        <w:rPr>
          <w:sz w:val="20"/>
          <w:szCs w:val="20"/>
          <w:color w:val="auto"/>
        </w:rPr>
      </w:pPr>
    </w:p>
    <w:p>
      <w:pPr>
        <w:spacing w:after="0" w:line="241" w:lineRule="exact"/>
        <w:rPr>
          <w:sz w:val="20"/>
          <w:szCs w:val="20"/>
          <w:color w:val="auto"/>
        </w:rPr>
      </w:pPr>
    </w:p>
    <w:p>
      <w:pPr>
        <w:ind w:left="1740"/>
        <w:spacing w:after="0"/>
        <w:rPr>
          <w:sz w:val="20"/>
          <w:szCs w:val="20"/>
          <w:color w:val="auto"/>
        </w:rPr>
      </w:pPr>
      <w:r>
        <w:rPr>
          <w:rFonts w:ascii="Arial" w:cs="Arial" w:eastAsia="Arial" w:hAnsi="Arial"/>
          <w:sz w:val="22"/>
          <w:szCs w:val="22"/>
          <w:color w:val="auto"/>
        </w:rPr>
        <w:t>Figura 15 – Evolução do Spread do Índice do Custo de Crédito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1176020</wp:posOffset>
            </wp:positionH>
            <wp:positionV relativeFrom="paragraph">
              <wp:posOffset>314325</wp:posOffset>
            </wp:positionV>
            <wp:extent cx="4077335" cy="193611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1">
                      <a:extLst>
                        <a:ext uri="{28A0092B-C50C-407E-A947-70E740481C1C}"/>
                      </a:extLst>
                    </a:blip>
                    <a:srcRect/>
                    <a:stretch>
                      <a:fillRect/>
                    </a:stretch>
                  </pic:blipFill>
                  <pic:spPr bwMode="auto">
                    <a:xfrm>
                      <a:off x="0" y="0"/>
                      <a:ext cx="4077335" cy="19361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tbl>
      <w:tblPr>
        <w:tblLayout w:type="fixed"/>
        <w:tblInd w:w="1300" w:type="dxa"/>
        <w:tblCellMar>
          <w:top w:w="0" w:type="dxa"/>
          <w:left w:w="0" w:type="dxa"/>
          <w:bottom w:w="0" w:type="dxa"/>
          <w:right w:w="0" w:type="dxa"/>
        </w:tblCellMar>
      </w:tblPr>
      <w:tr>
        <w:trPr>
          <w:trHeight w:val="196"/>
        </w:trPr>
        <w:tc>
          <w:tcPr>
            <w:tcW w:w="200" w:type="dxa"/>
            <w:vAlign w:val="bottom"/>
            <w:textDirection w:val="btLr"/>
          </w:tcPr>
          <w:p>
            <w:pPr>
              <w:spacing w:after="0"/>
              <w:rPr>
                <w:sz w:val="20"/>
                <w:szCs w:val="20"/>
                <w:color w:val="auto"/>
              </w:rPr>
            </w:pPr>
            <w:r>
              <w:rPr>
                <w:rFonts w:ascii="Helvetica" w:cs="Helvetica" w:eastAsia="Helvetica" w:hAnsi="Helvetica"/>
                <w:sz w:val="22"/>
                <w:szCs w:val="22"/>
                <w:color w:val="auto"/>
                <w:w w:val="91"/>
              </w:rPr>
              <w:t>%</w:t>
            </w:r>
          </w:p>
        </w:tc>
        <w:tc>
          <w:tcPr>
            <w:tcW w:w="1700" w:type="dxa"/>
            <w:vAlign w:val="bottom"/>
            <w:vMerge w:val="restart"/>
          </w:tcPr>
          <w:p>
            <w:pPr>
              <w:jc w:val="right"/>
              <w:ind w:right="1350"/>
              <w:spacing w:after="0"/>
              <w:rPr>
                <w:sz w:val="20"/>
                <w:szCs w:val="20"/>
                <w:color w:val="auto"/>
              </w:rPr>
            </w:pPr>
            <w:r>
              <w:rPr>
                <w:rFonts w:ascii="Helvetica" w:cs="Helvetica" w:eastAsia="Helvetica" w:hAnsi="Helvetica"/>
                <w:sz w:val="18"/>
                <w:szCs w:val="18"/>
                <w:color w:val="4D4D4D"/>
              </w:rPr>
              <w:t>20</w:t>
            </w:r>
          </w:p>
        </w:tc>
        <w:tc>
          <w:tcPr>
            <w:tcW w:w="148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1480" w:type="dxa"/>
            <w:vAlign w:val="bottom"/>
          </w:tcPr>
          <w:p>
            <w:pPr>
              <w:spacing w:after="0"/>
              <w:rPr>
                <w:sz w:val="17"/>
                <w:szCs w:val="17"/>
                <w:color w:val="auto"/>
              </w:rPr>
            </w:pPr>
          </w:p>
        </w:tc>
        <w:tc>
          <w:tcPr>
            <w:tcW w:w="19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45"/>
        </w:trPr>
        <w:tc>
          <w:tcPr>
            <w:tcW w:w="200" w:type="dxa"/>
            <w:vAlign w:val="bottom"/>
            <w:vMerge w:val="restart"/>
            <w:textDirection w:val="btLr"/>
          </w:tcPr>
          <w:p>
            <w:pPr>
              <w:spacing w:after="0"/>
              <w:rPr>
                <w:sz w:val="20"/>
                <w:szCs w:val="20"/>
                <w:color w:val="auto"/>
              </w:rPr>
            </w:pPr>
            <w:r>
              <w:rPr>
                <w:rFonts w:ascii="Helvetica" w:cs="Helvetica" w:eastAsia="Helvetica" w:hAnsi="Helvetica"/>
                <w:sz w:val="22"/>
                <w:szCs w:val="22"/>
                <w:color w:val="auto"/>
                <w:w w:val="94"/>
              </w:rPr>
              <w:t>ICC</w:t>
            </w:r>
          </w:p>
        </w:tc>
        <w:tc>
          <w:tcPr>
            <w:tcW w:w="1700" w:type="dxa"/>
            <w:vAlign w:val="bottom"/>
            <w:vMerge w:val="continue"/>
          </w:tcPr>
          <w:p>
            <w:pPr>
              <w:spacing w:after="0"/>
              <w:rPr>
                <w:sz w:val="12"/>
                <w:szCs w:val="12"/>
                <w:color w:val="auto"/>
              </w:rPr>
            </w:pPr>
          </w:p>
        </w:tc>
        <w:tc>
          <w:tcPr>
            <w:tcW w:w="1480" w:type="dxa"/>
            <w:vAlign w:val="bottom"/>
          </w:tcPr>
          <w:p>
            <w:pPr>
              <w:spacing w:after="0"/>
              <w:rPr>
                <w:sz w:val="12"/>
                <w:szCs w:val="12"/>
                <w:color w:val="auto"/>
              </w:rPr>
            </w:pPr>
          </w:p>
        </w:tc>
        <w:tc>
          <w:tcPr>
            <w:tcW w:w="800" w:type="dxa"/>
            <w:vAlign w:val="bottom"/>
          </w:tcPr>
          <w:p>
            <w:pPr>
              <w:spacing w:after="0"/>
              <w:rPr>
                <w:sz w:val="12"/>
                <w:szCs w:val="12"/>
                <w:color w:val="auto"/>
              </w:rPr>
            </w:pPr>
          </w:p>
        </w:tc>
        <w:tc>
          <w:tcPr>
            <w:tcW w:w="1480" w:type="dxa"/>
            <w:vAlign w:val="bottom"/>
          </w:tcPr>
          <w:p>
            <w:pPr>
              <w:spacing w:after="0"/>
              <w:rPr>
                <w:sz w:val="12"/>
                <w:szCs w:val="12"/>
                <w:color w:val="auto"/>
              </w:rPr>
            </w:pPr>
          </w:p>
        </w:tc>
        <w:tc>
          <w:tcPr>
            <w:tcW w:w="19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95"/>
        </w:trPr>
        <w:tc>
          <w:tcPr>
            <w:tcW w:w="200" w:type="dxa"/>
            <w:vAlign w:val="bottom"/>
            <w:vMerge w:val="continue"/>
          </w:tcPr>
          <w:p>
            <w:pPr>
              <w:spacing w:after="0"/>
              <w:rPr>
                <w:sz w:val="24"/>
                <w:szCs w:val="24"/>
                <w:color w:val="auto"/>
              </w:rPr>
            </w:pPr>
          </w:p>
        </w:tc>
        <w:tc>
          <w:tcPr>
            <w:tcW w:w="170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16"/>
        </w:trPr>
        <w:tc>
          <w:tcPr>
            <w:tcW w:w="200" w:type="dxa"/>
            <w:vAlign w:val="bottom"/>
            <w:vMerge w:val="restart"/>
            <w:textDirection w:val="btLr"/>
          </w:tcPr>
          <w:p>
            <w:pPr>
              <w:spacing w:after="0"/>
              <w:rPr>
                <w:sz w:val="20"/>
                <w:szCs w:val="20"/>
                <w:color w:val="auto"/>
              </w:rPr>
            </w:pPr>
            <w:r>
              <w:rPr>
                <w:rFonts w:ascii="Helvetica" w:cs="Helvetica" w:eastAsia="Helvetica" w:hAnsi="Helvetica"/>
                <w:sz w:val="22"/>
                <w:szCs w:val="22"/>
                <w:color w:val="auto"/>
              </w:rPr>
              <w:t>Spreads</w:t>
            </w:r>
          </w:p>
        </w:tc>
        <w:tc>
          <w:tcPr>
            <w:tcW w:w="1700" w:type="dxa"/>
            <w:vAlign w:val="bottom"/>
          </w:tcPr>
          <w:p>
            <w:pPr>
              <w:jc w:val="right"/>
              <w:ind w:right="1350"/>
              <w:spacing w:after="0"/>
              <w:rPr>
                <w:sz w:val="20"/>
                <w:szCs w:val="20"/>
                <w:color w:val="auto"/>
              </w:rPr>
            </w:pPr>
            <w:r>
              <w:rPr>
                <w:rFonts w:ascii="Helvetica" w:cs="Helvetica" w:eastAsia="Helvetica" w:hAnsi="Helvetica"/>
                <w:sz w:val="18"/>
                <w:szCs w:val="18"/>
                <w:color w:val="4D4D4D"/>
              </w:rPr>
              <w:t>10</w:t>
            </w:r>
          </w:p>
        </w:tc>
        <w:tc>
          <w:tcPr>
            <w:tcW w:w="148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5"/>
        </w:trPr>
        <w:tc>
          <w:tcPr>
            <w:tcW w:w="200" w:type="dxa"/>
            <w:vAlign w:val="bottom"/>
            <w:vMerge w:val="continue"/>
          </w:tcPr>
          <w:p>
            <w:pPr>
              <w:spacing w:after="0"/>
              <w:rPr>
                <w:sz w:val="5"/>
                <w:szCs w:val="5"/>
                <w:color w:val="auto"/>
              </w:rPr>
            </w:pPr>
          </w:p>
        </w:tc>
        <w:tc>
          <w:tcPr>
            <w:tcW w:w="1700" w:type="dxa"/>
            <w:vAlign w:val="bottom"/>
          </w:tcPr>
          <w:p>
            <w:pPr>
              <w:spacing w:after="0"/>
              <w:rPr>
                <w:sz w:val="5"/>
                <w:szCs w:val="5"/>
                <w:color w:val="auto"/>
              </w:rPr>
            </w:pPr>
          </w:p>
        </w:tc>
        <w:tc>
          <w:tcPr>
            <w:tcW w:w="1480" w:type="dxa"/>
            <w:vAlign w:val="bottom"/>
          </w:tcPr>
          <w:p>
            <w:pPr>
              <w:spacing w:after="0"/>
              <w:rPr>
                <w:sz w:val="5"/>
                <w:szCs w:val="5"/>
                <w:color w:val="auto"/>
              </w:rPr>
            </w:pPr>
          </w:p>
        </w:tc>
        <w:tc>
          <w:tcPr>
            <w:tcW w:w="800" w:type="dxa"/>
            <w:vAlign w:val="bottom"/>
          </w:tcPr>
          <w:p>
            <w:pPr>
              <w:spacing w:after="0"/>
              <w:rPr>
                <w:sz w:val="5"/>
                <w:szCs w:val="5"/>
                <w:color w:val="auto"/>
              </w:rPr>
            </w:pPr>
          </w:p>
        </w:tc>
        <w:tc>
          <w:tcPr>
            <w:tcW w:w="1480" w:type="dxa"/>
            <w:vAlign w:val="bottom"/>
          </w:tcPr>
          <w:p>
            <w:pPr>
              <w:spacing w:after="0"/>
              <w:rPr>
                <w:sz w:val="5"/>
                <w:szCs w:val="5"/>
                <w:color w:val="auto"/>
              </w:rPr>
            </w:pPr>
          </w:p>
        </w:tc>
        <w:tc>
          <w:tcPr>
            <w:tcW w:w="19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35"/>
        </w:trPr>
        <w:tc>
          <w:tcPr>
            <w:tcW w:w="200" w:type="dxa"/>
            <w:vAlign w:val="bottom"/>
          </w:tcPr>
          <w:p>
            <w:pPr>
              <w:spacing w:after="0"/>
              <w:rPr>
                <w:sz w:val="24"/>
                <w:szCs w:val="24"/>
                <w:color w:val="auto"/>
              </w:rPr>
            </w:pPr>
          </w:p>
        </w:tc>
        <w:tc>
          <w:tcPr>
            <w:tcW w:w="1700" w:type="dxa"/>
            <w:vAlign w:val="bottom"/>
          </w:tcPr>
          <w:p>
            <w:pPr>
              <w:jc w:val="right"/>
              <w:ind w:right="30"/>
              <w:spacing w:after="0"/>
              <w:rPr>
                <w:sz w:val="20"/>
                <w:szCs w:val="20"/>
                <w:color w:val="auto"/>
              </w:rPr>
            </w:pPr>
            <w:r>
              <w:rPr>
                <w:rFonts w:ascii="Helvetica" w:cs="Helvetica" w:eastAsia="Helvetica" w:hAnsi="Helvetica"/>
                <w:sz w:val="18"/>
                <w:szCs w:val="18"/>
                <w:color w:val="4D4D4D"/>
              </w:rPr>
              <w:t>2014</w:t>
            </w:r>
          </w:p>
        </w:tc>
        <w:tc>
          <w:tcPr>
            <w:tcW w:w="1480" w:type="dxa"/>
            <w:vAlign w:val="bottom"/>
          </w:tcPr>
          <w:p>
            <w:pPr>
              <w:jc w:val="right"/>
              <w:ind w:right="50"/>
              <w:spacing w:after="0"/>
              <w:rPr>
                <w:sz w:val="20"/>
                <w:szCs w:val="20"/>
                <w:color w:val="auto"/>
              </w:rPr>
            </w:pPr>
            <w:r>
              <w:rPr>
                <w:rFonts w:ascii="Helvetica" w:cs="Helvetica" w:eastAsia="Helvetica" w:hAnsi="Helvetica"/>
                <w:sz w:val="18"/>
                <w:szCs w:val="18"/>
                <w:color w:val="4D4D4D"/>
              </w:rPr>
              <w:t>2016</w:t>
            </w:r>
          </w:p>
        </w:tc>
        <w:tc>
          <w:tcPr>
            <w:tcW w:w="800" w:type="dxa"/>
            <w:vAlign w:val="bottom"/>
          </w:tcPr>
          <w:p>
            <w:pPr>
              <w:spacing w:after="0"/>
              <w:rPr>
                <w:sz w:val="24"/>
                <w:szCs w:val="24"/>
                <w:color w:val="auto"/>
              </w:rPr>
            </w:pPr>
          </w:p>
        </w:tc>
        <w:tc>
          <w:tcPr>
            <w:tcW w:w="1480" w:type="dxa"/>
            <w:vAlign w:val="bottom"/>
          </w:tcPr>
          <w:p>
            <w:pPr>
              <w:jc w:val="right"/>
              <w:ind w:right="870"/>
              <w:spacing w:after="0"/>
              <w:rPr>
                <w:sz w:val="20"/>
                <w:szCs w:val="20"/>
                <w:color w:val="auto"/>
              </w:rPr>
            </w:pPr>
            <w:r>
              <w:rPr>
                <w:rFonts w:ascii="Helvetica" w:cs="Helvetica" w:eastAsia="Helvetica" w:hAnsi="Helvetica"/>
                <w:sz w:val="18"/>
                <w:szCs w:val="18"/>
                <w:color w:val="4D4D4D"/>
              </w:rPr>
              <w:t>2018</w:t>
            </w:r>
          </w:p>
        </w:tc>
        <w:tc>
          <w:tcPr>
            <w:tcW w:w="1980" w:type="dxa"/>
            <w:vAlign w:val="bottom"/>
          </w:tcPr>
          <w:p>
            <w:pPr>
              <w:jc w:val="right"/>
              <w:ind w:right="1390"/>
              <w:spacing w:after="0"/>
              <w:rPr>
                <w:sz w:val="20"/>
                <w:szCs w:val="20"/>
                <w:color w:val="auto"/>
              </w:rPr>
            </w:pPr>
            <w:r>
              <w:rPr>
                <w:rFonts w:ascii="Helvetica" w:cs="Helvetica" w:eastAsia="Helvetica" w:hAnsi="Helvetica"/>
                <w:sz w:val="18"/>
                <w:szCs w:val="18"/>
                <w:color w:val="4D4D4D"/>
              </w:rPr>
              <w:t>2020</w:t>
            </w:r>
          </w:p>
        </w:tc>
        <w:tc>
          <w:tcPr>
            <w:tcW w:w="0" w:type="dxa"/>
            <w:vAlign w:val="bottom"/>
          </w:tcPr>
          <w:p>
            <w:pPr>
              <w:spacing w:after="0"/>
              <w:rPr>
                <w:sz w:val="1"/>
                <w:szCs w:val="1"/>
                <w:color w:val="auto"/>
              </w:rPr>
            </w:pPr>
          </w:p>
        </w:tc>
      </w:tr>
      <w:tr>
        <w:trPr>
          <w:trHeight w:val="606"/>
        </w:trPr>
        <w:tc>
          <w:tcPr>
            <w:tcW w:w="200" w:type="dxa"/>
            <w:vAlign w:val="bottom"/>
          </w:tcPr>
          <w:p>
            <w:pPr>
              <w:spacing w:after="0"/>
              <w:rPr>
                <w:sz w:val="24"/>
                <w:szCs w:val="24"/>
                <w:color w:val="auto"/>
              </w:rPr>
            </w:pPr>
          </w:p>
        </w:tc>
        <w:tc>
          <w:tcPr>
            <w:tcW w:w="1700" w:type="dxa"/>
            <w:vAlign w:val="bottom"/>
          </w:tcPr>
          <w:p>
            <w:pPr>
              <w:jc w:val="right"/>
              <w:ind w:right="330"/>
              <w:spacing w:after="0"/>
              <w:rPr>
                <w:sz w:val="20"/>
                <w:szCs w:val="20"/>
                <w:color w:val="auto"/>
              </w:rPr>
            </w:pPr>
            <w:r>
              <w:rPr>
                <w:rFonts w:ascii="Helvetica" w:cs="Helvetica" w:eastAsia="Helvetica" w:hAnsi="Helvetica"/>
                <w:sz w:val="18"/>
                <w:szCs w:val="18"/>
                <w:color w:val="auto"/>
              </w:rPr>
              <w:t>Crédito.Livre</w:t>
            </w:r>
          </w:p>
        </w:tc>
        <w:tc>
          <w:tcPr>
            <w:tcW w:w="1480" w:type="dxa"/>
            <w:vAlign w:val="bottom"/>
          </w:tcPr>
          <w:p>
            <w:pPr>
              <w:jc w:val="right"/>
              <w:ind w:right="310"/>
              <w:spacing w:after="0"/>
              <w:rPr>
                <w:sz w:val="20"/>
                <w:szCs w:val="20"/>
                <w:color w:val="auto"/>
              </w:rPr>
            </w:pPr>
            <w:r>
              <w:rPr>
                <w:rFonts w:ascii="Helvetica" w:cs="Helvetica" w:eastAsia="Helvetica" w:hAnsi="Helvetica"/>
                <w:sz w:val="18"/>
                <w:szCs w:val="18"/>
                <w:color w:val="auto"/>
              </w:rPr>
              <w:t>Direcionado</w:t>
            </w:r>
          </w:p>
        </w:tc>
        <w:tc>
          <w:tcPr>
            <w:tcW w:w="800" w:type="dxa"/>
            <w:vAlign w:val="bottom"/>
          </w:tcPr>
          <w:p>
            <w:pPr>
              <w:ind w:left="160"/>
              <w:spacing w:after="0"/>
              <w:rPr>
                <w:sz w:val="20"/>
                <w:szCs w:val="20"/>
                <w:color w:val="auto"/>
              </w:rPr>
            </w:pPr>
            <w:r>
              <w:rPr>
                <w:rFonts w:ascii="Helvetica" w:cs="Helvetica" w:eastAsia="Helvetica" w:hAnsi="Helvetica"/>
                <w:sz w:val="18"/>
                <w:szCs w:val="18"/>
                <w:color w:val="auto"/>
              </w:rPr>
              <w:t>Médio</w:t>
            </w:r>
          </w:p>
        </w:tc>
        <w:tc>
          <w:tcPr>
            <w:tcW w:w="1480" w:type="dxa"/>
            <w:vAlign w:val="bottom"/>
          </w:tcPr>
          <w:p>
            <w:pPr>
              <w:jc w:val="right"/>
              <w:spacing w:after="0"/>
              <w:rPr>
                <w:sz w:val="20"/>
                <w:szCs w:val="20"/>
                <w:color w:val="auto"/>
              </w:rPr>
            </w:pPr>
            <w:r>
              <w:rPr>
                <w:rFonts w:ascii="Helvetica" w:cs="Helvetica" w:eastAsia="Helvetica" w:hAnsi="Helvetica"/>
                <w:sz w:val="18"/>
                <w:szCs w:val="18"/>
                <w:color w:val="auto"/>
              </w:rPr>
              <w:t>Não.Rotativo</w:t>
            </w:r>
          </w:p>
        </w:tc>
        <w:tc>
          <w:tcPr>
            <w:tcW w:w="1980" w:type="dxa"/>
            <w:vAlign w:val="bottom"/>
          </w:tcPr>
          <w:p>
            <w:pPr>
              <w:jc w:val="right"/>
              <w:spacing w:after="0"/>
              <w:rPr>
                <w:sz w:val="20"/>
                <w:szCs w:val="20"/>
                <w:color w:val="auto"/>
              </w:rPr>
            </w:pPr>
            <w:r>
              <w:rPr>
                <w:rFonts w:ascii="Helvetica" w:cs="Helvetica" w:eastAsia="Helvetica" w:hAnsi="Helvetica"/>
                <w:sz w:val="18"/>
                <w:szCs w:val="18"/>
                <w:color w:val="auto"/>
              </w:rPr>
              <w:t>Não.Rotativo.Livre</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1140460</wp:posOffset>
                </wp:positionH>
                <wp:positionV relativeFrom="paragraph">
                  <wp:posOffset>-1148715</wp:posOffset>
                </wp:positionV>
                <wp:extent cx="34925"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4763"/>
                        </a:xfrm>
                        <a:prstGeom prst="line">
                          <a:avLst/>
                        </a:prstGeom>
                        <a:solidFill>
                          <a:srgbClr val="FFFFFF"/>
                        </a:solidFill>
                        <a:ln w="13589">
                          <a:solidFill>
                            <a:srgbClr val="333333"/>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8pt,-90.4499pt" to="92.55pt,-90.4499pt" o:allowincell="f" strokecolor="#333333" strokeweight="1.07pt"/>
            </w:pict>
          </mc:Fallback>
        </mc:AlternateContent>
        <mc:AlternateContent>
          <mc:Choice Requires="wps">
            <w:drawing>
              <wp:anchor simplePos="0" relativeHeight="251657728" behindDoc="1" locked="0" layoutInCell="0" allowOverlap="1">
                <wp:simplePos x="0" y="0"/>
                <wp:positionH relativeFrom="column">
                  <wp:posOffset>1140460</wp:posOffset>
                </wp:positionH>
                <wp:positionV relativeFrom="paragraph">
                  <wp:posOffset>-1854200</wp:posOffset>
                </wp:positionV>
                <wp:extent cx="34925"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4763"/>
                        </a:xfrm>
                        <a:prstGeom prst="line">
                          <a:avLst/>
                        </a:prstGeom>
                        <a:solidFill>
                          <a:srgbClr val="FFFFFF"/>
                        </a:solidFill>
                        <a:ln w="13589">
                          <a:solidFill>
                            <a:srgbClr val="333333"/>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9.8pt,-146pt" to="92.55pt,-146pt" o:allowincell="f" strokecolor="#333333" strokeweight="1.07pt"/>
            </w:pict>
          </mc:Fallback>
        </mc:AlternateContent>
        <mc:AlternateContent>
          <mc:Choice Requires="wps">
            <w:drawing>
              <wp:anchor simplePos="0" relativeHeight="251657728" behindDoc="1" locked="0" layoutInCell="0" allowOverlap="1">
                <wp:simplePos x="0" y="0"/>
                <wp:positionH relativeFrom="column">
                  <wp:posOffset>1823720</wp:posOffset>
                </wp:positionH>
                <wp:positionV relativeFrom="paragraph">
                  <wp:posOffset>-554355</wp:posOffset>
                </wp:positionV>
                <wp:extent cx="0" cy="3492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925"/>
                        </a:xfrm>
                        <a:prstGeom prst="line">
                          <a:avLst/>
                        </a:prstGeom>
                        <a:solidFill>
                          <a:srgbClr val="FFFFFF"/>
                        </a:solidFill>
                        <a:ln w="13589">
                          <a:solidFill>
                            <a:srgbClr val="333333"/>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3.6pt,-43.6499pt" to="143.6pt,-40.8999pt" o:allowincell="f" strokecolor="#333333" strokeweight="1.07pt"/>
            </w:pict>
          </mc:Fallback>
        </mc:AlternateContent>
        <mc:AlternateContent>
          <mc:Choice Requires="wps">
            <w:drawing>
              <wp:anchor simplePos="0" relativeHeight="251657728" behindDoc="1" locked="0" layoutInCell="0" allowOverlap="1">
                <wp:simplePos x="0" y="0"/>
                <wp:positionH relativeFrom="column">
                  <wp:posOffset>2749550</wp:posOffset>
                </wp:positionH>
                <wp:positionV relativeFrom="paragraph">
                  <wp:posOffset>-554355</wp:posOffset>
                </wp:positionV>
                <wp:extent cx="0" cy="3492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925"/>
                        </a:xfrm>
                        <a:prstGeom prst="line">
                          <a:avLst/>
                        </a:prstGeom>
                        <a:solidFill>
                          <a:srgbClr val="FFFFFF"/>
                        </a:solidFill>
                        <a:ln w="13589">
                          <a:solidFill>
                            <a:srgbClr val="333333"/>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5pt,-43.6499pt" to="216.5pt,-40.8999pt" o:allowincell="f" strokecolor="#333333" strokeweight="1.07pt"/>
            </w:pict>
          </mc:Fallback>
        </mc:AlternateContent>
        <mc:AlternateContent>
          <mc:Choice Requires="wps">
            <w:drawing>
              <wp:anchor simplePos="0" relativeHeight="251657728" behindDoc="1" locked="0" layoutInCell="0" allowOverlap="1">
                <wp:simplePos x="0" y="0"/>
                <wp:positionH relativeFrom="column">
                  <wp:posOffset>3677285</wp:posOffset>
                </wp:positionH>
                <wp:positionV relativeFrom="paragraph">
                  <wp:posOffset>-554355</wp:posOffset>
                </wp:positionV>
                <wp:extent cx="0" cy="3492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925"/>
                        </a:xfrm>
                        <a:prstGeom prst="line">
                          <a:avLst/>
                        </a:prstGeom>
                        <a:solidFill>
                          <a:srgbClr val="FFFFFF"/>
                        </a:solidFill>
                        <a:ln w="13589">
                          <a:solidFill>
                            <a:srgbClr val="333333"/>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9.55pt,-43.6499pt" to="289.55pt,-40.8999pt" o:allowincell="f" strokecolor="#333333" strokeweight="1.07pt"/>
            </w:pict>
          </mc:Fallback>
        </mc:AlternateContent>
        <mc:AlternateContent>
          <mc:Choice Requires="wps">
            <w:drawing>
              <wp:anchor simplePos="0" relativeHeight="251657728" behindDoc="1" locked="0" layoutInCell="0" allowOverlap="1">
                <wp:simplePos x="0" y="0"/>
                <wp:positionH relativeFrom="column">
                  <wp:posOffset>4603115</wp:posOffset>
                </wp:positionH>
                <wp:positionV relativeFrom="paragraph">
                  <wp:posOffset>-554355</wp:posOffset>
                </wp:positionV>
                <wp:extent cx="0" cy="34925"/>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925"/>
                        </a:xfrm>
                        <a:prstGeom prst="line">
                          <a:avLst/>
                        </a:prstGeom>
                        <a:solidFill>
                          <a:srgbClr val="FFFFFF"/>
                        </a:solidFill>
                        <a:ln w="13589">
                          <a:solidFill>
                            <a:srgbClr val="333333"/>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2.45pt,-43.6499pt" to="362.45pt,-40.8999pt" o:allowincell="f" strokecolor="#333333" strokeweight="1.07pt"/>
            </w:pict>
          </mc:Fallback>
        </mc:AlternateContent>
        <mc:AlternateContent>
          <mc:Choice Requires="wps">
            <w:drawing>
              <wp:anchor simplePos="0" relativeHeight="251657728" behindDoc="1" locked="0" layoutInCell="0" allowOverlap="1">
                <wp:simplePos x="0" y="0"/>
                <wp:positionH relativeFrom="column">
                  <wp:posOffset>814705</wp:posOffset>
                </wp:positionH>
                <wp:positionV relativeFrom="paragraph">
                  <wp:posOffset>-175260</wp:posOffset>
                </wp:positionV>
                <wp:extent cx="219075" cy="21844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9075" cy="218440"/>
                        </a:xfrm>
                        <a:prstGeom prst="rect">
                          <a:avLst/>
                        </a:prstGeom>
                        <a:solidFill>
                          <a:srgbClr val="F2F2F2"/>
                        </a:solidFill>
                      </wps:spPr>
                      <wps:bodyPr/>
                    </wps:wsp>
                  </a:graphicData>
                </a:graphic>
              </wp:anchor>
            </w:drawing>
          </mc:Choice>
          <mc:Fallback>
            <w:pict>
              <v:rect id="Shape 84" o:spid="_x0000_s1109" style="position:absolute;margin-left:64.15pt;margin-top:-13.7999pt;width:17.25pt;height:1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836295</wp:posOffset>
                </wp:positionH>
                <wp:positionV relativeFrom="paragraph">
                  <wp:posOffset>-66040</wp:posOffset>
                </wp:positionV>
                <wp:extent cx="17526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260" cy="4763"/>
                        </a:xfrm>
                        <a:prstGeom prst="line">
                          <a:avLst/>
                        </a:prstGeom>
                        <a:solidFill>
                          <a:srgbClr val="FFFFFF"/>
                        </a:solidFill>
                        <a:ln w="13589">
                          <a:solidFill>
                            <a:srgbClr val="F8766D"/>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5.85pt,-5.1999pt" to="79.65pt,-5.1999pt" o:allowincell="f" strokecolor="#F8766D" strokeweight="1.07pt"/>
            </w:pict>
          </mc:Fallback>
        </mc:AlternateContent>
        <mc:AlternateContent>
          <mc:Choice Requires="wps">
            <w:drawing>
              <wp:anchor simplePos="0" relativeHeight="251657728" behindDoc="1" locked="0" layoutInCell="0" allowOverlap="1">
                <wp:simplePos x="0" y="0"/>
                <wp:positionH relativeFrom="column">
                  <wp:posOffset>1816735</wp:posOffset>
                </wp:positionH>
                <wp:positionV relativeFrom="paragraph">
                  <wp:posOffset>-175260</wp:posOffset>
                </wp:positionV>
                <wp:extent cx="219075" cy="21844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9075" cy="218440"/>
                        </a:xfrm>
                        <a:prstGeom prst="rect">
                          <a:avLst/>
                        </a:prstGeom>
                        <a:solidFill>
                          <a:srgbClr val="F2F2F2"/>
                        </a:solidFill>
                      </wps:spPr>
                      <wps:bodyPr/>
                    </wps:wsp>
                  </a:graphicData>
                </a:graphic>
              </wp:anchor>
            </w:drawing>
          </mc:Choice>
          <mc:Fallback>
            <w:pict>
              <v:rect id="Shape 86" o:spid="_x0000_s1111" style="position:absolute;margin-left:143.05pt;margin-top:-13.7999pt;width:17.25pt;height:1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1838325</wp:posOffset>
                </wp:positionH>
                <wp:positionV relativeFrom="paragraph">
                  <wp:posOffset>-66040</wp:posOffset>
                </wp:positionV>
                <wp:extent cx="17526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260" cy="4763"/>
                        </a:xfrm>
                        <a:prstGeom prst="line">
                          <a:avLst/>
                        </a:prstGeom>
                        <a:solidFill>
                          <a:srgbClr val="FFFFFF"/>
                        </a:solidFill>
                        <a:ln w="13589">
                          <a:solidFill>
                            <a:srgbClr val="A3A5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75pt,-5.1999pt" to="158.55pt,-5.1999pt" o:allowincell="f" strokecolor="#A3A500" strokeweight="1.07pt"/>
            </w:pict>
          </mc:Fallback>
        </mc:AlternateContent>
        <mc:AlternateContent>
          <mc:Choice Requires="wps">
            <w:drawing>
              <wp:anchor simplePos="0" relativeHeight="251657728" behindDoc="1" locked="0" layoutInCell="0" allowOverlap="1">
                <wp:simplePos x="0" y="0"/>
                <wp:positionH relativeFrom="column">
                  <wp:posOffset>2785110</wp:posOffset>
                </wp:positionH>
                <wp:positionV relativeFrom="paragraph">
                  <wp:posOffset>-175260</wp:posOffset>
                </wp:positionV>
                <wp:extent cx="219075" cy="21844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9075" cy="218440"/>
                        </a:xfrm>
                        <a:prstGeom prst="rect">
                          <a:avLst/>
                        </a:prstGeom>
                        <a:solidFill>
                          <a:srgbClr val="F2F2F2"/>
                        </a:solidFill>
                      </wps:spPr>
                      <wps:bodyPr/>
                    </wps:wsp>
                  </a:graphicData>
                </a:graphic>
              </wp:anchor>
            </w:drawing>
          </mc:Choice>
          <mc:Fallback>
            <w:pict>
              <v:rect id="Shape 88" o:spid="_x0000_s1113" style="position:absolute;margin-left:219.3pt;margin-top:-13.7999pt;width:17.25pt;height:1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2806700</wp:posOffset>
                </wp:positionH>
                <wp:positionV relativeFrom="paragraph">
                  <wp:posOffset>-66040</wp:posOffset>
                </wp:positionV>
                <wp:extent cx="175260"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260" cy="4763"/>
                        </a:xfrm>
                        <a:prstGeom prst="line">
                          <a:avLst/>
                        </a:prstGeom>
                        <a:solidFill>
                          <a:srgbClr val="FFFFFF"/>
                        </a:solidFill>
                        <a:ln w="13589">
                          <a:solidFill>
                            <a:srgbClr val="00BF7D"/>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pt,-5.1999pt" to="234.8pt,-5.1999pt" o:allowincell="f" strokecolor="#00BF7D" strokeweight="1.07pt"/>
            </w:pict>
          </mc:Fallback>
        </mc:AlternateContent>
        <mc:AlternateContent>
          <mc:Choice Requires="wps">
            <w:drawing>
              <wp:anchor simplePos="0" relativeHeight="251657728" behindDoc="1" locked="0" layoutInCell="0" allowOverlap="1">
                <wp:simplePos x="0" y="0"/>
                <wp:positionH relativeFrom="column">
                  <wp:posOffset>3455035</wp:posOffset>
                </wp:positionH>
                <wp:positionV relativeFrom="paragraph">
                  <wp:posOffset>-175260</wp:posOffset>
                </wp:positionV>
                <wp:extent cx="219075" cy="21844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9075" cy="218440"/>
                        </a:xfrm>
                        <a:prstGeom prst="rect">
                          <a:avLst/>
                        </a:prstGeom>
                        <a:solidFill>
                          <a:srgbClr val="F2F2F2"/>
                        </a:solidFill>
                      </wps:spPr>
                      <wps:bodyPr/>
                    </wps:wsp>
                  </a:graphicData>
                </a:graphic>
              </wp:anchor>
            </w:drawing>
          </mc:Choice>
          <mc:Fallback>
            <w:pict>
              <v:rect id="Shape 90" o:spid="_x0000_s1115" style="position:absolute;margin-left:272.05pt;margin-top:-13.7999pt;width:17.25pt;height:1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3476625</wp:posOffset>
                </wp:positionH>
                <wp:positionV relativeFrom="paragraph">
                  <wp:posOffset>-66040</wp:posOffset>
                </wp:positionV>
                <wp:extent cx="175260"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260" cy="4763"/>
                        </a:xfrm>
                        <a:prstGeom prst="line">
                          <a:avLst/>
                        </a:prstGeom>
                        <a:solidFill>
                          <a:srgbClr val="FFFFFF"/>
                        </a:solidFill>
                        <a:ln w="13589">
                          <a:solidFill>
                            <a:srgbClr val="00B0F6"/>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75pt,-5.1999pt" to="287.55pt,-5.1999pt" o:allowincell="f" strokecolor="#00B0F6" strokeweight="1.07pt"/>
            </w:pict>
          </mc:Fallback>
        </mc:AlternateContent>
        <mc:AlternateContent>
          <mc:Choice Requires="wps">
            <w:drawing>
              <wp:anchor simplePos="0" relativeHeight="251657728" behindDoc="1" locked="0" layoutInCell="0" allowOverlap="1">
                <wp:simplePos x="0" y="0"/>
                <wp:positionH relativeFrom="column">
                  <wp:posOffset>4466590</wp:posOffset>
                </wp:positionH>
                <wp:positionV relativeFrom="paragraph">
                  <wp:posOffset>-175260</wp:posOffset>
                </wp:positionV>
                <wp:extent cx="219710" cy="21844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9710" cy="218440"/>
                        </a:xfrm>
                        <a:prstGeom prst="rect">
                          <a:avLst/>
                        </a:prstGeom>
                        <a:solidFill>
                          <a:srgbClr val="F2F2F2"/>
                        </a:solidFill>
                      </wps:spPr>
                      <wps:bodyPr/>
                    </wps:wsp>
                  </a:graphicData>
                </a:graphic>
              </wp:anchor>
            </w:drawing>
          </mc:Choice>
          <mc:Fallback>
            <w:pict>
              <v:rect id="Shape 92" o:spid="_x0000_s1117" style="position:absolute;margin-left:351.7pt;margin-top:-13.7999pt;width:17.3pt;height:1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4488180</wp:posOffset>
                </wp:positionH>
                <wp:positionV relativeFrom="paragraph">
                  <wp:posOffset>-66040</wp:posOffset>
                </wp:positionV>
                <wp:extent cx="175895"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5895" cy="4763"/>
                        </a:xfrm>
                        <a:prstGeom prst="line">
                          <a:avLst/>
                        </a:prstGeom>
                        <a:solidFill>
                          <a:srgbClr val="FFFFFF"/>
                        </a:solidFill>
                        <a:ln w="13589">
                          <a:solidFill>
                            <a:srgbClr val="E76BF3"/>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3.4pt,-5.1999pt" to="367.25pt,-5.1999pt" o:allowincell="f" strokecolor="#E76BF3" strokeweight="1.07pt"/>
            </w:pict>
          </mc:Fallback>
        </mc:AlternateContent>
      </w:r>
    </w:p>
    <w:p>
      <w:pPr>
        <w:spacing w:after="0" w:line="350" w:lineRule="exact"/>
        <w:rPr>
          <w:sz w:val="20"/>
          <w:szCs w:val="20"/>
          <w:color w:val="auto"/>
        </w:rPr>
      </w:pPr>
    </w:p>
    <w:p>
      <w:pPr>
        <w:ind w:left="44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de dados do Banco Central do Brasil - Departamento de Estatísticas</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ind w:left="260" w:firstLine="850"/>
        <w:spacing w:after="0" w:line="442" w:lineRule="auto"/>
        <w:rPr>
          <w:sz w:val="20"/>
          <w:szCs w:val="20"/>
          <w:color w:val="auto"/>
        </w:rPr>
      </w:pPr>
      <w:r>
        <w:rPr>
          <w:rFonts w:ascii="Arial" w:cs="Arial" w:eastAsia="Arial" w:hAnsi="Arial"/>
          <w:sz w:val="23"/>
          <w:szCs w:val="23"/>
          <w:color w:val="auto"/>
        </w:rPr>
        <w:t>Na Figura 15 pode ser visualizada a evolução do spread do ICC, entre janeiro de 2013 e julho de 2020 com expressiva elevação entre 2014 e 2017, passando a decair até retormar a patamares similares ao início do período. Também pode ser notada a expressiva diferença entre o spread de recursos livres e direcionados.</w:t>
      </w:r>
    </w:p>
    <w:p>
      <w:pPr>
        <w:spacing w:after="0" w:line="76"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Ao analisar as séries do Spread ICC e Spread MOC é possível destacar outra perspectiva de avaliação do Spread no que tange a dimensão, consistindo no tipo de recurso, modalidade e tomador, onde esta última aumenta o nível de granularidade abrangendo as demais. A perspectiva de dimensão atua de forma congruente com as perspectivas de ótica e de características.</w:t>
      </w:r>
    </w:p>
    <w:p>
      <w:pPr>
        <w:spacing w:after="0" w:line="93"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A perspectiva de dimensão demonstra ser relevante, uma vez que existem diferenças consideráveis para os níveis de spread de acordo com tomador, tipo de crédito e modalidade. Levantando a indagação se uma análise agregada é capaz identificar de forma realística os efeitos desta variáveis sobre os setores produtivos.</w:t>
      </w:r>
    </w:p>
    <w:p>
      <w:pPr>
        <w:spacing w:after="0" w:line="88" w:lineRule="exact"/>
        <w:rPr>
          <w:sz w:val="20"/>
          <w:szCs w:val="20"/>
          <w:color w:val="auto"/>
        </w:rPr>
      </w:pPr>
    </w:p>
    <w:p>
      <w:pPr>
        <w:jc w:val="both"/>
        <w:ind w:left="260" w:firstLine="850"/>
        <w:spacing w:after="0" w:line="433" w:lineRule="auto"/>
        <w:rPr>
          <w:sz w:val="20"/>
          <w:szCs w:val="20"/>
          <w:color w:val="auto"/>
        </w:rPr>
      </w:pPr>
      <w:r>
        <w:rPr>
          <w:rFonts w:ascii="Arial" w:cs="Arial" w:eastAsia="Arial" w:hAnsi="Arial"/>
          <w:sz w:val="23"/>
          <w:szCs w:val="23"/>
          <w:color w:val="auto"/>
        </w:rPr>
        <w:t>O Indicador Custo de Crédito (ICC) consiste no custo médio de todas as operações de crédito abertas — independentes do período em que foram contratadas</w:t>
      </w:r>
    </w:p>
    <w:p>
      <w:pPr>
        <w:spacing w:after="0" w:line="2" w:lineRule="exact"/>
        <w:rPr>
          <w:sz w:val="20"/>
          <w:szCs w:val="20"/>
          <w:color w:val="auto"/>
        </w:rPr>
      </w:pPr>
    </w:p>
    <w:p>
      <w:pPr>
        <w:ind w:left="260" w:hanging="36"/>
        <w:spacing w:after="0" w:line="431" w:lineRule="auto"/>
        <w:rPr>
          <w:sz w:val="20"/>
          <w:szCs w:val="20"/>
          <w:color w:val="auto"/>
        </w:rPr>
      </w:pPr>
      <w:r>
        <w:rPr>
          <w:rFonts w:ascii="Arial" w:cs="Arial" w:eastAsia="Arial" w:hAnsi="Arial"/>
          <w:sz w:val="24"/>
          <w:szCs w:val="24"/>
          <w:color w:val="auto"/>
        </w:rPr>
        <w:t>— que compõem a carteira de empréstimos, financiamentos e arrendamento mercantil das instituições do Sistema Financeiro Nacional (SFN) (BACEN, 2000).</w:t>
      </w:r>
    </w:p>
    <w:p>
      <w:pPr>
        <w:sectPr>
          <w:pgSz w:w="11900" w:h="16838" w:orient="portrait"/>
          <w:cols w:equalWidth="0" w:num="1">
            <w:col w:w="9320"/>
          </w:cols>
          <w:pgMar w:left="1440" w:top="991" w:right="1146" w:bottom="179" w:gutter="0" w:footer="0" w:header="0"/>
        </w:sectPr>
      </w:pPr>
    </w:p>
    <w:p>
      <w:pPr>
        <w:jc w:val="right"/>
        <w:spacing w:after="0"/>
        <w:rPr>
          <w:sz w:val="20"/>
          <w:szCs w:val="20"/>
          <w:color w:val="auto"/>
        </w:rPr>
      </w:pPr>
      <w:r>
        <w:rPr>
          <w:rFonts w:ascii="Arial" w:cs="Arial" w:eastAsia="Arial" w:hAnsi="Arial"/>
          <w:sz w:val="24"/>
          <w:szCs w:val="24"/>
          <w:color w:val="auto"/>
        </w:rPr>
        <w:t>40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ind w:left="1320"/>
        <w:spacing w:after="0"/>
        <w:rPr>
          <w:sz w:val="20"/>
          <w:szCs w:val="20"/>
          <w:color w:val="auto"/>
        </w:rPr>
      </w:pPr>
      <w:r>
        <w:rPr>
          <w:rFonts w:ascii="Arial" w:cs="Arial" w:eastAsia="Arial" w:hAnsi="Arial"/>
          <w:sz w:val="22"/>
          <w:szCs w:val="22"/>
          <w:color w:val="auto"/>
        </w:rPr>
        <w:t>Figura 16 – Diagrama de ilustração da perspectiva de dimensão spread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1576705</wp:posOffset>
            </wp:positionH>
            <wp:positionV relativeFrom="paragraph">
              <wp:posOffset>319405</wp:posOffset>
            </wp:positionV>
            <wp:extent cx="2929890" cy="310388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2">
                      <a:extLst>
                        <a:ext uri="{28A0092B-C50C-407E-A947-70E740481C1C}"/>
                      </a:extLst>
                    </a:blip>
                    <a:srcRect/>
                    <a:stretch>
                      <a:fillRect/>
                    </a:stretch>
                  </pic:blipFill>
                  <pic:spPr bwMode="auto">
                    <a:xfrm>
                      <a:off x="0" y="0"/>
                      <a:ext cx="2929890" cy="31038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center"/>
        <w:ind w:right="-299"/>
        <w:spacing w:after="0"/>
        <w:rPr>
          <w:sz w:val="20"/>
          <w:szCs w:val="20"/>
          <w:color w:val="auto"/>
        </w:rPr>
      </w:pPr>
      <w:r>
        <w:rPr>
          <w:rFonts w:ascii="Times" w:cs="Times" w:eastAsia="Times" w:hAnsi="Times"/>
          <w:sz w:val="22"/>
          <w:szCs w:val="22"/>
          <w:color w:val="auto"/>
        </w:rPr>
        <w:t>Spread Bancário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center"/>
        <w:ind w:right="-319"/>
        <w:spacing w:after="0"/>
        <w:rPr>
          <w:sz w:val="20"/>
          <w:szCs w:val="20"/>
          <w:color w:val="auto"/>
        </w:rPr>
      </w:pPr>
      <w:r>
        <w:rPr>
          <w:rFonts w:ascii="Times" w:cs="Times" w:eastAsia="Times" w:hAnsi="Times"/>
          <w:sz w:val="22"/>
          <w:szCs w:val="22"/>
          <w:color w:val="auto"/>
        </w:rPr>
        <w:t>Tomador</w:t>
      </w:r>
    </w:p>
    <w:p>
      <w:pPr>
        <w:spacing w:after="0" w:line="23" w:lineRule="exact"/>
        <w:rPr>
          <w:sz w:val="20"/>
          <w:szCs w:val="20"/>
          <w:color w:val="auto"/>
        </w:rPr>
      </w:pPr>
    </w:p>
    <w:p>
      <w:pPr>
        <w:ind w:left="4140"/>
        <w:spacing w:after="0"/>
        <w:rPr>
          <w:sz w:val="20"/>
          <w:szCs w:val="20"/>
          <w:color w:val="auto"/>
        </w:rPr>
      </w:pPr>
      <w:r>
        <w:rPr>
          <w:rFonts w:ascii="Times" w:cs="Times" w:eastAsia="Times" w:hAnsi="Times"/>
          <w:sz w:val="22"/>
          <w:szCs w:val="22"/>
          <w:color w:val="auto"/>
        </w:rPr>
        <w:t>Pessoa Jurídica</w:t>
      </w:r>
    </w:p>
    <w:p>
      <w:pPr>
        <w:spacing w:after="0" w:line="23" w:lineRule="exact"/>
        <w:rPr>
          <w:sz w:val="20"/>
          <w:szCs w:val="20"/>
          <w:color w:val="auto"/>
        </w:rPr>
      </w:pPr>
    </w:p>
    <w:p>
      <w:pPr>
        <w:ind w:left="4080"/>
        <w:spacing w:after="0"/>
        <w:rPr>
          <w:sz w:val="20"/>
          <w:szCs w:val="20"/>
          <w:color w:val="auto"/>
        </w:rPr>
      </w:pPr>
      <w:r>
        <w:rPr>
          <w:rFonts w:ascii="Times" w:cs="Times" w:eastAsia="Times" w:hAnsi="Times"/>
          <w:sz w:val="22"/>
          <w:szCs w:val="22"/>
          <w:color w:val="auto"/>
        </w:rPr>
        <w:t>ou Pessoa Física</w:t>
      </w:r>
    </w:p>
    <w:p>
      <w:pPr>
        <w:sectPr>
          <w:pgSz w:w="11900" w:h="16838" w:orient="portrait"/>
          <w:cols w:equalWidth="0" w:num="1">
            <w:col w:w="9320"/>
          </w:cols>
          <w:pgMar w:left="1440" w:top="991" w:right="1146"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right"/>
        <w:spacing w:after="0"/>
        <w:rPr>
          <w:sz w:val="20"/>
          <w:szCs w:val="20"/>
          <w:color w:val="auto"/>
        </w:rPr>
      </w:pPr>
      <w:r>
        <w:rPr>
          <w:rFonts w:ascii="Times" w:cs="Times" w:eastAsia="Times" w:hAnsi="Times"/>
          <w:sz w:val="22"/>
          <w:szCs w:val="22"/>
          <w:color w:val="auto"/>
        </w:rPr>
        <w:t>Tipo de Recurso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center"/>
        <w:ind w:left="2600"/>
        <w:spacing w:after="0"/>
        <w:rPr>
          <w:sz w:val="20"/>
          <w:szCs w:val="20"/>
          <w:color w:val="auto"/>
        </w:rPr>
      </w:pPr>
      <w:r>
        <w:rPr>
          <w:rFonts w:ascii="Times" w:cs="Times" w:eastAsia="Times" w:hAnsi="Times"/>
          <w:sz w:val="22"/>
          <w:szCs w:val="22"/>
          <w:color w:val="auto"/>
        </w:rPr>
        <w:t>Crédito Livre ou</w:t>
      </w:r>
    </w:p>
    <w:p>
      <w:pPr>
        <w:spacing w:after="0" w:line="23" w:lineRule="exact"/>
        <w:rPr>
          <w:sz w:val="20"/>
          <w:szCs w:val="20"/>
          <w:color w:val="auto"/>
        </w:rPr>
      </w:pPr>
    </w:p>
    <w:p>
      <w:pPr>
        <w:jc w:val="center"/>
        <w:ind w:left="2600"/>
        <w:spacing w:after="0"/>
        <w:rPr>
          <w:sz w:val="20"/>
          <w:szCs w:val="20"/>
          <w:color w:val="auto"/>
        </w:rPr>
      </w:pPr>
      <w:r>
        <w:rPr>
          <w:rFonts w:ascii="Times" w:cs="Times" w:eastAsia="Times" w:hAnsi="Times"/>
          <w:sz w:val="21"/>
          <w:szCs w:val="21"/>
          <w:color w:val="auto"/>
        </w:rPr>
        <w:t>Crédito Direcionado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140"/>
        <w:spacing w:after="0"/>
        <w:rPr>
          <w:sz w:val="20"/>
          <w:szCs w:val="20"/>
          <w:color w:val="auto"/>
        </w:rPr>
      </w:pPr>
      <w:r>
        <w:rPr>
          <w:rFonts w:ascii="Times" w:cs="Times" w:eastAsia="Times" w:hAnsi="Times"/>
          <w:sz w:val="22"/>
          <w:szCs w:val="22"/>
          <w:color w:val="auto"/>
        </w:rPr>
        <w:t>Modalidade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center"/>
        <w:ind w:right="2480"/>
        <w:spacing w:after="0"/>
        <w:rPr>
          <w:sz w:val="20"/>
          <w:szCs w:val="20"/>
          <w:color w:val="auto"/>
        </w:rPr>
      </w:pPr>
      <w:r>
        <w:rPr>
          <w:rFonts w:ascii="Times" w:cs="Times" w:eastAsia="Times" w:hAnsi="Times"/>
          <w:sz w:val="22"/>
          <w:szCs w:val="22"/>
          <w:color w:val="auto"/>
        </w:rPr>
        <w:t>Não Rotativo ou</w:t>
      </w:r>
    </w:p>
    <w:p>
      <w:pPr>
        <w:spacing w:after="0" w:line="23" w:lineRule="exact"/>
        <w:rPr>
          <w:sz w:val="20"/>
          <w:szCs w:val="20"/>
          <w:color w:val="auto"/>
        </w:rPr>
      </w:pPr>
    </w:p>
    <w:p>
      <w:pPr>
        <w:jc w:val="center"/>
        <w:ind w:right="2480"/>
        <w:spacing w:after="0"/>
        <w:rPr>
          <w:sz w:val="20"/>
          <w:szCs w:val="20"/>
          <w:color w:val="auto"/>
        </w:rPr>
      </w:pPr>
      <w:r>
        <w:rPr>
          <w:rFonts w:ascii="Times" w:cs="Times" w:eastAsia="Times" w:hAnsi="Times"/>
          <w:sz w:val="21"/>
          <w:szCs w:val="21"/>
          <w:color w:val="auto"/>
        </w:rPr>
        <w:t>Não Rotativo com</w:t>
      </w:r>
    </w:p>
    <w:p>
      <w:pPr>
        <w:spacing w:after="0" w:line="34" w:lineRule="exact"/>
        <w:rPr>
          <w:sz w:val="20"/>
          <w:szCs w:val="20"/>
          <w:color w:val="auto"/>
        </w:rPr>
      </w:pPr>
    </w:p>
    <w:p>
      <w:pPr>
        <w:jc w:val="center"/>
        <w:ind w:right="2480"/>
        <w:spacing w:after="0"/>
        <w:rPr>
          <w:sz w:val="20"/>
          <w:szCs w:val="20"/>
          <w:color w:val="auto"/>
        </w:rPr>
      </w:pPr>
      <w:r>
        <w:rPr>
          <w:rFonts w:ascii="Times" w:cs="Times" w:eastAsia="Times" w:hAnsi="Times"/>
          <w:sz w:val="22"/>
          <w:szCs w:val="22"/>
          <w:color w:val="auto"/>
        </w:rPr>
        <w:t>Recurso Livre</w:t>
      </w:r>
    </w:p>
    <w:p>
      <w:pPr>
        <w:spacing w:after="0" w:line="200" w:lineRule="exact"/>
        <w:rPr>
          <w:sz w:val="20"/>
          <w:szCs w:val="20"/>
          <w:color w:val="auto"/>
        </w:rPr>
      </w:pPr>
    </w:p>
    <w:p>
      <w:pPr>
        <w:sectPr>
          <w:pgSz w:w="11900" w:h="16838" w:orient="portrait"/>
          <w:cols w:equalWidth="0" w:num="2">
            <w:col w:w="4600" w:space="640"/>
            <w:col w:w="4080"/>
          </w:cols>
          <w:pgMar w:left="1440" w:top="991" w:right="1146" w:bottom="1440" w:gutter="0" w:footer="0" w:header="0"/>
          <w:type w:val="continuous"/>
        </w:sectPr>
      </w:pPr>
    </w:p>
    <w:p>
      <w:pPr>
        <w:spacing w:after="0" w:line="154" w:lineRule="exact"/>
        <w:rPr>
          <w:sz w:val="20"/>
          <w:szCs w:val="20"/>
          <w:color w:val="auto"/>
        </w:rPr>
      </w:pPr>
    </w:p>
    <w:p>
      <w:pPr>
        <w:jc w:val="center"/>
        <w:ind w:right="-25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com base nos dados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ind w:left="1840"/>
        <w:spacing w:after="0"/>
        <w:rPr>
          <w:sz w:val="20"/>
          <w:szCs w:val="20"/>
          <w:color w:val="auto"/>
        </w:rPr>
      </w:pPr>
      <w:r>
        <w:rPr>
          <w:rFonts w:ascii="Arial" w:cs="Arial" w:eastAsia="Arial" w:hAnsi="Arial"/>
          <w:sz w:val="21"/>
          <w:szCs w:val="21"/>
          <w:color w:val="auto"/>
        </w:rPr>
        <w:t>Figura 17 – Evolução do Indicador de Custo de Crédito (ICC)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1172845</wp:posOffset>
            </wp:positionH>
            <wp:positionV relativeFrom="paragraph">
              <wp:posOffset>321310</wp:posOffset>
            </wp:positionV>
            <wp:extent cx="4112260" cy="246888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3">
                      <a:extLst>
                        <a:ext uri="{28A0092B-C50C-407E-A947-70E740481C1C}"/>
                      </a:extLst>
                    </a:blip>
                    <a:srcRect/>
                    <a:stretch>
                      <a:fillRect/>
                    </a:stretch>
                  </pic:blipFill>
                  <pic:spPr bwMode="auto">
                    <a:xfrm>
                      <a:off x="0" y="0"/>
                      <a:ext cx="4112260" cy="24688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tbl>
      <w:tblPr>
        <w:tblLayout w:type="fixed"/>
        <w:tblInd w:w="1340" w:type="dxa"/>
        <w:tblCellMar>
          <w:top w:w="0" w:type="dxa"/>
          <w:left w:w="0" w:type="dxa"/>
          <w:bottom w:w="0" w:type="dxa"/>
          <w:right w:w="0" w:type="dxa"/>
        </w:tblCellMar>
      </w:tblPr>
      <w:tr>
        <w:trPr>
          <w:trHeight w:val="207"/>
        </w:trPr>
        <w:tc>
          <w:tcPr>
            <w:tcW w:w="220" w:type="dxa"/>
            <w:vAlign w:val="bottom"/>
          </w:tcPr>
          <w:p>
            <w:pPr>
              <w:spacing w:after="0"/>
              <w:rPr>
                <w:sz w:val="18"/>
                <w:szCs w:val="18"/>
                <w:color w:val="auto"/>
              </w:rPr>
            </w:pPr>
          </w:p>
        </w:tc>
        <w:tc>
          <w:tcPr>
            <w:tcW w:w="2100" w:type="dxa"/>
            <w:vAlign w:val="bottom"/>
          </w:tcPr>
          <w:p>
            <w:pPr>
              <w:jc w:val="right"/>
              <w:ind w:right="1770"/>
              <w:spacing w:after="0"/>
              <w:rPr>
                <w:sz w:val="20"/>
                <w:szCs w:val="20"/>
                <w:color w:val="auto"/>
              </w:rPr>
            </w:pPr>
            <w:r>
              <w:rPr>
                <w:rFonts w:ascii="Helvetica" w:cs="Helvetica" w:eastAsia="Helvetica" w:hAnsi="Helvetica"/>
                <w:sz w:val="18"/>
                <w:szCs w:val="18"/>
                <w:color w:val="4D4D4D"/>
              </w:rPr>
              <w:t>22</w:t>
            </w:r>
          </w:p>
        </w:tc>
        <w:tc>
          <w:tcPr>
            <w:tcW w:w="1460" w:type="dxa"/>
            <w:vAlign w:val="bottom"/>
          </w:tcPr>
          <w:p>
            <w:pPr>
              <w:spacing w:after="0"/>
              <w:rPr>
                <w:sz w:val="18"/>
                <w:szCs w:val="18"/>
                <w:color w:val="auto"/>
              </w:rPr>
            </w:pPr>
          </w:p>
        </w:tc>
        <w:tc>
          <w:tcPr>
            <w:tcW w:w="1460" w:type="dxa"/>
            <w:vAlign w:val="bottom"/>
          </w:tcPr>
          <w:p>
            <w:pPr>
              <w:spacing w:after="0"/>
              <w:rPr>
                <w:sz w:val="18"/>
                <w:szCs w:val="18"/>
                <w:color w:val="auto"/>
              </w:rPr>
            </w:pPr>
          </w:p>
        </w:tc>
        <w:tc>
          <w:tcPr>
            <w:tcW w:w="9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968"/>
        </w:trPr>
        <w:tc>
          <w:tcPr>
            <w:tcW w:w="220" w:type="dxa"/>
            <w:vAlign w:val="bottom"/>
            <w:textDirection w:val="btLr"/>
          </w:tcPr>
          <w:p>
            <w:pPr>
              <w:spacing w:after="0"/>
              <w:rPr>
                <w:sz w:val="20"/>
                <w:szCs w:val="20"/>
                <w:color w:val="auto"/>
              </w:rPr>
            </w:pPr>
            <w:r>
              <w:rPr>
                <w:rFonts w:ascii="Helvetica" w:cs="Helvetica" w:eastAsia="Helvetica" w:hAnsi="Helvetica"/>
                <w:sz w:val="22"/>
                <w:szCs w:val="22"/>
                <w:color w:val="auto"/>
                <w:w w:val="91"/>
              </w:rPr>
              <w:t>%</w:t>
            </w:r>
          </w:p>
        </w:tc>
        <w:tc>
          <w:tcPr>
            <w:tcW w:w="2100" w:type="dxa"/>
            <w:vAlign w:val="bottom"/>
            <w:vMerge w:val="restart"/>
          </w:tcPr>
          <w:p>
            <w:pPr>
              <w:jc w:val="right"/>
              <w:ind w:right="1770"/>
              <w:spacing w:after="0"/>
              <w:rPr>
                <w:sz w:val="20"/>
                <w:szCs w:val="20"/>
                <w:color w:val="auto"/>
              </w:rPr>
            </w:pPr>
            <w:r>
              <w:rPr>
                <w:rFonts w:ascii="Helvetica" w:cs="Helvetica" w:eastAsia="Helvetica" w:hAnsi="Helvetica"/>
                <w:sz w:val="18"/>
                <w:szCs w:val="18"/>
                <w:color w:val="4D4D4D"/>
              </w:rPr>
              <w:t>20</w:t>
            </w:r>
          </w:p>
        </w:tc>
        <w:tc>
          <w:tcPr>
            <w:tcW w:w="1460" w:type="dxa"/>
            <w:vAlign w:val="bottom"/>
          </w:tcPr>
          <w:p>
            <w:pPr>
              <w:spacing w:after="0"/>
              <w:rPr>
                <w:sz w:val="24"/>
                <w:szCs w:val="24"/>
                <w:color w:val="auto"/>
              </w:rPr>
            </w:pPr>
          </w:p>
        </w:tc>
        <w:tc>
          <w:tcPr>
            <w:tcW w:w="146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9"/>
        </w:trPr>
        <w:tc>
          <w:tcPr>
            <w:tcW w:w="220" w:type="dxa"/>
            <w:vAlign w:val="bottom"/>
            <w:vMerge w:val="restart"/>
            <w:textDirection w:val="btLr"/>
          </w:tcPr>
          <w:p>
            <w:pPr>
              <w:spacing w:after="0"/>
              <w:rPr>
                <w:sz w:val="20"/>
                <w:szCs w:val="20"/>
                <w:color w:val="auto"/>
              </w:rPr>
            </w:pPr>
            <w:r>
              <w:rPr>
                <w:rFonts w:ascii="Helvetica" w:cs="Helvetica" w:eastAsia="Helvetica" w:hAnsi="Helvetica"/>
                <w:sz w:val="22"/>
                <w:szCs w:val="22"/>
                <w:color w:val="auto"/>
              </w:rPr>
              <w:t>ICC</w:t>
            </w:r>
          </w:p>
        </w:tc>
        <w:tc>
          <w:tcPr>
            <w:tcW w:w="2100" w:type="dxa"/>
            <w:vAlign w:val="bottom"/>
            <w:vMerge w:val="continue"/>
          </w:tcPr>
          <w:p>
            <w:pPr>
              <w:spacing w:after="0"/>
              <w:rPr>
                <w:sz w:val="12"/>
                <w:szCs w:val="12"/>
                <w:color w:val="auto"/>
              </w:rPr>
            </w:pPr>
          </w:p>
        </w:tc>
        <w:tc>
          <w:tcPr>
            <w:tcW w:w="1460" w:type="dxa"/>
            <w:vAlign w:val="bottom"/>
          </w:tcPr>
          <w:p>
            <w:pPr>
              <w:spacing w:after="0"/>
              <w:rPr>
                <w:sz w:val="12"/>
                <w:szCs w:val="12"/>
                <w:color w:val="auto"/>
              </w:rPr>
            </w:pPr>
          </w:p>
        </w:tc>
        <w:tc>
          <w:tcPr>
            <w:tcW w:w="1460" w:type="dxa"/>
            <w:vAlign w:val="bottom"/>
          </w:tcPr>
          <w:p>
            <w:pPr>
              <w:spacing w:after="0"/>
              <w:rPr>
                <w:sz w:val="12"/>
                <w:szCs w:val="12"/>
                <w:color w:val="auto"/>
              </w:rPr>
            </w:pPr>
          </w:p>
        </w:tc>
        <w:tc>
          <w:tcPr>
            <w:tcW w:w="9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91"/>
        </w:trPr>
        <w:tc>
          <w:tcPr>
            <w:tcW w:w="220" w:type="dxa"/>
            <w:vAlign w:val="bottom"/>
            <w:vMerge w:val="continue"/>
          </w:tcPr>
          <w:p>
            <w:pPr>
              <w:spacing w:after="0"/>
              <w:rPr>
                <w:sz w:val="24"/>
                <w:szCs w:val="24"/>
                <w:color w:val="auto"/>
              </w:rPr>
            </w:pPr>
          </w:p>
        </w:tc>
        <w:tc>
          <w:tcPr>
            <w:tcW w:w="2100" w:type="dxa"/>
            <w:vAlign w:val="bottom"/>
          </w:tcPr>
          <w:p>
            <w:pPr>
              <w:spacing w:after="0"/>
              <w:rPr>
                <w:sz w:val="24"/>
                <w:szCs w:val="24"/>
                <w:color w:val="auto"/>
              </w:rPr>
            </w:pPr>
          </w:p>
        </w:tc>
        <w:tc>
          <w:tcPr>
            <w:tcW w:w="1460" w:type="dxa"/>
            <w:vAlign w:val="bottom"/>
          </w:tcPr>
          <w:p>
            <w:pPr>
              <w:spacing w:after="0"/>
              <w:rPr>
                <w:sz w:val="24"/>
                <w:szCs w:val="24"/>
                <w:color w:val="auto"/>
              </w:rPr>
            </w:pPr>
          </w:p>
        </w:tc>
        <w:tc>
          <w:tcPr>
            <w:tcW w:w="146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26"/>
        </w:trPr>
        <w:tc>
          <w:tcPr>
            <w:tcW w:w="220" w:type="dxa"/>
            <w:vAlign w:val="bottom"/>
          </w:tcPr>
          <w:p>
            <w:pPr>
              <w:spacing w:after="0"/>
              <w:rPr>
                <w:sz w:val="24"/>
                <w:szCs w:val="24"/>
                <w:color w:val="auto"/>
              </w:rPr>
            </w:pPr>
          </w:p>
        </w:tc>
        <w:tc>
          <w:tcPr>
            <w:tcW w:w="2100" w:type="dxa"/>
            <w:vAlign w:val="bottom"/>
          </w:tcPr>
          <w:p>
            <w:pPr>
              <w:jc w:val="right"/>
              <w:ind w:right="1770"/>
              <w:spacing w:after="0"/>
              <w:rPr>
                <w:sz w:val="20"/>
                <w:szCs w:val="20"/>
                <w:color w:val="auto"/>
              </w:rPr>
            </w:pPr>
            <w:r>
              <w:rPr>
                <w:rFonts w:ascii="Helvetica" w:cs="Helvetica" w:eastAsia="Helvetica" w:hAnsi="Helvetica"/>
                <w:sz w:val="18"/>
                <w:szCs w:val="18"/>
                <w:color w:val="4D4D4D"/>
              </w:rPr>
              <w:t>18</w:t>
            </w:r>
          </w:p>
        </w:tc>
        <w:tc>
          <w:tcPr>
            <w:tcW w:w="1460" w:type="dxa"/>
            <w:vAlign w:val="bottom"/>
          </w:tcPr>
          <w:p>
            <w:pPr>
              <w:spacing w:after="0"/>
              <w:rPr>
                <w:sz w:val="24"/>
                <w:szCs w:val="24"/>
                <w:color w:val="auto"/>
              </w:rPr>
            </w:pPr>
          </w:p>
        </w:tc>
        <w:tc>
          <w:tcPr>
            <w:tcW w:w="1460" w:type="dxa"/>
            <w:vAlign w:val="bottom"/>
          </w:tcPr>
          <w:p>
            <w:pPr>
              <w:spacing w:after="0"/>
              <w:rPr>
                <w:sz w:val="24"/>
                <w:szCs w:val="24"/>
                <w:color w:val="auto"/>
              </w:rPr>
            </w:pPr>
          </w:p>
        </w:tc>
        <w:tc>
          <w:tcPr>
            <w:tcW w:w="9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41"/>
        </w:trPr>
        <w:tc>
          <w:tcPr>
            <w:tcW w:w="220" w:type="dxa"/>
            <w:vAlign w:val="bottom"/>
          </w:tcPr>
          <w:p>
            <w:pPr>
              <w:spacing w:after="0"/>
              <w:rPr>
                <w:sz w:val="24"/>
                <w:szCs w:val="24"/>
                <w:color w:val="auto"/>
              </w:rPr>
            </w:pPr>
          </w:p>
        </w:tc>
        <w:tc>
          <w:tcPr>
            <w:tcW w:w="2100" w:type="dxa"/>
            <w:vAlign w:val="bottom"/>
          </w:tcPr>
          <w:p>
            <w:pPr>
              <w:jc w:val="right"/>
              <w:ind w:right="450"/>
              <w:spacing w:after="0"/>
              <w:rPr>
                <w:sz w:val="20"/>
                <w:szCs w:val="20"/>
                <w:color w:val="auto"/>
              </w:rPr>
            </w:pPr>
            <w:r>
              <w:rPr>
                <w:rFonts w:ascii="Helvetica" w:cs="Helvetica" w:eastAsia="Helvetica" w:hAnsi="Helvetica"/>
                <w:sz w:val="18"/>
                <w:szCs w:val="18"/>
                <w:color w:val="4D4D4D"/>
              </w:rPr>
              <w:t>2014</w:t>
            </w:r>
          </w:p>
        </w:tc>
        <w:tc>
          <w:tcPr>
            <w:tcW w:w="1460" w:type="dxa"/>
            <w:vAlign w:val="bottom"/>
          </w:tcPr>
          <w:p>
            <w:pPr>
              <w:jc w:val="right"/>
              <w:ind w:right="450"/>
              <w:spacing w:after="0"/>
              <w:rPr>
                <w:sz w:val="20"/>
                <w:szCs w:val="20"/>
                <w:color w:val="auto"/>
              </w:rPr>
            </w:pPr>
            <w:r>
              <w:rPr>
                <w:rFonts w:ascii="Helvetica" w:cs="Helvetica" w:eastAsia="Helvetica" w:hAnsi="Helvetica"/>
                <w:sz w:val="18"/>
                <w:szCs w:val="18"/>
                <w:color w:val="4D4D4D"/>
              </w:rPr>
              <w:t>2016</w:t>
            </w:r>
          </w:p>
        </w:tc>
        <w:tc>
          <w:tcPr>
            <w:tcW w:w="1460" w:type="dxa"/>
            <w:vAlign w:val="bottom"/>
          </w:tcPr>
          <w:p>
            <w:pPr>
              <w:jc w:val="right"/>
              <w:ind w:right="450"/>
              <w:spacing w:after="0"/>
              <w:rPr>
                <w:sz w:val="20"/>
                <w:szCs w:val="20"/>
                <w:color w:val="auto"/>
              </w:rPr>
            </w:pPr>
            <w:r>
              <w:rPr>
                <w:rFonts w:ascii="Helvetica" w:cs="Helvetica" w:eastAsia="Helvetica" w:hAnsi="Helvetica"/>
                <w:sz w:val="18"/>
                <w:szCs w:val="18"/>
                <w:color w:val="4D4D4D"/>
              </w:rPr>
              <w:t>2018</w:t>
            </w:r>
          </w:p>
        </w:tc>
        <w:tc>
          <w:tcPr>
            <w:tcW w:w="940" w:type="dxa"/>
            <w:vAlign w:val="bottom"/>
          </w:tcPr>
          <w:p>
            <w:pPr>
              <w:jc w:val="right"/>
              <w:spacing w:after="0"/>
              <w:rPr>
                <w:sz w:val="20"/>
                <w:szCs w:val="20"/>
                <w:color w:val="auto"/>
              </w:rPr>
            </w:pPr>
            <w:r>
              <w:rPr>
                <w:rFonts w:ascii="Helvetica" w:cs="Helvetica" w:eastAsia="Helvetica" w:hAnsi="Helvetica"/>
                <w:sz w:val="18"/>
                <w:szCs w:val="18"/>
                <w:color w:val="4D4D4D"/>
              </w:rPr>
              <w:t>2020</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38" w:orient="portrait"/>
          <w:cols w:equalWidth="0" w:num="1">
            <w:col w:w="9320"/>
          </w:cols>
          <w:pgMar w:left="1440" w:top="991" w:right="1146" w:bottom="1440" w:gutter="0" w:footer="0" w:header="0"/>
          <w:type w:val="continuous"/>
        </w:sectPr>
      </w:pPr>
    </w:p>
    <w:p>
      <w:pPr>
        <w:spacing w:after="0" w:line="51" w:lineRule="exact"/>
        <w:rPr>
          <w:sz w:val="20"/>
          <w:szCs w:val="20"/>
          <w:color w:val="auto"/>
        </w:rPr>
      </w:pPr>
    </w:p>
    <w:p>
      <w:pPr>
        <w:ind w:left="380"/>
        <w:spacing w:after="0"/>
        <w:rPr>
          <w:sz w:val="20"/>
          <w:szCs w:val="20"/>
          <w:color w:val="auto"/>
        </w:rPr>
      </w:pPr>
      <w:r>
        <w:rPr>
          <w:rFonts w:ascii="Arial" w:cs="Arial" w:eastAsia="Arial" w:hAnsi="Arial"/>
          <w:sz w:val="19"/>
          <w:szCs w:val="19"/>
          <w:color w:val="auto"/>
        </w:rPr>
        <w:t>Fonte:</w:t>
      </w:r>
      <w:r>
        <w:rPr>
          <w:rFonts w:ascii="Arial" w:cs="Arial" w:eastAsia="Arial" w:hAnsi="Arial"/>
          <w:sz w:val="20"/>
          <w:szCs w:val="20"/>
          <w:color w:val="auto"/>
        </w:rPr>
        <w:t xml:space="preserve"> :</w:t>
      </w:r>
      <w:r>
        <w:rPr>
          <w:rFonts w:ascii="Arial" w:cs="Arial" w:eastAsia="Arial" w:hAnsi="Arial"/>
          <w:sz w:val="19"/>
          <w:szCs w:val="19"/>
          <w:color w:val="auto"/>
        </w:rPr>
        <w:t xml:space="preserve"> Desenvolvido a partir de dados do Banco Central do Brasil — Departamento de Estatísticas</w:t>
      </w:r>
    </w:p>
    <w:p>
      <w:pPr>
        <w:sectPr>
          <w:pgSz w:w="11900" w:h="16838" w:orient="portrait"/>
          <w:cols w:equalWidth="0" w:num="1">
            <w:col w:w="9320"/>
          </w:cols>
          <w:pgMar w:left="1440" w:top="991" w:right="1146" w:bottom="1440" w:gutter="0" w:footer="0" w:header="0"/>
          <w:type w:val="continuous"/>
        </w:sectPr>
      </w:pPr>
    </w:p>
    <w:p>
      <w:pPr>
        <w:ind w:left="9060"/>
        <w:spacing w:after="0"/>
        <w:rPr>
          <w:sz w:val="20"/>
          <w:szCs w:val="20"/>
          <w:color w:val="auto"/>
        </w:rPr>
      </w:pPr>
      <w:r>
        <w:rPr>
          <w:rFonts w:ascii="Arial" w:cs="Arial" w:eastAsia="Arial" w:hAnsi="Arial"/>
          <w:sz w:val="24"/>
          <w:szCs w:val="24"/>
          <w:color w:val="auto"/>
        </w:rPr>
        <w:t>41</w:t>
      </w:r>
    </w:p>
    <w:p>
      <w:pPr>
        <w:spacing w:after="0" w:line="200" w:lineRule="exact"/>
        <w:rPr>
          <w:sz w:val="20"/>
          <w:szCs w:val="20"/>
          <w:color w:val="auto"/>
        </w:rPr>
      </w:pPr>
    </w:p>
    <w:p>
      <w:pPr>
        <w:spacing w:after="0" w:line="246" w:lineRule="exact"/>
        <w:rPr>
          <w:sz w:val="20"/>
          <w:szCs w:val="20"/>
          <w:color w:val="auto"/>
        </w:rPr>
      </w:pPr>
    </w:p>
    <w:p>
      <w:pPr>
        <w:jc w:val="both"/>
        <w:ind w:left="260" w:right="40" w:firstLine="850"/>
        <w:spacing w:after="0" w:line="447" w:lineRule="auto"/>
        <w:rPr>
          <w:sz w:val="20"/>
          <w:szCs w:val="20"/>
          <w:color w:val="auto"/>
        </w:rPr>
      </w:pPr>
      <w:r>
        <w:rPr>
          <w:rFonts w:ascii="Arial" w:cs="Arial" w:eastAsia="Arial" w:hAnsi="Arial"/>
          <w:sz w:val="23"/>
          <w:szCs w:val="23"/>
          <w:color w:val="auto"/>
        </w:rPr>
        <w:t>A Figura 17 traz a visualização da evolução do Índice de Custo de Crédito entre janeiro de 2013 e dezembro de 2020, com máxima de 22.98% em 2017, demonstrando queda significativa a partir de 2020, chegando a atingir 16.74% em agosto de 2020.</w:t>
      </w:r>
    </w:p>
    <w:p>
      <w:pPr>
        <w:spacing w:after="0" w:line="317" w:lineRule="exact"/>
        <w:rPr>
          <w:sz w:val="20"/>
          <w:szCs w:val="20"/>
          <w:color w:val="auto"/>
        </w:rPr>
      </w:pPr>
    </w:p>
    <w:p>
      <w:pPr>
        <w:ind w:left="260"/>
        <w:spacing w:after="0"/>
        <w:tabs>
          <w:tab w:leader="none" w:pos="820" w:val="left"/>
        </w:tabs>
        <w:rPr>
          <w:sz w:val="20"/>
          <w:szCs w:val="20"/>
          <w:color w:val="auto"/>
        </w:rPr>
      </w:pPr>
      <w:r>
        <w:rPr>
          <w:rFonts w:ascii="Arial" w:cs="Arial" w:eastAsia="Arial" w:hAnsi="Arial"/>
          <w:sz w:val="24"/>
          <w:szCs w:val="24"/>
          <w:color w:val="auto"/>
        </w:rPr>
        <w:t>2.3</w:t>
      </w:r>
      <w:r>
        <w:rPr>
          <w:sz w:val="20"/>
          <w:szCs w:val="20"/>
          <w:color w:val="auto"/>
        </w:rPr>
        <w:tab/>
      </w:r>
      <w:r>
        <w:rPr>
          <w:rFonts w:ascii="Arial" w:cs="Arial" w:eastAsia="Arial" w:hAnsi="Arial"/>
          <w:sz w:val="23"/>
          <w:szCs w:val="23"/>
          <w:color w:val="auto"/>
        </w:rPr>
        <w:t>ESTUDOS ANTERIORES</w:t>
      </w:r>
    </w:p>
    <w:p>
      <w:pPr>
        <w:spacing w:after="0" w:line="200" w:lineRule="exact"/>
        <w:rPr>
          <w:sz w:val="20"/>
          <w:szCs w:val="20"/>
          <w:color w:val="auto"/>
        </w:rPr>
      </w:pPr>
    </w:p>
    <w:p>
      <w:pPr>
        <w:spacing w:after="0" w:line="239" w:lineRule="exact"/>
        <w:rPr>
          <w:sz w:val="20"/>
          <w:szCs w:val="20"/>
          <w:color w:val="auto"/>
        </w:rPr>
      </w:pPr>
    </w:p>
    <w:p>
      <w:pPr>
        <w:jc w:val="both"/>
        <w:ind w:left="260" w:right="40" w:firstLine="856"/>
        <w:spacing w:after="0" w:line="421" w:lineRule="auto"/>
        <w:rPr>
          <w:sz w:val="20"/>
          <w:szCs w:val="20"/>
          <w:color w:val="auto"/>
        </w:rPr>
      </w:pPr>
      <w:r>
        <w:rPr>
          <w:rFonts w:ascii="Arial" w:cs="Arial" w:eastAsia="Arial" w:hAnsi="Arial"/>
          <w:sz w:val="24"/>
          <w:szCs w:val="24"/>
          <w:color w:val="auto"/>
        </w:rPr>
        <w:t>Na literatura acadêmica não existe uma teoria formalizada acerca do spread bancário (MAGALHÃES-TIMOTIO, 2018). Sendo verificados estudos empíricos que visam classificar, analisar e identificar variáveis microeconômicas e macroeconômicas influentes nesse indicador em diversas perspectivas.</w:t>
      </w:r>
    </w:p>
    <w:p>
      <w:pPr>
        <w:spacing w:after="0" w:line="96" w:lineRule="exact"/>
        <w:rPr>
          <w:sz w:val="20"/>
          <w:szCs w:val="20"/>
          <w:color w:val="auto"/>
        </w:rPr>
      </w:pPr>
    </w:p>
    <w:p>
      <w:pPr>
        <w:jc w:val="both"/>
        <w:ind w:left="260" w:firstLine="856"/>
        <w:spacing w:after="0" w:line="419" w:lineRule="auto"/>
        <w:rPr>
          <w:sz w:val="20"/>
          <w:szCs w:val="20"/>
          <w:color w:val="auto"/>
        </w:rPr>
      </w:pPr>
      <w:r>
        <w:rPr>
          <w:rFonts w:ascii="Arial" w:cs="Arial" w:eastAsia="Arial" w:hAnsi="Arial"/>
          <w:sz w:val="24"/>
          <w:szCs w:val="24"/>
          <w:color w:val="auto"/>
        </w:rPr>
        <w:t>A grande maioria dos estudos realizados no Brasil utilizam as medidas de spread bancário divulgadas pelo Banco Central, que remetem a uma perspectiva ex-ante, registrando as taxas planejadas na fase de concessão de crédito. E para as variáveis explicativas a grande maioria utiliza indicadores macroeconômicos (DANTAS, 2012)</w:t>
      </w:r>
    </w:p>
    <w:p>
      <w:pPr>
        <w:spacing w:after="0" w:line="101"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No ano de 1994, Aronovich (1994) realizou estudo econométrico para verificar a influência da inflação e nível de atividade econômica no spread bancário ex-ante, encontrando relação direta do spread com a inflação e indireta com o nível de atividade econômica.</w:t>
      </w:r>
    </w:p>
    <w:p>
      <w:pPr>
        <w:spacing w:after="0" w:line="96" w:lineRule="exact"/>
        <w:rPr>
          <w:sz w:val="20"/>
          <w:szCs w:val="20"/>
          <w:color w:val="auto"/>
        </w:rPr>
      </w:pPr>
    </w:p>
    <w:p>
      <w:pPr>
        <w:jc w:val="both"/>
        <w:ind w:left="260" w:firstLine="850"/>
        <w:spacing w:after="0" w:line="376" w:lineRule="auto"/>
        <w:rPr>
          <w:sz w:val="20"/>
          <w:szCs w:val="20"/>
          <w:color w:val="auto"/>
        </w:rPr>
      </w:pPr>
      <w:r>
        <w:rPr>
          <w:rFonts w:ascii="Arial" w:cs="Arial" w:eastAsia="Arial" w:hAnsi="Arial"/>
          <w:sz w:val="23"/>
          <w:szCs w:val="23"/>
          <w:color w:val="auto"/>
        </w:rPr>
        <w:t>Em estudo dos determinantes macroeconômicos do spread bancário ex-ante, Oreiro e Paulo (2006) utilizou modelo de regressão múltipla — conforme abaixo</w:t>
      </w:r>
      <w:r>
        <w:rPr>
          <w:rFonts w:ascii="Arial" w:cs="Arial" w:eastAsia="Arial" w:hAnsi="Arial"/>
          <w:sz w:val="30"/>
          <w:szCs w:val="30"/>
          <w:color w:val="auto"/>
        </w:rPr>
        <w:t xml:space="preserve"> </w:t>
      </w:r>
      <w:r>
        <w:rPr>
          <w:rFonts w:ascii="Arial" w:cs="Arial" w:eastAsia="Arial" w:hAnsi="Arial"/>
          <w:sz w:val="30"/>
          <w:szCs w:val="30"/>
          <w:color w:val="auto"/>
          <w:vertAlign w:val="superscript"/>
        </w:rPr>
        <w:t>10</w:t>
      </w:r>
    </w:p>
    <w:p>
      <w:pPr>
        <w:spacing w:after="0" w:line="2" w:lineRule="exact"/>
        <w:rPr>
          <w:sz w:val="20"/>
          <w:szCs w:val="20"/>
          <w:color w:val="auto"/>
        </w:rPr>
      </w:pPr>
    </w:p>
    <w:p>
      <w:pPr>
        <w:jc w:val="both"/>
        <w:ind w:left="260" w:right="40" w:hanging="30"/>
        <w:spacing w:after="0" w:line="421" w:lineRule="auto"/>
        <w:rPr>
          <w:sz w:val="20"/>
          <w:szCs w:val="20"/>
          <w:color w:val="auto"/>
        </w:rPr>
      </w:pPr>
      <w:r>
        <w:rPr>
          <w:rFonts w:ascii="Arial" w:cs="Arial" w:eastAsia="Arial" w:hAnsi="Arial"/>
          <w:sz w:val="24"/>
          <w:szCs w:val="24"/>
          <w:color w:val="auto"/>
        </w:rPr>
        <w:t>— para identificar as variáveis influentes. O estudo chegou ao resultado que a alta volatilidade e as taxas da Selic são um dos principais determinantes desse indicador no setor bancário brasileiro, identificando também a significância do nível de atividade industrial.</w:t>
      </w:r>
    </w:p>
    <w:p>
      <w:pPr>
        <w:spacing w:after="0" w:line="135" w:lineRule="exact"/>
        <w:rPr>
          <w:sz w:val="20"/>
          <w:szCs w:val="20"/>
          <w:color w:val="auto"/>
        </w:rPr>
      </w:pPr>
    </w:p>
    <w:p>
      <w:pPr>
        <w:ind w:left="820"/>
        <w:spacing w:after="0"/>
        <w:rPr>
          <w:sz w:val="20"/>
          <w:szCs w:val="20"/>
          <w:color w:val="auto"/>
        </w:rPr>
      </w:pPr>
      <w:r>
        <w:rPr>
          <w:rFonts w:ascii="Arial" w:cs="Arial" w:eastAsia="Arial" w:hAnsi="Arial"/>
          <w:sz w:val="24"/>
          <w:szCs w:val="24"/>
          <w:i w:val="1"/>
          <w:iCs w:val="1"/>
          <w:color w:val="auto"/>
        </w:rPr>
        <w:t>lnspread</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0</w:t>
      </w:r>
      <w:r>
        <w:rPr>
          <w:rFonts w:ascii="Arial" w:cs="Arial" w:eastAsia="Arial" w:hAnsi="Arial"/>
          <w:sz w:val="24"/>
          <w:szCs w:val="24"/>
          <w:i w:val="1"/>
          <w:iCs w:val="1"/>
          <w:color w:val="auto"/>
        </w:rPr>
        <w:t>trend</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w:t>
      </w:r>
      <w:r>
        <w:rPr>
          <w:rFonts w:ascii="Arial" w:cs="Arial" w:eastAsia="Arial" w:hAnsi="Arial"/>
          <w:sz w:val="24"/>
          <w:szCs w:val="24"/>
          <w:i w:val="1"/>
          <w:iCs w:val="1"/>
          <w:color w:val="auto"/>
        </w:rPr>
        <w:t>lnselic</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2</w:t>
      </w:r>
      <w:r>
        <w:rPr>
          <w:rFonts w:ascii="Arial" w:cs="Arial" w:eastAsia="Arial" w:hAnsi="Arial"/>
          <w:sz w:val="24"/>
          <w:szCs w:val="24"/>
          <w:i w:val="1"/>
          <w:iCs w:val="1"/>
          <w:color w:val="auto"/>
        </w:rPr>
        <w:t>lnadm</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3</w:t>
      </w:r>
      <w:r>
        <w:rPr>
          <w:rFonts w:ascii="Arial" w:cs="Arial" w:eastAsia="Arial" w:hAnsi="Arial"/>
          <w:sz w:val="24"/>
          <w:szCs w:val="24"/>
          <w:i w:val="1"/>
          <w:iCs w:val="1"/>
          <w:color w:val="auto"/>
        </w:rPr>
        <w:t>lnrisk</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4</w:t>
      </w:r>
      <w:r>
        <w:rPr>
          <w:rFonts w:ascii="Arial" w:cs="Arial" w:eastAsia="Arial" w:hAnsi="Arial"/>
          <w:sz w:val="24"/>
          <w:szCs w:val="24"/>
          <w:i w:val="1"/>
          <w:iCs w:val="1"/>
          <w:color w:val="auto"/>
        </w:rPr>
        <w:t>lnimp</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5</w:t>
      </w:r>
      <w:r>
        <w:rPr>
          <w:rFonts w:ascii="Arial" w:cs="Arial" w:eastAsia="Arial" w:hAnsi="Arial"/>
          <w:sz w:val="24"/>
          <w:szCs w:val="24"/>
          <w:i w:val="1"/>
          <w:iCs w:val="1"/>
          <w:color w:val="auto"/>
        </w:rPr>
        <w:t>lncomp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292735</wp:posOffset>
                </wp:positionV>
                <wp:extent cx="2302510"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23.05pt" to="194.25pt,23.05pt" o:allowincell="f" strokecolor="#000000" strokeweight="0.398pt"/>
            </w:pict>
          </mc:Fallback>
        </mc:AlternateContent>
      </w:r>
    </w:p>
    <w:p>
      <w:pPr>
        <w:spacing w:after="0" w:line="200" w:lineRule="exact"/>
        <w:rPr>
          <w:sz w:val="20"/>
          <w:szCs w:val="20"/>
          <w:color w:val="auto"/>
        </w:rPr>
      </w:pPr>
    </w:p>
    <w:p>
      <w:pPr>
        <w:spacing w:after="0" w:line="279" w:lineRule="exact"/>
        <w:rPr>
          <w:sz w:val="20"/>
          <w:szCs w:val="20"/>
          <w:color w:val="auto"/>
        </w:rPr>
      </w:pPr>
    </w:p>
    <w:p>
      <w:pPr>
        <w:jc w:val="both"/>
        <w:ind w:left="540" w:right="40" w:hanging="281"/>
        <w:spacing w:after="0" w:line="228" w:lineRule="auto"/>
        <w:tabs>
          <w:tab w:leader="none" w:pos="540" w:val="left"/>
        </w:tabs>
        <w:numPr>
          <w:ilvl w:val="0"/>
          <w:numId w:val="22"/>
        </w:numPr>
        <w:rPr>
          <w:rFonts w:ascii="Arial" w:cs="Arial" w:eastAsia="Arial" w:hAnsi="Arial"/>
          <w:sz w:val="28"/>
          <w:szCs w:val="28"/>
          <w:color w:val="auto"/>
          <w:vertAlign w:val="superscript"/>
        </w:rPr>
      </w:pPr>
      <w:r>
        <w:rPr>
          <w:rFonts w:ascii="Arial" w:cs="Arial" w:eastAsia="Arial" w:hAnsi="Arial"/>
          <w:sz w:val="20"/>
          <w:szCs w:val="20"/>
          <w:color w:val="auto"/>
        </w:rPr>
        <w:t>trend = tendência determinista que controla outras variáveis; selic = taxa Selic; adm = despesa administrativas; risk = proxy para o risco de crédito (spread do C-Bond sobre o rendimento dos títulos do Tesouro Americano de mesma maturidade; imp são impostos indiretos; comp = compulsório incidente sobre os depósitos a vista.</w:t>
      </w:r>
    </w:p>
    <w:p>
      <w:pPr>
        <w:sectPr>
          <w:pgSz w:w="11900" w:h="16838" w:orient="portrait"/>
          <w:cols w:equalWidth="0" w:num="1">
            <w:col w:w="9360"/>
          </w:cols>
          <w:pgMar w:left="1440" w:top="991" w:right="1106" w:bottom="631" w:gutter="0" w:footer="0" w:header="0"/>
        </w:sectPr>
      </w:pPr>
    </w:p>
    <w:p>
      <w:pPr>
        <w:ind w:left="9060"/>
        <w:spacing w:after="0"/>
        <w:rPr>
          <w:sz w:val="20"/>
          <w:szCs w:val="20"/>
          <w:color w:val="auto"/>
        </w:rPr>
      </w:pPr>
      <w:r>
        <w:rPr>
          <w:rFonts w:ascii="Arial" w:cs="Arial" w:eastAsia="Arial" w:hAnsi="Arial"/>
          <w:sz w:val="24"/>
          <w:szCs w:val="24"/>
          <w:color w:val="auto"/>
        </w:rPr>
        <w:t>42</w:t>
      </w:r>
    </w:p>
    <w:p>
      <w:pPr>
        <w:spacing w:after="0" w:line="200" w:lineRule="exact"/>
        <w:rPr>
          <w:sz w:val="20"/>
          <w:szCs w:val="20"/>
          <w:color w:val="auto"/>
        </w:rPr>
      </w:pPr>
    </w:p>
    <w:p>
      <w:pPr>
        <w:spacing w:after="0" w:line="246"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Em análise dos determinantes do spread bancário ex-post, Dantas (2012) utilizou modelo de dados microeconômicos em painel dinâmico (jan-2000 a out-2009), encontrando níveis significativos e diretos com o risco de crédito, concentração, ativi-dade econômica, e indireta com a participação de mercado, não encontrando níveis significativos com origem de capital e tipo de organismo.</w:t>
      </w:r>
    </w:p>
    <w:p>
      <w:pPr>
        <w:spacing w:after="0" w:line="101"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Outra observação em Dantas (2012) foi a forte relação do spread ex-post no momento atual com o momento anterior imediato, e que as instituições tendem a cobrar maiores taxas, quando maior o nível de concentração do mercado, não encontrando significância da Selic na determinação deste indicador.</w:t>
      </w:r>
    </w:p>
    <w:p>
      <w:pPr>
        <w:spacing w:after="0" w:line="96" w:lineRule="exact"/>
        <w:rPr>
          <w:sz w:val="20"/>
          <w:szCs w:val="20"/>
          <w:color w:val="auto"/>
        </w:rPr>
      </w:pPr>
    </w:p>
    <w:p>
      <w:pPr>
        <w:jc w:val="both"/>
        <w:ind w:left="260" w:firstLine="850"/>
        <w:spacing w:after="0" w:line="440" w:lineRule="auto"/>
        <w:rPr>
          <w:sz w:val="20"/>
          <w:szCs w:val="20"/>
          <w:color w:val="auto"/>
        </w:rPr>
      </w:pPr>
      <w:r>
        <w:rPr>
          <w:rFonts w:ascii="Arial" w:cs="Arial" w:eastAsia="Arial" w:hAnsi="Arial"/>
          <w:sz w:val="23"/>
          <w:szCs w:val="23"/>
          <w:color w:val="auto"/>
        </w:rPr>
        <w:t>Em Almeida (2013) foi desenvolvido modelo de dados macroeconômicos e mi-croeconômicos em painel de 64 instituições bancárias para avaliação de determinantes do spread ex-post no Brasil entre o primeiro trimestre de 2001 e o segundo trimestre de 2012, encontrando como relevantes as despesas administrativas, receita de serviços, índice de cobertura, PIB e o grau de concentração.</w:t>
      </w:r>
    </w:p>
    <w:p>
      <w:pPr>
        <w:spacing w:after="0" w:line="86"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Em Durigan et al. (2018) foi realizada análise dos fatores macroeconômicos e indicadores industriais que influenciam o spread bancário ex-ante, através de análise de regressão linear multivariada utilizando 18 variáveis em quatro modelos. Chegando a conclusão que o aumento da atividade industrial, a redução do desemprego e o consumo atuam na diminuição do spread bancário.</w:t>
      </w:r>
    </w:p>
    <w:p>
      <w:pPr>
        <w:spacing w:after="0" w:line="101" w:lineRule="exact"/>
        <w:rPr>
          <w:sz w:val="20"/>
          <w:szCs w:val="20"/>
          <w:color w:val="auto"/>
        </w:rPr>
      </w:pPr>
    </w:p>
    <w:p>
      <w:pPr>
        <w:jc w:val="both"/>
        <w:ind w:left="260" w:firstLine="850"/>
        <w:spacing w:after="0" w:line="402" w:lineRule="auto"/>
        <w:rPr>
          <w:sz w:val="20"/>
          <w:szCs w:val="20"/>
          <w:color w:val="auto"/>
        </w:rPr>
      </w:pPr>
      <w:r>
        <w:rPr>
          <w:rFonts w:ascii="Arial" w:cs="Arial" w:eastAsia="Arial" w:hAnsi="Arial"/>
          <w:sz w:val="24"/>
          <w:szCs w:val="24"/>
          <w:color w:val="auto"/>
        </w:rPr>
        <w:t>Os modelos desenvolvidos por Durigan et al. (2018) demonstraram que há uma relação significativa e direta entre spread e: inadimplência, IPIs (bens de capital, inter-mediários, semiduráveis, não duráveis e consumo duráveis), Selic, PIB, desemprego e o EMBI+</w:t>
      </w:r>
      <w:r>
        <w:rPr>
          <w:rFonts w:ascii="Arial" w:cs="Arial" w:eastAsia="Arial" w:hAnsi="Arial"/>
          <w:sz w:val="31"/>
          <w:szCs w:val="31"/>
          <w:color w:val="auto"/>
          <w:vertAlign w:val="superscript"/>
        </w:rPr>
        <w:t>11</w:t>
      </w:r>
      <w:r>
        <w:rPr>
          <w:rFonts w:ascii="Arial" w:cs="Arial" w:eastAsia="Arial" w:hAnsi="Arial"/>
          <w:sz w:val="24"/>
          <w:szCs w:val="24"/>
          <w:color w:val="auto"/>
        </w:rPr>
        <w:t>. As relações indiretas foram encontradas em: IPI (bens de consumo e geral), IPCA, saldo da carteira de crédito e índice de vendas no varejo.</w:t>
      </w:r>
    </w:p>
    <w:p>
      <w:pPr>
        <w:spacing w:after="0" w:line="64" w:lineRule="exact"/>
        <w:rPr>
          <w:sz w:val="20"/>
          <w:szCs w:val="20"/>
          <w:color w:val="auto"/>
        </w:rPr>
      </w:pPr>
    </w:p>
    <w:p>
      <w:pPr>
        <w:jc w:val="both"/>
        <w:ind w:left="260" w:firstLine="850"/>
        <w:spacing w:after="0" w:line="423" w:lineRule="auto"/>
        <w:rPr>
          <w:sz w:val="20"/>
          <w:szCs w:val="20"/>
          <w:color w:val="auto"/>
        </w:rPr>
      </w:pPr>
      <w:r>
        <w:rPr>
          <w:rFonts w:ascii="Arial" w:cs="Arial" w:eastAsia="Arial" w:hAnsi="Arial"/>
          <w:sz w:val="24"/>
          <w:szCs w:val="24"/>
          <w:color w:val="auto"/>
        </w:rPr>
        <w:t>O estudo de Magalhães-Timotio (2018) teve foco em abordagem microe-conômica ao buscar identificar a influência das variações de indicadores financeiros-contábeis no spread em 26 instituições bancárias, através de regressão em dados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148590</wp:posOffset>
                </wp:positionV>
                <wp:extent cx="2302510"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1.7pt" to="194.25pt,11.7pt" o:allowincell="f" strokecolor="#000000" strokeweight="0.398pt"/>
            </w:pict>
          </mc:Fallback>
        </mc:AlternateContent>
      </w:r>
    </w:p>
    <w:p>
      <w:pPr>
        <w:sectPr>
          <w:pgSz w:w="11900" w:h="16838" w:orient="portrait"/>
          <w:cols w:equalWidth="0" w:num="1">
            <w:col w:w="9360"/>
          </w:cols>
          <w:pgMar w:left="1440" w:top="991" w:right="1106" w:bottom="509" w:gutter="0" w:footer="0" w:header="0"/>
        </w:sectPr>
      </w:pPr>
    </w:p>
    <w:p>
      <w:pPr>
        <w:spacing w:after="0" w:line="207" w:lineRule="exact"/>
        <w:rPr>
          <w:sz w:val="20"/>
          <w:szCs w:val="20"/>
          <w:color w:val="auto"/>
        </w:rPr>
      </w:pPr>
    </w:p>
    <w:p>
      <w:pPr>
        <w:ind w:left="540" w:hanging="281"/>
        <w:spacing w:after="0"/>
        <w:tabs>
          <w:tab w:leader="none" w:pos="540" w:val="left"/>
        </w:tabs>
        <w:numPr>
          <w:ilvl w:val="0"/>
          <w:numId w:val="23"/>
        </w:numPr>
        <w:rPr>
          <w:rFonts w:ascii="Arial" w:cs="Arial" w:eastAsia="Arial" w:hAnsi="Arial"/>
          <w:sz w:val="27"/>
          <w:szCs w:val="27"/>
          <w:color w:val="auto"/>
          <w:vertAlign w:val="superscript"/>
        </w:rPr>
      </w:pPr>
      <w:r>
        <w:rPr>
          <w:rFonts w:ascii="Arial" w:cs="Arial" w:eastAsia="Arial" w:hAnsi="Arial"/>
          <w:sz w:val="19"/>
          <w:szCs w:val="19"/>
          <w:color w:val="auto"/>
        </w:rPr>
        <w:t>Medida de taxa de risco-país</w:t>
      </w:r>
    </w:p>
    <w:p>
      <w:pPr>
        <w:sectPr>
          <w:pgSz w:w="11900" w:h="16838" w:orient="portrait"/>
          <w:cols w:equalWidth="0" w:num="1">
            <w:col w:w="9360"/>
          </w:cols>
          <w:pgMar w:left="1440" w:top="991" w:right="1106" w:bottom="509" w:gutter="0" w:footer="0" w:header="0"/>
          <w:type w:val="continuous"/>
        </w:sectPr>
      </w:pPr>
    </w:p>
    <w:p>
      <w:pPr>
        <w:ind w:left="9060"/>
        <w:spacing w:after="0"/>
        <w:rPr>
          <w:sz w:val="20"/>
          <w:szCs w:val="20"/>
          <w:color w:val="auto"/>
        </w:rPr>
      </w:pPr>
      <w:r>
        <w:rPr>
          <w:rFonts w:ascii="Arial" w:cs="Arial" w:eastAsia="Arial" w:hAnsi="Arial"/>
          <w:sz w:val="24"/>
          <w:szCs w:val="24"/>
          <w:color w:val="auto"/>
        </w:rPr>
        <w:t>43</w:t>
      </w:r>
    </w:p>
    <w:p>
      <w:pPr>
        <w:spacing w:after="0" w:line="200" w:lineRule="exact"/>
        <w:rPr>
          <w:sz w:val="20"/>
          <w:szCs w:val="20"/>
          <w:color w:val="auto"/>
        </w:rPr>
      </w:pPr>
    </w:p>
    <w:p>
      <w:pPr>
        <w:spacing w:after="0" w:line="246" w:lineRule="exact"/>
        <w:rPr>
          <w:sz w:val="20"/>
          <w:szCs w:val="20"/>
          <w:color w:val="auto"/>
        </w:rPr>
      </w:pPr>
    </w:p>
    <w:p>
      <w:pPr>
        <w:ind w:left="260"/>
        <w:spacing w:after="0" w:line="431" w:lineRule="auto"/>
        <w:rPr>
          <w:sz w:val="20"/>
          <w:szCs w:val="20"/>
          <w:color w:val="auto"/>
        </w:rPr>
      </w:pPr>
      <w:r>
        <w:rPr>
          <w:rFonts w:ascii="Arial" w:cs="Arial" w:eastAsia="Arial" w:hAnsi="Arial"/>
          <w:sz w:val="24"/>
          <w:szCs w:val="24"/>
          <w:color w:val="auto"/>
        </w:rPr>
        <w:t>em painel. Encontrando relações significativas diretas com a alavancagem financeira, retorno sobre o patrimônio líquido, EBITDA, Ativo Total e eficiência.</w:t>
      </w:r>
    </w:p>
    <w:p>
      <w:pPr>
        <w:spacing w:after="0" w:line="85"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No modelo de Magalhães-Timotio (2018) foi encontrada relação significativa e indireta do spread com a participação de capital de terceiros e, não identificada relação significativa com a composição do endividamento, retorno sobre ativos e a liquidez corrente.</w:t>
      </w:r>
    </w:p>
    <w:p>
      <w:pPr>
        <w:spacing w:after="0" w:line="96" w:lineRule="exact"/>
        <w:rPr>
          <w:sz w:val="20"/>
          <w:szCs w:val="20"/>
          <w:color w:val="auto"/>
        </w:rPr>
      </w:pPr>
    </w:p>
    <w:p>
      <w:pPr>
        <w:jc w:val="both"/>
        <w:ind w:left="260" w:right="40" w:firstLine="850"/>
        <w:spacing w:after="0" w:line="442" w:lineRule="auto"/>
        <w:rPr>
          <w:sz w:val="20"/>
          <w:szCs w:val="20"/>
          <w:color w:val="auto"/>
        </w:rPr>
      </w:pPr>
      <w:r>
        <w:rPr>
          <w:rFonts w:ascii="Arial" w:cs="Arial" w:eastAsia="Arial" w:hAnsi="Arial"/>
          <w:sz w:val="23"/>
          <w:szCs w:val="23"/>
          <w:color w:val="auto"/>
        </w:rPr>
        <w:t>De acordo com Durigan et al. (2018) e Dantas (2012), existem poucos estudos inclinados para os determinantes do spread ex-post no Brasil, onde identificaram o estudos de Guimarães (2002). Foram identificados ainda os estudos acerca do spread ex-pots de Fipecafi (2004) (DANTAS, 2012) e Matias (2006) (LEAL, 2006).</w:t>
      </w:r>
    </w:p>
    <w:p>
      <w:pPr>
        <w:spacing w:after="0" w:line="84"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Em Fipecafi (2005) foi realizado estudo de apuração de resultados, ex-post, baseado em demonstrações contábeis entre o 1º semestre de 2005 de instituições que representavam 75,8% do ativo total e 76% do total de crédito. Chegando a um resultado médio de spread bruto de 7,6% para pessoa física e 3,2% para pessoa jurídica, e spread líquido de 1,6% para pessoa física e 0,5% para pessoa jurídica.</w:t>
      </w:r>
    </w:p>
    <w:p>
      <w:pPr>
        <w:spacing w:after="0" w:line="101" w:lineRule="exact"/>
        <w:rPr>
          <w:sz w:val="20"/>
          <w:szCs w:val="20"/>
          <w:color w:val="auto"/>
        </w:rPr>
      </w:pPr>
    </w:p>
    <w:p>
      <w:pPr>
        <w:jc w:val="both"/>
        <w:ind w:left="260" w:firstLine="850"/>
        <w:spacing w:after="0" w:line="442" w:lineRule="auto"/>
        <w:rPr>
          <w:sz w:val="20"/>
          <w:szCs w:val="20"/>
          <w:color w:val="auto"/>
        </w:rPr>
      </w:pPr>
      <w:r>
        <w:rPr>
          <w:rFonts w:ascii="Arial" w:cs="Arial" w:eastAsia="Arial" w:hAnsi="Arial"/>
          <w:sz w:val="23"/>
          <w:szCs w:val="23"/>
          <w:color w:val="auto"/>
        </w:rPr>
        <w:t>A Tabela 7 e a Tabela 8 trazem o resumo dos principais estudos empíricos sobre spread bancário ex-ante no Brasil, com resultados obtidos através de modelagem eco-nométrica com utilização de regressão, tomando variáveis micro e macroeconômicas como explanatórias e demonstrando a relação com o spread ex-ante.</w:t>
      </w:r>
    </w:p>
    <w:p>
      <w:pPr>
        <w:spacing w:after="0" w:line="84" w:lineRule="exact"/>
        <w:rPr>
          <w:sz w:val="20"/>
          <w:szCs w:val="20"/>
          <w:color w:val="auto"/>
        </w:rPr>
      </w:pPr>
    </w:p>
    <w:p>
      <w:pPr>
        <w:jc w:val="both"/>
        <w:ind w:left="260" w:firstLine="850"/>
        <w:spacing w:after="0" w:line="442" w:lineRule="auto"/>
        <w:rPr>
          <w:sz w:val="20"/>
          <w:szCs w:val="20"/>
          <w:color w:val="auto"/>
        </w:rPr>
      </w:pPr>
      <w:r>
        <w:rPr>
          <w:rFonts w:ascii="Arial" w:cs="Arial" w:eastAsia="Arial" w:hAnsi="Arial"/>
          <w:sz w:val="23"/>
          <w:szCs w:val="23"/>
          <w:color w:val="auto"/>
        </w:rPr>
        <w:t>Entre os estudos da Tabela 7 e Tabela 8 que avaliaram a Selic e as despesas administrativas, há um consenso que estas variáveis possuem uma relação de determi-nação direta com o spread ex-ante. Em três estudos que avaliaram impostos indiretos e receita de serviços foi encontrada relação direta com o spread ex-ante.</w:t>
      </w:r>
    </w:p>
    <w:p>
      <w:pPr>
        <w:spacing w:after="0" w:line="84"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Ainda nas Tabela 7 e a Tabela 8, dois estudos chegaram a resultados diferentes para a volatilidade da Selic. Os efeitos do IPCA foram testados em três estudos, os dois mais recentes encontraram uma relação indireta. Em três estudos que examinaram o IGP, dois encontram relação direta, um deles foi repetido posteriormente e encontrou relação indireta.</w:t>
      </w:r>
    </w:p>
    <w:p>
      <w:pPr>
        <w:sectPr>
          <w:pgSz w:w="11900" w:h="16838" w:orient="portrait"/>
          <w:cols w:equalWidth="0" w:num="1">
            <w:col w:w="9360"/>
          </w:cols>
          <w:pgMar w:left="1440" w:top="991" w:right="1106" w:bottom="436" w:gutter="0" w:footer="0" w:header="0"/>
        </w:sectPr>
      </w:pPr>
    </w:p>
    <w:p>
      <w:pPr>
        <w:ind w:left="9060"/>
        <w:spacing w:after="0"/>
        <w:rPr>
          <w:sz w:val="20"/>
          <w:szCs w:val="20"/>
          <w:color w:val="auto"/>
        </w:rPr>
      </w:pPr>
      <w:r>
        <w:rPr>
          <w:rFonts w:ascii="Arial" w:cs="Arial" w:eastAsia="Arial" w:hAnsi="Arial"/>
          <w:sz w:val="24"/>
          <w:szCs w:val="24"/>
          <w:color w:val="auto"/>
        </w:rPr>
        <w:t>44</w:t>
      </w:r>
    </w:p>
    <w:p>
      <w:pPr>
        <w:spacing w:after="0" w:line="200" w:lineRule="exact"/>
        <w:rPr>
          <w:sz w:val="20"/>
          <w:szCs w:val="20"/>
          <w:color w:val="auto"/>
        </w:rPr>
      </w:pPr>
    </w:p>
    <w:p>
      <w:pPr>
        <w:spacing w:after="0" w:line="215" w:lineRule="exact"/>
        <w:rPr>
          <w:sz w:val="20"/>
          <w:szCs w:val="20"/>
          <w:color w:val="auto"/>
        </w:rPr>
      </w:pPr>
    </w:p>
    <w:p>
      <w:pPr>
        <w:ind w:left="1160"/>
        <w:spacing w:after="0"/>
        <w:rPr>
          <w:sz w:val="20"/>
          <w:szCs w:val="20"/>
          <w:color w:val="auto"/>
        </w:rPr>
      </w:pPr>
      <w:r>
        <w:rPr>
          <w:rFonts w:ascii="Arial" w:cs="Arial" w:eastAsia="Arial" w:hAnsi="Arial"/>
          <w:sz w:val="22"/>
          <w:szCs w:val="22"/>
          <w:color w:val="auto"/>
        </w:rPr>
        <w:t>Tabela 7 – Resumo de estudos sobre o spread ex-ante no Brasil — Parte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154940</wp:posOffset>
                </wp:positionV>
                <wp:extent cx="507873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873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412.85pt,12.2pt" o:allowincell="f" strokecolor="#000000" strokeweight="0.936pt"/>
            </w:pict>
          </mc:Fallback>
        </mc:AlternateContent>
      </w:r>
    </w:p>
    <w:p>
      <w:pPr>
        <w:spacing w:after="0" w:line="278" w:lineRule="exact"/>
        <w:rPr>
          <w:sz w:val="20"/>
          <w:szCs w:val="20"/>
          <w:color w:val="auto"/>
        </w:rPr>
      </w:pPr>
    </w:p>
    <w:tbl>
      <w:tblPr>
        <w:tblLayout w:type="fixed"/>
        <w:tblInd w:w="260" w:type="dxa"/>
        <w:tblCellMar>
          <w:top w:w="0" w:type="dxa"/>
          <w:left w:w="0" w:type="dxa"/>
          <w:bottom w:w="0" w:type="dxa"/>
          <w:right w:w="0" w:type="dxa"/>
        </w:tblCellMar>
      </w:tblPr>
      <w:tr>
        <w:trPr>
          <w:trHeight w:val="239"/>
        </w:trPr>
        <w:tc>
          <w:tcPr>
            <w:tcW w:w="2480" w:type="dxa"/>
            <w:vAlign w:val="bottom"/>
          </w:tcPr>
          <w:p>
            <w:pPr>
              <w:ind w:left="120"/>
              <w:spacing w:after="0"/>
              <w:rPr>
                <w:sz w:val="20"/>
                <w:szCs w:val="20"/>
                <w:color w:val="auto"/>
              </w:rPr>
            </w:pPr>
            <w:r>
              <w:rPr>
                <w:rFonts w:ascii="Arial" w:cs="Arial" w:eastAsia="Arial" w:hAnsi="Arial"/>
                <w:sz w:val="20"/>
                <w:szCs w:val="20"/>
                <w:color w:val="auto"/>
              </w:rPr>
              <w:t>Variável</w:t>
            </w:r>
          </w:p>
        </w:tc>
        <w:tc>
          <w:tcPr>
            <w:tcW w:w="1300" w:type="dxa"/>
            <w:vAlign w:val="bottom"/>
          </w:tcPr>
          <w:p>
            <w:pPr>
              <w:ind w:left="140"/>
              <w:spacing w:after="0"/>
              <w:rPr>
                <w:sz w:val="20"/>
                <w:szCs w:val="20"/>
                <w:color w:val="auto"/>
              </w:rPr>
            </w:pPr>
            <w:r>
              <w:rPr>
                <w:rFonts w:ascii="Arial" w:cs="Arial" w:eastAsia="Arial" w:hAnsi="Arial"/>
                <w:sz w:val="20"/>
                <w:szCs w:val="20"/>
                <w:color w:val="auto"/>
              </w:rPr>
              <w:t>KOYAMA e</w:t>
            </w:r>
          </w:p>
        </w:tc>
        <w:tc>
          <w:tcPr>
            <w:tcW w:w="1500" w:type="dxa"/>
            <w:vAlign w:val="bottom"/>
          </w:tcPr>
          <w:p>
            <w:pPr>
              <w:ind w:left="220"/>
              <w:spacing w:after="0"/>
              <w:rPr>
                <w:sz w:val="20"/>
                <w:szCs w:val="20"/>
                <w:color w:val="auto"/>
              </w:rPr>
            </w:pPr>
            <w:r>
              <w:rPr>
                <w:rFonts w:ascii="Arial" w:cs="Arial" w:eastAsia="Arial" w:hAnsi="Arial"/>
                <w:sz w:val="20"/>
                <w:szCs w:val="20"/>
                <w:color w:val="auto"/>
                <w:w w:val="97"/>
              </w:rPr>
              <w:t>AFANASIEFF,</w:t>
            </w:r>
          </w:p>
        </w:tc>
        <w:tc>
          <w:tcPr>
            <w:tcW w:w="1360" w:type="dxa"/>
            <w:vAlign w:val="bottom"/>
          </w:tcPr>
          <w:p>
            <w:pPr>
              <w:ind w:left="80"/>
              <w:spacing w:after="0"/>
              <w:rPr>
                <w:sz w:val="20"/>
                <w:szCs w:val="20"/>
                <w:color w:val="auto"/>
              </w:rPr>
            </w:pPr>
            <w:r>
              <w:rPr>
                <w:rFonts w:ascii="Arial" w:cs="Arial" w:eastAsia="Arial" w:hAnsi="Arial"/>
                <w:sz w:val="20"/>
                <w:szCs w:val="20"/>
                <w:color w:val="auto"/>
                <w:w w:val="97"/>
              </w:rPr>
              <w:t>AFANASIEFF,</w:t>
            </w:r>
          </w:p>
        </w:tc>
        <w:tc>
          <w:tcPr>
            <w:tcW w:w="1380" w:type="dxa"/>
            <w:vAlign w:val="bottom"/>
          </w:tcPr>
          <w:p>
            <w:pPr>
              <w:ind w:left="100"/>
              <w:spacing w:after="0"/>
              <w:rPr>
                <w:sz w:val="20"/>
                <w:szCs w:val="20"/>
                <w:color w:val="auto"/>
              </w:rPr>
            </w:pPr>
            <w:r>
              <w:rPr>
                <w:rFonts w:ascii="Arial" w:cs="Arial" w:eastAsia="Arial" w:hAnsi="Arial"/>
                <w:sz w:val="20"/>
                <w:szCs w:val="20"/>
                <w:color w:val="auto"/>
              </w:rPr>
              <w:t>BIGNOTTO</w:t>
            </w:r>
          </w:p>
        </w:tc>
        <w:tc>
          <w:tcPr>
            <w:tcW w:w="0" w:type="dxa"/>
            <w:vAlign w:val="bottom"/>
          </w:tcPr>
          <w:p>
            <w:pPr>
              <w:spacing w:after="0"/>
              <w:rPr>
                <w:sz w:val="1"/>
                <w:szCs w:val="1"/>
                <w:color w:val="auto"/>
              </w:rPr>
            </w:pPr>
          </w:p>
        </w:tc>
      </w:tr>
      <w:tr>
        <w:trPr>
          <w:trHeight w:val="239"/>
        </w:trPr>
        <w:tc>
          <w:tcPr>
            <w:tcW w:w="2480" w:type="dxa"/>
            <w:vAlign w:val="bottom"/>
          </w:tcPr>
          <w:p>
            <w:pPr>
              <w:spacing w:after="0"/>
              <w:rPr>
                <w:sz w:val="20"/>
                <w:szCs w:val="20"/>
                <w:color w:val="auto"/>
              </w:rPr>
            </w:pPr>
          </w:p>
        </w:tc>
        <w:tc>
          <w:tcPr>
            <w:tcW w:w="1300" w:type="dxa"/>
            <w:vAlign w:val="bottom"/>
          </w:tcPr>
          <w:p>
            <w:pPr>
              <w:ind w:left="140"/>
              <w:spacing w:after="0"/>
              <w:rPr>
                <w:sz w:val="20"/>
                <w:szCs w:val="20"/>
                <w:color w:val="auto"/>
              </w:rPr>
            </w:pPr>
            <w:r>
              <w:rPr>
                <w:rFonts w:ascii="Arial" w:cs="Arial" w:eastAsia="Arial" w:hAnsi="Arial"/>
                <w:sz w:val="20"/>
                <w:szCs w:val="20"/>
                <w:color w:val="auto"/>
              </w:rPr>
              <w:t>NAKANE</w:t>
            </w:r>
          </w:p>
        </w:tc>
        <w:tc>
          <w:tcPr>
            <w:tcW w:w="1500" w:type="dxa"/>
            <w:vAlign w:val="bottom"/>
          </w:tcPr>
          <w:p>
            <w:pPr>
              <w:ind w:left="220"/>
              <w:spacing w:after="0"/>
              <w:rPr>
                <w:sz w:val="20"/>
                <w:szCs w:val="20"/>
                <w:color w:val="auto"/>
              </w:rPr>
            </w:pPr>
            <w:r>
              <w:rPr>
                <w:rFonts w:ascii="Arial" w:cs="Arial" w:eastAsia="Arial" w:hAnsi="Arial"/>
                <w:sz w:val="20"/>
                <w:szCs w:val="20"/>
                <w:color w:val="auto"/>
              </w:rPr>
              <w:t>LHAGER e</w:t>
            </w:r>
          </w:p>
        </w:tc>
        <w:tc>
          <w:tcPr>
            <w:tcW w:w="1360" w:type="dxa"/>
            <w:vAlign w:val="bottom"/>
          </w:tcPr>
          <w:p>
            <w:pPr>
              <w:ind w:left="100"/>
              <w:spacing w:after="0"/>
              <w:rPr>
                <w:sz w:val="20"/>
                <w:szCs w:val="20"/>
                <w:color w:val="auto"/>
              </w:rPr>
            </w:pPr>
            <w:r>
              <w:rPr>
                <w:rFonts w:ascii="Arial" w:cs="Arial" w:eastAsia="Arial" w:hAnsi="Arial"/>
                <w:sz w:val="20"/>
                <w:szCs w:val="20"/>
                <w:color w:val="auto"/>
              </w:rPr>
              <w:t>LHAGER e</w:t>
            </w:r>
          </w:p>
        </w:tc>
        <w:tc>
          <w:tcPr>
            <w:tcW w:w="1380" w:type="dxa"/>
            <w:vAlign w:val="bottom"/>
          </w:tcPr>
          <w:p>
            <w:pPr>
              <w:ind w:left="100"/>
              <w:spacing w:after="0"/>
              <w:rPr>
                <w:sz w:val="20"/>
                <w:szCs w:val="20"/>
                <w:color w:val="auto"/>
              </w:rPr>
            </w:pPr>
            <w:r>
              <w:rPr>
                <w:rFonts w:ascii="Arial" w:cs="Arial" w:eastAsia="Arial" w:hAnsi="Arial"/>
                <w:sz w:val="20"/>
                <w:szCs w:val="20"/>
                <w:color w:val="auto"/>
              </w:rPr>
              <w:t>e RODRI-</w:t>
            </w:r>
          </w:p>
        </w:tc>
        <w:tc>
          <w:tcPr>
            <w:tcW w:w="0" w:type="dxa"/>
            <w:vAlign w:val="bottom"/>
          </w:tcPr>
          <w:p>
            <w:pPr>
              <w:spacing w:after="0"/>
              <w:rPr>
                <w:sz w:val="1"/>
                <w:szCs w:val="1"/>
                <w:color w:val="auto"/>
              </w:rPr>
            </w:pPr>
          </w:p>
        </w:tc>
      </w:tr>
      <w:tr>
        <w:trPr>
          <w:trHeight w:val="239"/>
        </w:trPr>
        <w:tc>
          <w:tcPr>
            <w:tcW w:w="2480" w:type="dxa"/>
            <w:vAlign w:val="bottom"/>
          </w:tcPr>
          <w:p>
            <w:pPr>
              <w:spacing w:after="0"/>
              <w:rPr>
                <w:sz w:val="20"/>
                <w:szCs w:val="20"/>
                <w:color w:val="auto"/>
              </w:rPr>
            </w:pPr>
          </w:p>
        </w:tc>
        <w:tc>
          <w:tcPr>
            <w:tcW w:w="1300" w:type="dxa"/>
            <w:vAlign w:val="bottom"/>
          </w:tcPr>
          <w:p>
            <w:pPr>
              <w:ind w:left="140"/>
              <w:spacing w:after="0"/>
              <w:rPr>
                <w:sz w:val="20"/>
                <w:szCs w:val="20"/>
                <w:color w:val="auto"/>
              </w:rPr>
            </w:pPr>
            <w:r>
              <w:rPr>
                <w:rFonts w:ascii="Arial" w:cs="Arial" w:eastAsia="Arial" w:hAnsi="Arial"/>
                <w:sz w:val="20"/>
                <w:szCs w:val="20"/>
                <w:color w:val="auto"/>
              </w:rPr>
              <w:t>(2001a e</w:t>
            </w:r>
          </w:p>
        </w:tc>
        <w:tc>
          <w:tcPr>
            <w:tcW w:w="1500" w:type="dxa"/>
            <w:vAlign w:val="bottom"/>
          </w:tcPr>
          <w:p>
            <w:pPr>
              <w:ind w:left="220"/>
              <w:spacing w:after="0"/>
              <w:rPr>
                <w:sz w:val="20"/>
                <w:szCs w:val="20"/>
                <w:color w:val="auto"/>
              </w:rPr>
            </w:pPr>
            <w:r>
              <w:rPr>
                <w:rFonts w:ascii="Arial" w:cs="Arial" w:eastAsia="Arial" w:hAnsi="Arial"/>
                <w:sz w:val="20"/>
                <w:szCs w:val="20"/>
                <w:color w:val="auto"/>
              </w:rPr>
              <w:t>NAKANE</w:t>
            </w:r>
          </w:p>
        </w:tc>
        <w:tc>
          <w:tcPr>
            <w:tcW w:w="1360" w:type="dxa"/>
            <w:vAlign w:val="bottom"/>
          </w:tcPr>
          <w:p>
            <w:pPr>
              <w:ind w:left="100"/>
              <w:spacing w:after="0"/>
              <w:rPr>
                <w:sz w:val="20"/>
                <w:szCs w:val="20"/>
                <w:color w:val="auto"/>
              </w:rPr>
            </w:pPr>
            <w:r>
              <w:rPr>
                <w:rFonts w:ascii="Arial" w:cs="Arial" w:eastAsia="Arial" w:hAnsi="Arial"/>
                <w:sz w:val="20"/>
                <w:szCs w:val="20"/>
                <w:color w:val="auto"/>
              </w:rPr>
              <w:t>NAKANE</w:t>
            </w:r>
          </w:p>
        </w:tc>
        <w:tc>
          <w:tcPr>
            <w:tcW w:w="1380" w:type="dxa"/>
            <w:vAlign w:val="bottom"/>
          </w:tcPr>
          <w:p>
            <w:pPr>
              <w:ind w:left="100"/>
              <w:spacing w:after="0"/>
              <w:rPr>
                <w:sz w:val="20"/>
                <w:szCs w:val="20"/>
                <w:color w:val="auto"/>
              </w:rPr>
            </w:pPr>
            <w:r>
              <w:rPr>
                <w:rFonts w:ascii="Arial" w:cs="Arial" w:eastAsia="Arial" w:hAnsi="Arial"/>
                <w:sz w:val="20"/>
                <w:szCs w:val="20"/>
                <w:color w:val="auto"/>
              </w:rPr>
              <w:t>GUES</w:t>
            </w:r>
          </w:p>
        </w:tc>
        <w:tc>
          <w:tcPr>
            <w:tcW w:w="0" w:type="dxa"/>
            <w:vAlign w:val="bottom"/>
          </w:tcPr>
          <w:p>
            <w:pPr>
              <w:spacing w:after="0"/>
              <w:rPr>
                <w:sz w:val="1"/>
                <w:szCs w:val="1"/>
                <w:color w:val="auto"/>
              </w:rPr>
            </w:pPr>
          </w:p>
        </w:tc>
      </w:tr>
      <w:tr>
        <w:trPr>
          <w:trHeight w:val="246"/>
        </w:trPr>
        <w:tc>
          <w:tcPr>
            <w:tcW w:w="2480" w:type="dxa"/>
            <w:vAlign w:val="bottom"/>
          </w:tcPr>
          <w:p>
            <w:pPr>
              <w:spacing w:after="0"/>
              <w:rPr>
                <w:sz w:val="21"/>
                <w:szCs w:val="21"/>
                <w:color w:val="auto"/>
              </w:rPr>
            </w:pPr>
          </w:p>
        </w:tc>
        <w:tc>
          <w:tcPr>
            <w:tcW w:w="1300" w:type="dxa"/>
            <w:vAlign w:val="bottom"/>
          </w:tcPr>
          <w:p>
            <w:pPr>
              <w:ind w:left="140"/>
              <w:spacing w:after="0"/>
              <w:rPr>
                <w:sz w:val="20"/>
                <w:szCs w:val="20"/>
                <w:color w:val="auto"/>
              </w:rPr>
            </w:pPr>
            <w:r>
              <w:rPr>
                <w:rFonts w:ascii="Arial" w:cs="Arial" w:eastAsia="Arial" w:hAnsi="Arial"/>
                <w:sz w:val="20"/>
                <w:szCs w:val="20"/>
                <w:color w:val="auto"/>
              </w:rPr>
              <w:t>2001b)</w:t>
            </w:r>
          </w:p>
        </w:tc>
        <w:tc>
          <w:tcPr>
            <w:tcW w:w="1500" w:type="dxa"/>
            <w:vAlign w:val="bottom"/>
          </w:tcPr>
          <w:p>
            <w:pPr>
              <w:ind w:left="220"/>
              <w:spacing w:after="0"/>
              <w:rPr>
                <w:sz w:val="20"/>
                <w:szCs w:val="20"/>
                <w:color w:val="auto"/>
              </w:rPr>
            </w:pPr>
            <w:r>
              <w:rPr>
                <w:rFonts w:ascii="Arial" w:cs="Arial" w:eastAsia="Arial" w:hAnsi="Arial"/>
                <w:sz w:val="20"/>
                <w:szCs w:val="20"/>
                <w:color w:val="auto"/>
              </w:rPr>
              <w:t>(2001)</w:t>
            </w:r>
          </w:p>
        </w:tc>
        <w:tc>
          <w:tcPr>
            <w:tcW w:w="1360" w:type="dxa"/>
            <w:vAlign w:val="bottom"/>
          </w:tcPr>
          <w:p>
            <w:pPr>
              <w:ind w:left="80"/>
              <w:spacing w:after="0"/>
              <w:rPr>
                <w:sz w:val="20"/>
                <w:szCs w:val="20"/>
                <w:color w:val="auto"/>
              </w:rPr>
            </w:pPr>
            <w:r>
              <w:rPr>
                <w:rFonts w:ascii="Arial" w:cs="Arial" w:eastAsia="Arial" w:hAnsi="Arial"/>
                <w:sz w:val="20"/>
                <w:szCs w:val="20"/>
                <w:color w:val="auto"/>
              </w:rPr>
              <w:t>(2002)</w:t>
            </w:r>
          </w:p>
        </w:tc>
        <w:tc>
          <w:tcPr>
            <w:tcW w:w="1380" w:type="dxa"/>
            <w:vAlign w:val="bottom"/>
          </w:tcPr>
          <w:p>
            <w:pPr>
              <w:ind w:left="100"/>
              <w:spacing w:after="0"/>
              <w:rPr>
                <w:sz w:val="20"/>
                <w:szCs w:val="20"/>
                <w:color w:val="auto"/>
              </w:rPr>
            </w:pPr>
            <w:r>
              <w:rPr>
                <w:rFonts w:ascii="Arial" w:cs="Arial" w:eastAsia="Arial" w:hAnsi="Arial"/>
                <w:sz w:val="20"/>
                <w:szCs w:val="20"/>
                <w:color w:val="auto"/>
              </w:rPr>
              <w:t>(2006)</w:t>
            </w:r>
          </w:p>
        </w:tc>
        <w:tc>
          <w:tcPr>
            <w:tcW w:w="0" w:type="dxa"/>
            <w:vAlign w:val="bottom"/>
          </w:tcPr>
          <w:p>
            <w:pPr>
              <w:spacing w:after="0"/>
              <w:rPr>
                <w:sz w:val="1"/>
                <w:szCs w:val="1"/>
                <w:color w:val="auto"/>
              </w:rPr>
            </w:pPr>
          </w:p>
        </w:tc>
      </w:tr>
      <w:tr>
        <w:trPr>
          <w:trHeight w:val="27"/>
        </w:trPr>
        <w:tc>
          <w:tcPr>
            <w:tcW w:w="2480" w:type="dxa"/>
            <w:vAlign w:val="bottom"/>
            <w:tcBorders>
              <w:bottom w:val="single" w:sz="8" w:color="auto"/>
            </w:tcBorders>
          </w:tcPr>
          <w:p>
            <w:pPr>
              <w:spacing w:after="0"/>
              <w:rPr>
                <w:sz w:val="2"/>
                <w:szCs w:val="2"/>
                <w:color w:val="auto"/>
              </w:rPr>
            </w:pPr>
          </w:p>
        </w:tc>
        <w:tc>
          <w:tcPr>
            <w:tcW w:w="1300" w:type="dxa"/>
            <w:vAlign w:val="bottom"/>
            <w:tcBorders>
              <w:bottom w:val="single" w:sz="8" w:color="auto"/>
            </w:tcBorders>
          </w:tcPr>
          <w:p>
            <w:pPr>
              <w:spacing w:after="0"/>
              <w:rPr>
                <w:sz w:val="2"/>
                <w:szCs w:val="2"/>
                <w:color w:val="auto"/>
              </w:rPr>
            </w:pPr>
          </w:p>
        </w:tc>
        <w:tc>
          <w:tcPr>
            <w:tcW w:w="1500" w:type="dxa"/>
            <w:vAlign w:val="bottom"/>
            <w:tcBorders>
              <w:bottom w:val="single" w:sz="8" w:color="auto"/>
            </w:tcBorders>
          </w:tcPr>
          <w:p>
            <w:pPr>
              <w:spacing w:after="0"/>
              <w:rPr>
                <w:sz w:val="2"/>
                <w:szCs w:val="2"/>
                <w:color w:val="auto"/>
              </w:rPr>
            </w:pPr>
          </w:p>
        </w:tc>
        <w:tc>
          <w:tcPr>
            <w:tcW w:w="1360" w:type="dxa"/>
            <w:vAlign w:val="bottom"/>
            <w:tcBorders>
              <w:bottom w:val="single" w:sz="8" w:color="auto"/>
            </w:tcBorders>
          </w:tcPr>
          <w:p>
            <w:pPr>
              <w:spacing w:after="0"/>
              <w:rPr>
                <w:sz w:val="2"/>
                <w:szCs w:val="2"/>
                <w:color w:val="auto"/>
              </w:rPr>
            </w:pPr>
          </w:p>
        </w:tc>
        <w:tc>
          <w:tcPr>
            <w:tcW w:w="138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75"/>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Custos Administrativos</w:t>
            </w:r>
          </w:p>
        </w:tc>
        <w:tc>
          <w:tcPr>
            <w:tcW w:w="1300" w:type="dxa"/>
            <w:vAlign w:val="bottom"/>
          </w:tcPr>
          <w:p>
            <w:pPr>
              <w:ind w:left="120"/>
              <w:spacing w:after="0"/>
              <w:rPr>
                <w:sz w:val="20"/>
                <w:szCs w:val="20"/>
                <w:color w:val="auto"/>
              </w:rPr>
            </w:pPr>
            <w:r>
              <w:rPr>
                <w:rFonts w:ascii="Arial" w:cs="Arial" w:eastAsia="Arial" w:hAnsi="Arial"/>
                <w:sz w:val="20"/>
                <w:szCs w:val="20"/>
                <w:color w:val="auto"/>
              </w:rPr>
              <w:t>+</w:t>
            </w:r>
          </w:p>
        </w:tc>
        <w:tc>
          <w:tcPr>
            <w:tcW w:w="1500" w:type="dxa"/>
            <w:vAlign w:val="bottom"/>
          </w:tcPr>
          <w:p>
            <w:pPr>
              <w:ind w:left="180"/>
              <w:spacing w:after="0"/>
              <w:rPr>
                <w:sz w:val="20"/>
                <w:szCs w:val="20"/>
                <w:color w:val="auto"/>
              </w:rPr>
            </w:pPr>
            <w:r>
              <w:rPr>
                <w:rFonts w:ascii="Arial" w:cs="Arial" w:eastAsia="Arial" w:hAnsi="Arial"/>
                <w:sz w:val="20"/>
                <w:szCs w:val="20"/>
                <w:color w:val="auto"/>
              </w:rPr>
              <w:t>+</w:t>
            </w:r>
          </w:p>
        </w:tc>
        <w:tc>
          <w:tcPr>
            <w:tcW w:w="1360" w:type="dxa"/>
            <w:vAlign w:val="bottom"/>
          </w:tcPr>
          <w:p>
            <w:pPr>
              <w:ind w:left="60"/>
              <w:spacing w:after="0"/>
              <w:rPr>
                <w:sz w:val="20"/>
                <w:szCs w:val="20"/>
                <w:color w:val="auto"/>
              </w:rPr>
            </w:pPr>
            <w:r>
              <w:rPr>
                <w:rFonts w:ascii="Arial" w:cs="Arial" w:eastAsia="Arial" w:hAnsi="Arial"/>
                <w:sz w:val="20"/>
                <w:szCs w:val="20"/>
                <w:color w:val="auto"/>
              </w:rPr>
              <w:t>+</w:t>
            </w:r>
          </w:p>
        </w:tc>
        <w:tc>
          <w:tcPr>
            <w:tcW w:w="1380" w:type="dxa"/>
            <w:vAlign w:val="bottom"/>
          </w:tcPr>
          <w:p>
            <w:pPr>
              <w:ind w:left="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IGP</w:t>
            </w:r>
          </w:p>
        </w:tc>
        <w:tc>
          <w:tcPr>
            <w:tcW w:w="1300" w:type="dxa"/>
            <w:vAlign w:val="bottom"/>
          </w:tcPr>
          <w:p>
            <w:pPr>
              <w:ind w:left="120"/>
              <w:spacing w:after="0"/>
              <w:rPr>
                <w:sz w:val="20"/>
                <w:szCs w:val="20"/>
                <w:color w:val="auto"/>
              </w:rPr>
            </w:pPr>
            <w:r>
              <w:rPr>
                <w:rFonts w:ascii="Arial" w:cs="Arial" w:eastAsia="Arial" w:hAnsi="Arial"/>
                <w:sz w:val="20"/>
                <w:szCs w:val="20"/>
                <w:color w:val="auto"/>
              </w:rPr>
              <w:t>+</w:t>
            </w:r>
          </w:p>
        </w:tc>
        <w:tc>
          <w:tcPr>
            <w:tcW w:w="1500" w:type="dxa"/>
            <w:vAlign w:val="bottom"/>
          </w:tcPr>
          <w:p>
            <w:pPr>
              <w:ind w:left="180"/>
              <w:spacing w:after="0"/>
              <w:rPr>
                <w:sz w:val="20"/>
                <w:szCs w:val="20"/>
                <w:color w:val="auto"/>
              </w:rPr>
            </w:pPr>
            <w:r>
              <w:rPr>
                <w:rFonts w:ascii="Arial" w:cs="Arial" w:eastAsia="Arial" w:hAnsi="Arial"/>
                <w:sz w:val="20"/>
                <w:szCs w:val="20"/>
                <w:color w:val="auto"/>
              </w:rPr>
              <w:t>+</w:t>
            </w:r>
          </w:p>
        </w:tc>
        <w:tc>
          <w:tcPr>
            <w:tcW w:w="1360" w:type="dxa"/>
            <w:vAlign w:val="bottom"/>
          </w:tcPr>
          <w:p>
            <w:pPr>
              <w:ind w:left="60"/>
              <w:spacing w:after="0"/>
              <w:rPr>
                <w:sz w:val="20"/>
                <w:szCs w:val="20"/>
                <w:color w:val="auto"/>
              </w:rPr>
            </w:pPr>
            <w:r>
              <w:rPr>
                <w:rFonts w:ascii="Arial" w:cs="Arial" w:eastAsia="Arial" w:hAnsi="Arial"/>
                <w:sz w:val="20"/>
                <w:szCs w:val="20"/>
                <w:color w:val="auto"/>
              </w:rPr>
              <w:t>-</w:t>
            </w:r>
          </w:p>
        </w:tc>
        <w:tc>
          <w:tcPr>
            <w:tcW w:w="13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Impostos Indiretos</w:t>
            </w:r>
          </w:p>
        </w:tc>
        <w:tc>
          <w:tcPr>
            <w:tcW w:w="1300" w:type="dxa"/>
            <w:vAlign w:val="bottom"/>
          </w:tcPr>
          <w:p>
            <w:pPr>
              <w:ind w:left="120"/>
              <w:spacing w:after="0"/>
              <w:rPr>
                <w:sz w:val="20"/>
                <w:szCs w:val="20"/>
                <w:color w:val="auto"/>
              </w:rPr>
            </w:pPr>
            <w:r>
              <w:rPr>
                <w:rFonts w:ascii="Arial" w:cs="Arial" w:eastAsia="Arial" w:hAnsi="Arial"/>
                <w:sz w:val="20"/>
                <w:szCs w:val="20"/>
                <w:color w:val="auto"/>
              </w:rPr>
              <w:t>+</w:t>
            </w:r>
          </w:p>
        </w:tc>
        <w:tc>
          <w:tcPr>
            <w:tcW w:w="1500" w:type="dxa"/>
            <w:vAlign w:val="bottom"/>
          </w:tcPr>
          <w:p>
            <w:pPr>
              <w:ind w:left="180"/>
              <w:spacing w:after="0"/>
              <w:rPr>
                <w:sz w:val="20"/>
                <w:szCs w:val="20"/>
                <w:color w:val="auto"/>
              </w:rPr>
            </w:pPr>
            <w:r>
              <w:rPr>
                <w:rFonts w:ascii="Arial" w:cs="Arial" w:eastAsia="Arial" w:hAnsi="Arial"/>
                <w:sz w:val="20"/>
                <w:szCs w:val="20"/>
                <w:color w:val="auto"/>
              </w:rPr>
              <w:t>+</w:t>
            </w:r>
          </w:p>
        </w:tc>
        <w:tc>
          <w:tcPr>
            <w:tcW w:w="1360" w:type="dxa"/>
            <w:vAlign w:val="bottom"/>
          </w:tcPr>
          <w:p>
            <w:pPr>
              <w:ind w:left="60"/>
              <w:spacing w:after="0"/>
              <w:rPr>
                <w:sz w:val="20"/>
                <w:szCs w:val="20"/>
                <w:color w:val="auto"/>
              </w:rPr>
            </w:pPr>
            <w:r>
              <w:rPr>
                <w:rFonts w:ascii="Arial" w:cs="Arial" w:eastAsia="Arial" w:hAnsi="Arial"/>
                <w:sz w:val="20"/>
                <w:szCs w:val="20"/>
                <w:color w:val="auto"/>
              </w:rPr>
              <w:t>+</w:t>
            </w:r>
          </w:p>
        </w:tc>
        <w:tc>
          <w:tcPr>
            <w:tcW w:w="13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1"/>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Requerimento de</w:t>
            </w:r>
          </w:p>
        </w:tc>
        <w:tc>
          <w:tcPr>
            <w:tcW w:w="1300" w:type="dxa"/>
            <w:vAlign w:val="bottom"/>
          </w:tcPr>
          <w:p>
            <w:pPr>
              <w:ind w:left="120"/>
              <w:spacing w:after="0"/>
              <w:rPr>
                <w:sz w:val="20"/>
                <w:szCs w:val="20"/>
                <w:color w:val="auto"/>
              </w:rPr>
            </w:pPr>
            <w:r>
              <w:rPr>
                <w:rFonts w:ascii="Arial" w:cs="Arial" w:eastAsia="Arial" w:hAnsi="Arial"/>
                <w:sz w:val="20"/>
                <w:szCs w:val="20"/>
                <w:color w:val="auto"/>
              </w:rPr>
              <w:t>+</w:t>
            </w:r>
          </w:p>
        </w:tc>
        <w:tc>
          <w:tcPr>
            <w:tcW w:w="150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13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88"/>
        </w:trPr>
        <w:tc>
          <w:tcPr>
            <w:tcW w:w="2480" w:type="dxa"/>
            <w:vAlign w:val="bottom"/>
          </w:tcPr>
          <w:p>
            <w:pPr>
              <w:ind w:left="120"/>
              <w:spacing w:after="0" w:line="188" w:lineRule="exact"/>
              <w:rPr>
                <w:sz w:val="20"/>
                <w:szCs w:val="20"/>
                <w:color w:val="auto"/>
              </w:rPr>
            </w:pPr>
            <w:r>
              <w:rPr>
                <w:rFonts w:ascii="Arial" w:cs="Arial" w:eastAsia="Arial" w:hAnsi="Arial"/>
                <w:sz w:val="20"/>
                <w:szCs w:val="20"/>
                <w:b w:val="1"/>
                <w:bCs w:val="1"/>
                <w:color w:val="auto"/>
              </w:rPr>
              <w:t>Reserva</w:t>
            </w:r>
          </w:p>
        </w:tc>
        <w:tc>
          <w:tcPr>
            <w:tcW w:w="1300" w:type="dxa"/>
            <w:vAlign w:val="bottom"/>
            <w:vMerge w:val="restart"/>
          </w:tcPr>
          <w:p>
            <w:pPr>
              <w:ind w:left="120"/>
              <w:spacing w:after="0"/>
              <w:rPr>
                <w:sz w:val="20"/>
                <w:szCs w:val="20"/>
                <w:color w:val="auto"/>
              </w:rPr>
            </w:pPr>
            <w:r>
              <w:rPr>
                <w:rFonts w:ascii="Arial" w:cs="Arial" w:eastAsia="Arial" w:hAnsi="Arial"/>
                <w:sz w:val="20"/>
                <w:szCs w:val="20"/>
                <w:color w:val="auto"/>
              </w:rPr>
              <w:t>+</w:t>
            </w:r>
          </w:p>
        </w:tc>
        <w:tc>
          <w:tcPr>
            <w:tcW w:w="1500" w:type="dxa"/>
            <w:vAlign w:val="bottom"/>
            <w:vMerge w:val="restart"/>
          </w:tcPr>
          <w:p>
            <w:pPr>
              <w:ind w:left="180"/>
              <w:spacing w:after="0"/>
              <w:rPr>
                <w:sz w:val="20"/>
                <w:szCs w:val="20"/>
                <w:color w:val="auto"/>
              </w:rPr>
            </w:pPr>
            <w:r>
              <w:rPr>
                <w:rFonts w:ascii="Arial" w:cs="Arial" w:eastAsia="Arial" w:hAnsi="Arial"/>
                <w:sz w:val="20"/>
                <w:szCs w:val="20"/>
                <w:color w:val="auto"/>
              </w:rPr>
              <w:t>+</w:t>
            </w:r>
          </w:p>
        </w:tc>
        <w:tc>
          <w:tcPr>
            <w:tcW w:w="1360" w:type="dxa"/>
            <w:vAlign w:val="bottom"/>
            <w:vMerge w:val="restart"/>
          </w:tcPr>
          <w:p>
            <w:pPr>
              <w:ind w:left="60"/>
              <w:spacing w:after="0"/>
              <w:rPr>
                <w:sz w:val="20"/>
                <w:szCs w:val="20"/>
                <w:color w:val="auto"/>
              </w:rPr>
            </w:pPr>
            <w:r>
              <w:rPr>
                <w:rFonts w:ascii="Arial" w:cs="Arial" w:eastAsia="Arial" w:hAnsi="Arial"/>
                <w:sz w:val="20"/>
                <w:szCs w:val="20"/>
                <w:color w:val="auto"/>
              </w:rPr>
              <w:t>+</w:t>
            </w:r>
          </w:p>
        </w:tc>
        <w:tc>
          <w:tcPr>
            <w:tcW w:w="1380" w:type="dxa"/>
            <w:vAlign w:val="bottom"/>
            <w:vMerge w:val="restart"/>
          </w:tcPr>
          <w:p>
            <w:pPr>
              <w:ind w:left="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48"/>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Selic</w:t>
            </w:r>
          </w:p>
        </w:tc>
        <w:tc>
          <w:tcPr>
            <w:tcW w:w="1300" w:type="dxa"/>
            <w:vAlign w:val="bottom"/>
            <w:vMerge w:val="continue"/>
          </w:tcPr>
          <w:p>
            <w:pPr>
              <w:spacing w:after="0"/>
              <w:rPr>
                <w:sz w:val="21"/>
                <w:szCs w:val="21"/>
                <w:color w:val="auto"/>
              </w:rPr>
            </w:pPr>
          </w:p>
        </w:tc>
        <w:tc>
          <w:tcPr>
            <w:tcW w:w="1500" w:type="dxa"/>
            <w:vAlign w:val="bottom"/>
            <w:vMerge w:val="continue"/>
          </w:tcPr>
          <w:p>
            <w:pPr>
              <w:spacing w:after="0"/>
              <w:rPr>
                <w:sz w:val="21"/>
                <w:szCs w:val="21"/>
                <w:color w:val="auto"/>
              </w:rPr>
            </w:pPr>
          </w:p>
        </w:tc>
        <w:tc>
          <w:tcPr>
            <w:tcW w:w="1360" w:type="dxa"/>
            <w:vAlign w:val="bottom"/>
            <w:vMerge w:val="continue"/>
          </w:tcPr>
          <w:p>
            <w:pPr>
              <w:spacing w:after="0"/>
              <w:rPr>
                <w:sz w:val="21"/>
                <w:szCs w:val="21"/>
                <w:color w:val="auto"/>
              </w:rPr>
            </w:pPr>
          </w:p>
        </w:tc>
        <w:tc>
          <w:tcPr>
            <w:tcW w:w="138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327"/>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Spread Over Treasury</w:t>
            </w:r>
          </w:p>
        </w:tc>
        <w:tc>
          <w:tcPr>
            <w:tcW w:w="1300" w:type="dxa"/>
            <w:vAlign w:val="bottom"/>
          </w:tcPr>
          <w:p>
            <w:pPr>
              <w:ind w:left="120"/>
              <w:spacing w:after="0"/>
              <w:rPr>
                <w:sz w:val="20"/>
                <w:szCs w:val="20"/>
                <w:color w:val="auto"/>
              </w:rPr>
            </w:pPr>
            <w:r>
              <w:rPr>
                <w:rFonts w:ascii="Arial" w:cs="Arial" w:eastAsia="Arial" w:hAnsi="Arial"/>
                <w:sz w:val="20"/>
                <w:szCs w:val="20"/>
                <w:color w:val="auto"/>
              </w:rPr>
              <w:t>+</w:t>
            </w:r>
          </w:p>
        </w:tc>
        <w:tc>
          <w:tcPr>
            <w:tcW w:w="1500" w:type="dxa"/>
            <w:vAlign w:val="bottom"/>
          </w:tcPr>
          <w:p>
            <w:pPr>
              <w:spacing w:after="0"/>
              <w:rPr>
                <w:sz w:val="24"/>
                <w:szCs w:val="24"/>
                <w:color w:val="auto"/>
              </w:rPr>
            </w:pPr>
          </w:p>
        </w:tc>
        <w:tc>
          <w:tcPr>
            <w:tcW w:w="1360" w:type="dxa"/>
            <w:vAlign w:val="bottom"/>
          </w:tcPr>
          <w:p>
            <w:pPr>
              <w:ind w:left="60"/>
              <w:spacing w:after="0"/>
              <w:rPr>
                <w:sz w:val="20"/>
                <w:szCs w:val="20"/>
                <w:color w:val="auto"/>
              </w:rPr>
            </w:pPr>
            <w:r>
              <w:rPr>
                <w:rFonts w:ascii="Arial" w:cs="Arial" w:eastAsia="Arial" w:hAnsi="Arial"/>
                <w:sz w:val="20"/>
                <w:szCs w:val="20"/>
                <w:color w:val="auto"/>
              </w:rPr>
              <w:t>+</w:t>
            </w:r>
          </w:p>
        </w:tc>
        <w:tc>
          <w:tcPr>
            <w:tcW w:w="13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1"/>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Produto Industrial</w:t>
            </w:r>
          </w:p>
        </w:tc>
        <w:tc>
          <w:tcPr>
            <w:tcW w:w="1300" w:type="dxa"/>
            <w:vAlign w:val="bottom"/>
          </w:tcPr>
          <w:p>
            <w:pPr>
              <w:ind w:left="120"/>
              <w:spacing w:after="0"/>
              <w:rPr>
                <w:sz w:val="20"/>
                <w:szCs w:val="20"/>
                <w:color w:val="auto"/>
              </w:rPr>
            </w:pPr>
            <w:r>
              <w:rPr>
                <w:rFonts w:ascii="Arial" w:cs="Arial" w:eastAsia="Arial" w:hAnsi="Arial"/>
                <w:sz w:val="20"/>
                <w:szCs w:val="20"/>
                <w:color w:val="auto"/>
              </w:rPr>
              <w:t>-</w:t>
            </w:r>
          </w:p>
        </w:tc>
        <w:tc>
          <w:tcPr>
            <w:tcW w:w="150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1380" w:type="dxa"/>
            <w:vAlign w:val="bottom"/>
            <w:vMerge w:val="restart"/>
          </w:tcPr>
          <w:p>
            <w:pPr>
              <w:ind w:left="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Ativo Total</w:t>
            </w:r>
          </w:p>
        </w:tc>
        <w:tc>
          <w:tcPr>
            <w:tcW w:w="130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1360" w:type="dxa"/>
            <w:vAlign w:val="bottom"/>
            <w:vMerge w:val="restart"/>
          </w:tcPr>
          <w:p>
            <w:pPr>
              <w:ind w:left="60"/>
              <w:spacing w:after="0"/>
              <w:rPr>
                <w:sz w:val="20"/>
                <w:szCs w:val="20"/>
                <w:color w:val="auto"/>
              </w:rPr>
            </w:pPr>
            <w:r>
              <w:rPr>
                <w:rFonts w:ascii="Arial" w:cs="Arial" w:eastAsia="Arial" w:hAnsi="Arial"/>
                <w:sz w:val="20"/>
                <w:szCs w:val="20"/>
                <w:color w:val="auto"/>
              </w:rPr>
              <w:t>-</w:t>
            </w:r>
          </w:p>
        </w:tc>
        <w:tc>
          <w:tcPr>
            <w:tcW w:w="138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37"/>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Bancos Estrangeiros</w:t>
            </w:r>
          </w:p>
        </w:tc>
        <w:tc>
          <w:tcPr>
            <w:tcW w:w="130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1360" w:type="dxa"/>
            <w:vAlign w:val="bottom"/>
            <w:vMerge w:val="continue"/>
          </w:tcPr>
          <w:p>
            <w:pPr>
              <w:spacing w:after="0"/>
              <w:rPr>
                <w:sz w:val="20"/>
                <w:szCs w:val="20"/>
                <w:color w:val="auto"/>
              </w:rPr>
            </w:pPr>
          </w:p>
        </w:tc>
        <w:tc>
          <w:tcPr>
            <w:tcW w:w="13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50"/>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Captação sem juros</w:t>
            </w:r>
          </w:p>
        </w:tc>
        <w:tc>
          <w:tcPr>
            <w:tcW w:w="1300" w:type="dxa"/>
            <w:vAlign w:val="bottom"/>
          </w:tcPr>
          <w:p>
            <w:pPr>
              <w:spacing w:after="0"/>
              <w:rPr>
                <w:sz w:val="21"/>
                <w:szCs w:val="21"/>
                <w:color w:val="auto"/>
              </w:rPr>
            </w:pPr>
          </w:p>
        </w:tc>
        <w:tc>
          <w:tcPr>
            <w:tcW w:w="1500" w:type="dxa"/>
            <w:vAlign w:val="bottom"/>
          </w:tcPr>
          <w:p>
            <w:pPr>
              <w:ind w:left="180"/>
              <w:spacing w:after="0"/>
              <w:rPr>
                <w:sz w:val="20"/>
                <w:szCs w:val="20"/>
                <w:color w:val="auto"/>
              </w:rPr>
            </w:pPr>
            <w:r>
              <w:rPr>
                <w:rFonts w:ascii="Arial" w:cs="Arial" w:eastAsia="Arial" w:hAnsi="Arial"/>
                <w:sz w:val="20"/>
                <w:szCs w:val="20"/>
                <w:color w:val="auto"/>
              </w:rPr>
              <w:t>+</w:t>
            </w:r>
          </w:p>
        </w:tc>
        <w:tc>
          <w:tcPr>
            <w:tcW w:w="1360" w:type="dxa"/>
            <w:vAlign w:val="bottom"/>
          </w:tcPr>
          <w:p>
            <w:pPr>
              <w:ind w:left="60"/>
              <w:spacing w:after="0"/>
              <w:rPr>
                <w:sz w:val="20"/>
                <w:szCs w:val="20"/>
                <w:color w:val="auto"/>
              </w:rPr>
            </w:pPr>
            <w:r>
              <w:rPr>
                <w:rFonts w:ascii="Arial" w:cs="Arial" w:eastAsia="Arial" w:hAnsi="Arial"/>
                <w:sz w:val="20"/>
                <w:szCs w:val="20"/>
                <w:color w:val="auto"/>
              </w:rPr>
              <w:t>+</w:t>
            </w:r>
          </w:p>
        </w:tc>
        <w:tc>
          <w:tcPr>
            <w:tcW w:w="13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47"/>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Compulsório</w:t>
            </w:r>
          </w:p>
        </w:tc>
        <w:tc>
          <w:tcPr>
            <w:tcW w:w="1300" w:type="dxa"/>
            <w:vAlign w:val="bottom"/>
          </w:tcPr>
          <w:p>
            <w:pPr>
              <w:spacing w:after="0"/>
              <w:rPr>
                <w:sz w:val="24"/>
                <w:szCs w:val="24"/>
                <w:color w:val="auto"/>
              </w:rPr>
            </w:pPr>
          </w:p>
        </w:tc>
        <w:tc>
          <w:tcPr>
            <w:tcW w:w="1500" w:type="dxa"/>
            <w:vAlign w:val="bottom"/>
            <w:vMerge w:val="restart"/>
          </w:tcPr>
          <w:p>
            <w:pPr>
              <w:ind w:left="180"/>
              <w:spacing w:after="0"/>
              <w:rPr>
                <w:sz w:val="20"/>
                <w:szCs w:val="20"/>
                <w:color w:val="auto"/>
              </w:rPr>
            </w:pPr>
            <w:r>
              <w:rPr>
                <w:rFonts w:ascii="Arial" w:cs="Arial" w:eastAsia="Arial" w:hAnsi="Arial"/>
                <w:sz w:val="20"/>
                <w:szCs w:val="20"/>
                <w:color w:val="auto"/>
              </w:rPr>
              <w:t>-</w:t>
            </w:r>
          </w:p>
        </w:tc>
        <w:tc>
          <w:tcPr>
            <w:tcW w:w="1360" w:type="dxa"/>
            <w:vAlign w:val="bottom"/>
            <w:vMerge w:val="restart"/>
          </w:tcPr>
          <w:p>
            <w:pPr>
              <w:ind w:left="60"/>
              <w:spacing w:after="0"/>
              <w:rPr>
                <w:sz w:val="20"/>
                <w:szCs w:val="20"/>
                <w:color w:val="auto"/>
              </w:rPr>
            </w:pPr>
            <w:r>
              <w:rPr>
                <w:rFonts w:ascii="Arial" w:cs="Arial" w:eastAsia="Arial" w:hAnsi="Arial"/>
                <w:sz w:val="20"/>
                <w:szCs w:val="20"/>
                <w:color w:val="auto"/>
              </w:rPr>
              <w:t>+</w:t>
            </w:r>
          </w:p>
        </w:tc>
        <w:tc>
          <w:tcPr>
            <w:tcW w:w="1380" w:type="dxa"/>
            <w:vAlign w:val="bottom"/>
          </w:tcPr>
          <w:p>
            <w:pPr>
              <w:ind w:left="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Crescimento PIB</w:t>
            </w:r>
          </w:p>
        </w:tc>
        <w:tc>
          <w:tcPr>
            <w:tcW w:w="1300" w:type="dxa"/>
            <w:vAlign w:val="bottom"/>
          </w:tcPr>
          <w:p>
            <w:pPr>
              <w:spacing w:after="0"/>
              <w:rPr>
                <w:sz w:val="20"/>
                <w:szCs w:val="20"/>
                <w:color w:val="auto"/>
              </w:rPr>
            </w:pPr>
          </w:p>
        </w:tc>
        <w:tc>
          <w:tcPr>
            <w:tcW w:w="1500" w:type="dxa"/>
            <w:vAlign w:val="bottom"/>
            <w:vMerge w:val="continue"/>
          </w:tcPr>
          <w:p>
            <w:pPr>
              <w:spacing w:after="0"/>
              <w:rPr>
                <w:sz w:val="20"/>
                <w:szCs w:val="20"/>
                <w:color w:val="auto"/>
              </w:rPr>
            </w:pPr>
          </w:p>
        </w:tc>
        <w:tc>
          <w:tcPr>
            <w:tcW w:w="1360" w:type="dxa"/>
            <w:vAlign w:val="bottom"/>
            <w:vMerge w:val="continue"/>
          </w:tcPr>
          <w:p>
            <w:pPr>
              <w:spacing w:after="0"/>
              <w:rPr>
                <w:sz w:val="20"/>
                <w:szCs w:val="20"/>
                <w:color w:val="auto"/>
              </w:rPr>
            </w:pPr>
          </w:p>
        </w:tc>
        <w:tc>
          <w:tcPr>
            <w:tcW w:w="13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88"/>
        </w:trPr>
        <w:tc>
          <w:tcPr>
            <w:tcW w:w="2480" w:type="dxa"/>
            <w:vAlign w:val="bottom"/>
          </w:tcPr>
          <w:p>
            <w:pPr>
              <w:ind w:left="120"/>
              <w:spacing w:after="0" w:line="188" w:lineRule="exact"/>
              <w:rPr>
                <w:sz w:val="20"/>
                <w:szCs w:val="20"/>
                <w:color w:val="auto"/>
              </w:rPr>
            </w:pPr>
            <w:r>
              <w:rPr>
                <w:rFonts w:ascii="Arial" w:cs="Arial" w:eastAsia="Arial" w:hAnsi="Arial"/>
                <w:sz w:val="20"/>
                <w:szCs w:val="20"/>
                <w:b w:val="1"/>
                <w:bCs w:val="1"/>
                <w:color w:val="auto"/>
              </w:rPr>
              <w:t>Industrial</w:t>
            </w:r>
          </w:p>
        </w:tc>
        <w:tc>
          <w:tcPr>
            <w:tcW w:w="1300" w:type="dxa"/>
            <w:vAlign w:val="bottom"/>
          </w:tcPr>
          <w:p>
            <w:pPr>
              <w:spacing w:after="0"/>
              <w:rPr>
                <w:sz w:val="16"/>
                <w:szCs w:val="16"/>
                <w:color w:val="auto"/>
              </w:rPr>
            </w:pPr>
          </w:p>
        </w:tc>
        <w:tc>
          <w:tcPr>
            <w:tcW w:w="1500" w:type="dxa"/>
            <w:vAlign w:val="bottom"/>
          </w:tcPr>
          <w:p>
            <w:pPr>
              <w:spacing w:after="0"/>
              <w:rPr>
                <w:sz w:val="16"/>
                <w:szCs w:val="16"/>
                <w:color w:val="auto"/>
              </w:rPr>
            </w:pPr>
          </w:p>
        </w:tc>
        <w:tc>
          <w:tcPr>
            <w:tcW w:w="1360" w:type="dxa"/>
            <w:vAlign w:val="bottom"/>
          </w:tcPr>
          <w:p>
            <w:pPr>
              <w:spacing w:after="0"/>
              <w:rPr>
                <w:sz w:val="16"/>
                <w:szCs w:val="16"/>
                <w:color w:val="auto"/>
              </w:rPr>
            </w:pPr>
          </w:p>
        </w:tc>
        <w:tc>
          <w:tcPr>
            <w:tcW w:w="1380" w:type="dxa"/>
            <w:vAlign w:val="bottom"/>
            <w:vMerge w:val="restart"/>
          </w:tcPr>
          <w:p>
            <w:pPr>
              <w:ind w:left="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19"/>
        </w:trPr>
        <w:tc>
          <w:tcPr>
            <w:tcW w:w="2480" w:type="dxa"/>
            <w:vAlign w:val="bottom"/>
          </w:tcPr>
          <w:p>
            <w:pPr>
              <w:ind w:left="120"/>
              <w:spacing w:after="0" w:line="219" w:lineRule="exact"/>
              <w:rPr>
                <w:sz w:val="20"/>
                <w:szCs w:val="20"/>
                <w:color w:val="auto"/>
              </w:rPr>
            </w:pPr>
            <w:r>
              <w:rPr>
                <w:rFonts w:ascii="Arial" w:cs="Arial" w:eastAsia="Arial" w:hAnsi="Arial"/>
                <w:sz w:val="20"/>
                <w:szCs w:val="20"/>
                <w:b w:val="1"/>
                <w:bCs w:val="1"/>
                <w:color w:val="auto"/>
              </w:rPr>
              <w:t>IPCA</w:t>
            </w:r>
          </w:p>
        </w:tc>
        <w:tc>
          <w:tcPr>
            <w:tcW w:w="1300" w:type="dxa"/>
            <w:vAlign w:val="bottom"/>
          </w:tcPr>
          <w:p>
            <w:pPr>
              <w:spacing w:after="0"/>
              <w:rPr>
                <w:sz w:val="19"/>
                <w:szCs w:val="19"/>
                <w:color w:val="auto"/>
              </w:rPr>
            </w:pPr>
          </w:p>
        </w:tc>
        <w:tc>
          <w:tcPr>
            <w:tcW w:w="15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138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Liquidez</w:t>
            </w:r>
          </w:p>
        </w:tc>
        <w:tc>
          <w:tcPr>
            <w:tcW w:w="130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1380" w:type="dxa"/>
            <w:vAlign w:val="bottom"/>
          </w:tcPr>
          <w:p>
            <w:pPr>
              <w:ind w:left="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50"/>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Market Share</w:t>
            </w:r>
          </w:p>
        </w:tc>
        <w:tc>
          <w:tcPr>
            <w:tcW w:w="1300" w:type="dxa"/>
            <w:vAlign w:val="bottom"/>
          </w:tcPr>
          <w:p>
            <w:pPr>
              <w:spacing w:after="0"/>
              <w:rPr>
                <w:sz w:val="21"/>
                <w:szCs w:val="21"/>
                <w:color w:val="auto"/>
              </w:rPr>
            </w:pPr>
          </w:p>
        </w:tc>
        <w:tc>
          <w:tcPr>
            <w:tcW w:w="1500" w:type="dxa"/>
            <w:vAlign w:val="bottom"/>
          </w:tcPr>
          <w:p>
            <w:pPr>
              <w:spacing w:after="0"/>
              <w:rPr>
                <w:sz w:val="21"/>
                <w:szCs w:val="21"/>
                <w:color w:val="auto"/>
              </w:rPr>
            </w:pPr>
          </w:p>
        </w:tc>
        <w:tc>
          <w:tcPr>
            <w:tcW w:w="1360" w:type="dxa"/>
            <w:vAlign w:val="bottom"/>
          </w:tcPr>
          <w:p>
            <w:pPr>
              <w:spacing w:after="0"/>
              <w:rPr>
                <w:sz w:val="21"/>
                <w:szCs w:val="21"/>
                <w:color w:val="auto"/>
              </w:rPr>
            </w:pPr>
          </w:p>
        </w:tc>
        <w:tc>
          <w:tcPr>
            <w:tcW w:w="1380" w:type="dxa"/>
            <w:vAlign w:val="bottom"/>
          </w:tcPr>
          <w:p>
            <w:pPr>
              <w:ind w:left="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345"/>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Receita Serviços</w:t>
            </w:r>
          </w:p>
        </w:tc>
        <w:tc>
          <w:tcPr>
            <w:tcW w:w="1300" w:type="dxa"/>
            <w:vAlign w:val="bottom"/>
          </w:tcPr>
          <w:p>
            <w:pPr>
              <w:spacing w:after="0"/>
              <w:rPr>
                <w:sz w:val="24"/>
                <w:szCs w:val="24"/>
                <w:color w:val="auto"/>
              </w:rPr>
            </w:pPr>
          </w:p>
        </w:tc>
        <w:tc>
          <w:tcPr>
            <w:tcW w:w="1500" w:type="dxa"/>
            <w:vAlign w:val="bottom"/>
          </w:tcPr>
          <w:p>
            <w:pPr>
              <w:ind w:left="180"/>
              <w:spacing w:after="0"/>
              <w:rPr>
                <w:sz w:val="20"/>
                <w:szCs w:val="20"/>
                <w:color w:val="auto"/>
              </w:rPr>
            </w:pPr>
            <w:r>
              <w:rPr>
                <w:rFonts w:ascii="Arial" w:cs="Arial" w:eastAsia="Arial" w:hAnsi="Arial"/>
                <w:sz w:val="20"/>
                <w:szCs w:val="20"/>
                <w:color w:val="auto"/>
              </w:rPr>
              <w:t>+</w:t>
            </w:r>
          </w:p>
        </w:tc>
        <w:tc>
          <w:tcPr>
            <w:tcW w:w="1360" w:type="dxa"/>
            <w:vAlign w:val="bottom"/>
          </w:tcPr>
          <w:p>
            <w:pPr>
              <w:ind w:left="60"/>
              <w:spacing w:after="0"/>
              <w:rPr>
                <w:sz w:val="20"/>
                <w:szCs w:val="20"/>
                <w:color w:val="auto"/>
              </w:rPr>
            </w:pPr>
            <w:r>
              <w:rPr>
                <w:rFonts w:ascii="Arial" w:cs="Arial" w:eastAsia="Arial" w:hAnsi="Arial"/>
                <w:sz w:val="20"/>
                <w:szCs w:val="20"/>
                <w:color w:val="auto"/>
              </w:rPr>
              <w:t>+</w:t>
            </w:r>
          </w:p>
        </w:tc>
        <w:tc>
          <w:tcPr>
            <w:tcW w:w="1380" w:type="dxa"/>
            <w:vAlign w:val="bottom"/>
          </w:tcPr>
          <w:p>
            <w:pPr>
              <w:ind w:left="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Risco Crédito</w:t>
            </w:r>
          </w:p>
        </w:tc>
        <w:tc>
          <w:tcPr>
            <w:tcW w:w="130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1380" w:type="dxa"/>
            <w:vAlign w:val="bottom"/>
          </w:tcPr>
          <w:p>
            <w:pPr>
              <w:ind w:left="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41"/>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Risco Juros</w:t>
            </w:r>
          </w:p>
        </w:tc>
        <w:tc>
          <w:tcPr>
            <w:tcW w:w="1300" w:type="dxa"/>
            <w:vAlign w:val="bottom"/>
          </w:tcPr>
          <w:p>
            <w:pPr>
              <w:spacing w:after="0"/>
              <w:rPr>
                <w:sz w:val="20"/>
                <w:szCs w:val="20"/>
                <w:color w:val="auto"/>
              </w:rPr>
            </w:pPr>
          </w:p>
        </w:tc>
        <w:tc>
          <w:tcPr>
            <w:tcW w:w="1500" w:type="dxa"/>
            <w:vAlign w:val="bottom"/>
            <w:vMerge w:val="restart"/>
          </w:tcPr>
          <w:p>
            <w:pPr>
              <w:ind w:left="180"/>
              <w:spacing w:after="0"/>
              <w:rPr>
                <w:sz w:val="20"/>
                <w:szCs w:val="20"/>
                <w:color w:val="auto"/>
              </w:rPr>
            </w:pPr>
            <w:r>
              <w:rPr>
                <w:rFonts w:ascii="Arial" w:cs="Arial" w:eastAsia="Arial" w:hAnsi="Arial"/>
                <w:sz w:val="20"/>
                <w:szCs w:val="20"/>
                <w:color w:val="auto"/>
              </w:rPr>
              <w:t>-</w:t>
            </w:r>
          </w:p>
        </w:tc>
        <w:tc>
          <w:tcPr>
            <w:tcW w:w="1360" w:type="dxa"/>
            <w:vAlign w:val="bottom"/>
          </w:tcPr>
          <w:p>
            <w:pPr>
              <w:spacing w:after="0"/>
              <w:rPr>
                <w:sz w:val="20"/>
                <w:szCs w:val="20"/>
                <w:color w:val="auto"/>
              </w:rPr>
            </w:pPr>
          </w:p>
        </w:tc>
        <w:tc>
          <w:tcPr>
            <w:tcW w:w="1380" w:type="dxa"/>
            <w:vAlign w:val="bottom"/>
          </w:tcPr>
          <w:p>
            <w:pPr>
              <w:ind w:left="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48"/>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Volatilidade da Selic</w:t>
            </w:r>
          </w:p>
        </w:tc>
        <w:tc>
          <w:tcPr>
            <w:tcW w:w="1300" w:type="dxa"/>
            <w:vAlign w:val="bottom"/>
          </w:tcPr>
          <w:p>
            <w:pPr>
              <w:spacing w:after="0"/>
              <w:rPr>
                <w:sz w:val="21"/>
                <w:szCs w:val="21"/>
                <w:color w:val="auto"/>
              </w:rPr>
            </w:pPr>
          </w:p>
        </w:tc>
        <w:tc>
          <w:tcPr>
            <w:tcW w:w="1500" w:type="dxa"/>
            <w:vAlign w:val="bottom"/>
            <w:vMerge w:val="continue"/>
          </w:tcPr>
          <w:p>
            <w:pPr>
              <w:spacing w:after="0"/>
              <w:rPr>
                <w:sz w:val="21"/>
                <w:szCs w:val="21"/>
                <w:color w:val="auto"/>
              </w:rPr>
            </w:pPr>
          </w:p>
        </w:tc>
        <w:tc>
          <w:tcPr>
            <w:tcW w:w="1360" w:type="dxa"/>
            <w:vAlign w:val="bottom"/>
          </w:tcPr>
          <w:p>
            <w:pPr>
              <w:spacing w:after="0"/>
              <w:rPr>
                <w:sz w:val="21"/>
                <w:szCs w:val="21"/>
                <w:color w:val="auto"/>
              </w:rPr>
            </w:pPr>
          </w:p>
        </w:tc>
        <w:tc>
          <w:tcPr>
            <w:tcW w:w="138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39370</wp:posOffset>
                </wp:positionV>
                <wp:extent cx="507873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873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3.1pt" to="412.85pt,3.1pt" o:allowincell="f" strokecolor="#000000" strokeweight="0.936pt"/>
            </w:pict>
          </mc:Fallback>
        </mc:AlternateContent>
      </w:r>
    </w:p>
    <w:p>
      <w:pPr>
        <w:spacing w:after="0" w:line="54" w:lineRule="exact"/>
        <w:rPr>
          <w:sz w:val="20"/>
          <w:szCs w:val="20"/>
          <w:color w:val="auto"/>
        </w:rPr>
      </w:pPr>
    </w:p>
    <w:p>
      <w:pPr>
        <w:jc w:val="center"/>
        <w:ind w:right="-21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das fontes citadas</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A Tabela 9 traz o resumo dos estudos empíricos dos determinantes do spread ex-post no Brasil, por meio de modelos econométricos utilizando regressão. Destaca-se que, entre os estudos, dois encontraram significância de influência direta com o grau de concentração e o spread ex-post. E dois dos estudos chegaram a resultados opostos para os de posição de market share e a variável dependente.</w:t>
      </w:r>
    </w:p>
    <w:p>
      <w:pPr>
        <w:spacing w:after="0" w:line="101"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Este capítulo verificou os principais conceitos, características e estudos acerca do spread bancário no Brasil, identificando as óticas de análise por evolução, com-posição e determinantes através da abrangência da amostra, conteúdo e origem da informação e por dimensão por tipo de empréstimo e tomador.</w:t>
      </w:r>
    </w:p>
    <w:p>
      <w:pPr>
        <w:spacing w:after="0" w:line="96"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Ainda foi verificado que as maiores limitações estão na dificuldade de desagre-gação de informações para uma análise mais aprofundada, prejudicando as análises de determinantes do spread ex-post. E a maioria dos estudos mais significativos estão relacionados ao spread ex-ante</w:t>
      </w:r>
    </w:p>
    <w:p>
      <w:pPr>
        <w:sectPr>
          <w:pgSz w:w="11900" w:h="16838" w:orient="portrait"/>
          <w:cols w:equalWidth="0" w:num="1">
            <w:col w:w="9360"/>
          </w:cols>
          <w:pgMar w:left="1440" w:top="991" w:right="1106" w:bottom="306" w:gutter="0" w:footer="0" w:header="0"/>
        </w:sectPr>
      </w:pPr>
    </w:p>
    <w:p>
      <w:pPr>
        <w:jc w:val="right"/>
        <w:spacing w:after="0"/>
        <w:rPr>
          <w:sz w:val="20"/>
          <w:szCs w:val="20"/>
          <w:color w:val="auto"/>
        </w:rPr>
      </w:pPr>
      <w:r>
        <w:rPr>
          <w:rFonts w:ascii="Arial" w:cs="Arial" w:eastAsia="Arial" w:hAnsi="Arial"/>
          <w:sz w:val="24"/>
          <w:szCs w:val="24"/>
          <w:color w:val="auto"/>
        </w:rPr>
        <w:t>45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1160"/>
        <w:spacing w:after="0"/>
        <w:rPr>
          <w:sz w:val="20"/>
          <w:szCs w:val="20"/>
          <w:color w:val="auto"/>
        </w:rPr>
      </w:pPr>
      <w:r>
        <w:rPr>
          <w:rFonts w:ascii="Arial" w:cs="Arial" w:eastAsia="Arial" w:hAnsi="Arial"/>
          <w:sz w:val="22"/>
          <w:szCs w:val="22"/>
          <w:color w:val="auto"/>
        </w:rPr>
        <w:t>Tabela 8 – Resumo de estudos sobre o spread ex-ante no Brasil — Parte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154940</wp:posOffset>
                </wp:positionV>
                <wp:extent cx="528701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870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429.25pt,12.2pt" o:allowincell="f" strokecolor="#000000" strokeweight="0.936pt"/>
            </w:pict>
          </mc:Fallback>
        </mc:AlternateContent>
      </w:r>
    </w:p>
    <w:p>
      <w:pPr>
        <w:spacing w:after="0" w:line="278" w:lineRule="exact"/>
        <w:rPr>
          <w:sz w:val="20"/>
          <w:szCs w:val="20"/>
          <w:color w:val="auto"/>
        </w:rPr>
      </w:pPr>
    </w:p>
    <w:tbl>
      <w:tblPr>
        <w:tblLayout w:type="fixed"/>
        <w:tblInd w:w="260" w:type="dxa"/>
        <w:tblCellMar>
          <w:top w:w="0" w:type="dxa"/>
          <w:left w:w="0" w:type="dxa"/>
          <w:bottom w:w="0" w:type="dxa"/>
          <w:right w:w="0" w:type="dxa"/>
        </w:tblCellMar>
      </w:tblPr>
      <w:tr>
        <w:trPr>
          <w:trHeight w:val="239"/>
        </w:trPr>
        <w:tc>
          <w:tcPr>
            <w:tcW w:w="2420" w:type="dxa"/>
            <w:vAlign w:val="bottom"/>
          </w:tcPr>
          <w:p>
            <w:pPr>
              <w:ind w:left="120"/>
              <w:spacing w:after="0"/>
              <w:rPr>
                <w:sz w:val="20"/>
                <w:szCs w:val="20"/>
                <w:color w:val="auto"/>
              </w:rPr>
            </w:pPr>
            <w:r>
              <w:rPr>
                <w:rFonts w:ascii="Arial" w:cs="Arial" w:eastAsia="Arial" w:hAnsi="Arial"/>
                <w:sz w:val="20"/>
                <w:szCs w:val="20"/>
                <w:color w:val="auto"/>
              </w:rPr>
              <w:t>Variável</w:t>
            </w:r>
          </w:p>
        </w:tc>
        <w:tc>
          <w:tcPr>
            <w:tcW w:w="1800" w:type="dxa"/>
            <w:vAlign w:val="bottom"/>
          </w:tcPr>
          <w:p>
            <w:pPr>
              <w:ind w:left="200"/>
              <w:spacing w:after="0"/>
              <w:rPr>
                <w:sz w:val="20"/>
                <w:szCs w:val="20"/>
                <w:color w:val="auto"/>
              </w:rPr>
            </w:pPr>
            <w:r>
              <w:rPr>
                <w:rFonts w:ascii="Arial" w:cs="Arial" w:eastAsia="Arial" w:hAnsi="Arial"/>
                <w:sz w:val="20"/>
                <w:szCs w:val="20"/>
                <w:color w:val="auto"/>
              </w:rPr>
              <w:t>OREIRO et al.</w:t>
            </w:r>
          </w:p>
        </w:tc>
        <w:tc>
          <w:tcPr>
            <w:tcW w:w="2080" w:type="dxa"/>
            <w:vAlign w:val="bottom"/>
          </w:tcPr>
          <w:p>
            <w:pPr>
              <w:ind w:left="340"/>
              <w:spacing w:after="0"/>
              <w:rPr>
                <w:sz w:val="20"/>
                <w:szCs w:val="20"/>
                <w:color w:val="auto"/>
              </w:rPr>
            </w:pPr>
            <w:r>
              <w:rPr>
                <w:rFonts w:ascii="Arial" w:cs="Arial" w:eastAsia="Arial" w:hAnsi="Arial"/>
                <w:sz w:val="20"/>
                <w:szCs w:val="20"/>
                <w:color w:val="auto"/>
              </w:rPr>
              <w:t>DURIGAN (2018)</w:t>
            </w:r>
          </w:p>
        </w:tc>
        <w:tc>
          <w:tcPr>
            <w:tcW w:w="2040" w:type="dxa"/>
            <w:vAlign w:val="bottom"/>
          </w:tcPr>
          <w:p>
            <w:pPr>
              <w:ind w:left="200"/>
              <w:spacing w:after="0"/>
              <w:rPr>
                <w:sz w:val="20"/>
                <w:szCs w:val="20"/>
                <w:color w:val="auto"/>
              </w:rPr>
            </w:pPr>
            <w:r>
              <w:rPr>
                <w:rFonts w:ascii="Arial" w:cs="Arial" w:eastAsia="Arial" w:hAnsi="Arial"/>
                <w:sz w:val="20"/>
                <w:szCs w:val="20"/>
                <w:color w:val="auto"/>
              </w:rPr>
              <w:t>ARONOVICH</w:t>
            </w:r>
          </w:p>
        </w:tc>
        <w:tc>
          <w:tcPr>
            <w:tcW w:w="0" w:type="dxa"/>
            <w:vAlign w:val="bottom"/>
          </w:tcPr>
          <w:p>
            <w:pPr>
              <w:spacing w:after="0"/>
              <w:rPr>
                <w:sz w:val="1"/>
                <w:szCs w:val="1"/>
                <w:color w:val="auto"/>
              </w:rPr>
            </w:pPr>
          </w:p>
        </w:tc>
      </w:tr>
      <w:tr>
        <w:trPr>
          <w:trHeight w:val="246"/>
        </w:trPr>
        <w:tc>
          <w:tcPr>
            <w:tcW w:w="2420" w:type="dxa"/>
            <w:vAlign w:val="bottom"/>
          </w:tcPr>
          <w:p>
            <w:pPr>
              <w:spacing w:after="0"/>
              <w:rPr>
                <w:sz w:val="21"/>
                <w:szCs w:val="21"/>
                <w:color w:val="auto"/>
              </w:rPr>
            </w:pPr>
          </w:p>
        </w:tc>
        <w:tc>
          <w:tcPr>
            <w:tcW w:w="1800" w:type="dxa"/>
            <w:vAlign w:val="bottom"/>
          </w:tcPr>
          <w:p>
            <w:pPr>
              <w:ind w:left="200"/>
              <w:spacing w:after="0"/>
              <w:rPr>
                <w:sz w:val="20"/>
                <w:szCs w:val="20"/>
                <w:color w:val="auto"/>
              </w:rPr>
            </w:pPr>
            <w:r>
              <w:rPr>
                <w:rFonts w:ascii="Arial" w:cs="Arial" w:eastAsia="Arial" w:hAnsi="Arial"/>
                <w:sz w:val="20"/>
                <w:szCs w:val="20"/>
                <w:color w:val="auto"/>
              </w:rPr>
              <w:t>(2006)</w:t>
            </w:r>
          </w:p>
        </w:tc>
        <w:tc>
          <w:tcPr>
            <w:tcW w:w="2080" w:type="dxa"/>
            <w:vAlign w:val="bottom"/>
          </w:tcPr>
          <w:p>
            <w:pPr>
              <w:spacing w:after="0"/>
              <w:rPr>
                <w:sz w:val="21"/>
                <w:szCs w:val="21"/>
                <w:color w:val="auto"/>
              </w:rPr>
            </w:pPr>
          </w:p>
        </w:tc>
        <w:tc>
          <w:tcPr>
            <w:tcW w:w="2040" w:type="dxa"/>
            <w:vAlign w:val="bottom"/>
          </w:tcPr>
          <w:p>
            <w:pPr>
              <w:ind w:left="200"/>
              <w:spacing w:after="0"/>
              <w:rPr>
                <w:sz w:val="20"/>
                <w:szCs w:val="20"/>
                <w:color w:val="auto"/>
              </w:rPr>
            </w:pPr>
            <w:r>
              <w:rPr>
                <w:rFonts w:ascii="Arial" w:cs="Arial" w:eastAsia="Arial" w:hAnsi="Arial"/>
                <w:sz w:val="20"/>
                <w:szCs w:val="20"/>
                <w:color w:val="auto"/>
              </w:rPr>
              <w:t>(1994)</w:t>
            </w:r>
          </w:p>
        </w:tc>
        <w:tc>
          <w:tcPr>
            <w:tcW w:w="0" w:type="dxa"/>
            <w:vAlign w:val="bottom"/>
          </w:tcPr>
          <w:p>
            <w:pPr>
              <w:spacing w:after="0"/>
              <w:rPr>
                <w:sz w:val="1"/>
                <w:szCs w:val="1"/>
                <w:color w:val="auto"/>
              </w:rPr>
            </w:pPr>
          </w:p>
        </w:tc>
      </w:tr>
      <w:tr>
        <w:trPr>
          <w:trHeight w:val="27"/>
        </w:trPr>
        <w:tc>
          <w:tcPr>
            <w:tcW w:w="2420" w:type="dxa"/>
            <w:vAlign w:val="bottom"/>
            <w:tcBorders>
              <w:bottom w:val="single" w:sz="8" w:color="auto"/>
            </w:tcBorders>
          </w:tcPr>
          <w:p>
            <w:pPr>
              <w:spacing w:after="0"/>
              <w:rPr>
                <w:sz w:val="2"/>
                <w:szCs w:val="2"/>
                <w:color w:val="auto"/>
              </w:rPr>
            </w:pPr>
          </w:p>
        </w:tc>
        <w:tc>
          <w:tcPr>
            <w:tcW w:w="1800" w:type="dxa"/>
            <w:vAlign w:val="bottom"/>
            <w:tcBorders>
              <w:bottom w:val="single" w:sz="8" w:color="auto"/>
            </w:tcBorders>
          </w:tcPr>
          <w:p>
            <w:pPr>
              <w:spacing w:after="0"/>
              <w:rPr>
                <w:sz w:val="2"/>
                <w:szCs w:val="2"/>
                <w:color w:val="auto"/>
              </w:rPr>
            </w:pPr>
          </w:p>
        </w:tc>
        <w:tc>
          <w:tcPr>
            <w:tcW w:w="2080" w:type="dxa"/>
            <w:vAlign w:val="bottom"/>
            <w:tcBorders>
              <w:bottom w:val="single" w:sz="8" w:color="auto"/>
            </w:tcBorders>
          </w:tcPr>
          <w:p>
            <w:pPr>
              <w:spacing w:after="0"/>
              <w:rPr>
                <w:sz w:val="2"/>
                <w:szCs w:val="2"/>
                <w:color w:val="auto"/>
              </w:rPr>
            </w:pPr>
          </w:p>
        </w:tc>
        <w:tc>
          <w:tcPr>
            <w:tcW w:w="204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75"/>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Selic</w:t>
            </w:r>
          </w:p>
        </w:tc>
        <w:tc>
          <w:tcPr>
            <w:tcW w:w="1800" w:type="dxa"/>
            <w:vAlign w:val="bottom"/>
          </w:tcPr>
          <w:p>
            <w:pPr>
              <w:ind w:left="180"/>
              <w:spacing w:after="0"/>
              <w:rPr>
                <w:sz w:val="20"/>
                <w:szCs w:val="20"/>
                <w:color w:val="auto"/>
              </w:rPr>
            </w:pPr>
            <w:r>
              <w:rPr>
                <w:rFonts w:ascii="Arial" w:cs="Arial" w:eastAsia="Arial" w:hAnsi="Arial"/>
                <w:sz w:val="20"/>
                <w:szCs w:val="20"/>
                <w:color w:val="auto"/>
              </w:rPr>
              <w:t>+</w:t>
            </w:r>
          </w:p>
        </w:tc>
        <w:tc>
          <w:tcPr>
            <w:tcW w:w="208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41"/>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Produto Industrial</w:t>
            </w:r>
          </w:p>
        </w:tc>
        <w:tc>
          <w:tcPr>
            <w:tcW w:w="1800" w:type="dxa"/>
            <w:vAlign w:val="bottom"/>
          </w:tcPr>
          <w:p>
            <w:pPr>
              <w:ind w:left="180"/>
              <w:spacing w:after="0"/>
              <w:rPr>
                <w:sz w:val="20"/>
                <w:szCs w:val="20"/>
                <w:color w:val="auto"/>
              </w:rPr>
            </w:pPr>
            <w:r>
              <w:rPr>
                <w:rFonts w:ascii="Arial" w:cs="Arial" w:eastAsia="Arial" w:hAnsi="Arial"/>
                <w:sz w:val="20"/>
                <w:szCs w:val="20"/>
                <w:color w:val="auto"/>
              </w:rPr>
              <w:t>+</w:t>
            </w:r>
          </w:p>
        </w:tc>
        <w:tc>
          <w:tcPr>
            <w:tcW w:w="2080" w:type="dxa"/>
            <w:vAlign w:val="bottom"/>
          </w:tcPr>
          <w:p>
            <w:pPr>
              <w:spacing w:after="0"/>
              <w:rPr>
                <w:sz w:val="20"/>
                <w:szCs w:val="20"/>
                <w:color w:val="auto"/>
              </w:rPr>
            </w:pPr>
          </w:p>
        </w:tc>
        <w:tc>
          <w:tcPr>
            <w:tcW w:w="2040" w:type="dxa"/>
            <w:vAlign w:val="bottom"/>
            <w:vMerge w:val="restart"/>
          </w:tcPr>
          <w:p>
            <w:pPr>
              <w:ind w:left="1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39"/>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Atividade Econômica</w:t>
            </w:r>
          </w:p>
        </w:tc>
        <w:tc>
          <w:tcPr>
            <w:tcW w:w="1800" w:type="dxa"/>
            <w:vAlign w:val="bottom"/>
          </w:tcPr>
          <w:p>
            <w:pPr>
              <w:spacing w:after="0"/>
              <w:rPr>
                <w:sz w:val="20"/>
                <w:szCs w:val="20"/>
                <w:color w:val="auto"/>
              </w:rPr>
            </w:pPr>
          </w:p>
        </w:tc>
        <w:tc>
          <w:tcPr>
            <w:tcW w:w="2080" w:type="dxa"/>
            <w:vAlign w:val="bottom"/>
            <w:vMerge w:val="restart"/>
          </w:tcPr>
          <w:p>
            <w:pPr>
              <w:ind w:left="320"/>
              <w:spacing w:after="0"/>
              <w:rPr>
                <w:sz w:val="20"/>
                <w:szCs w:val="20"/>
                <w:color w:val="auto"/>
              </w:rPr>
            </w:pPr>
            <w:r>
              <w:rPr>
                <w:rFonts w:ascii="Arial" w:cs="Arial" w:eastAsia="Arial" w:hAnsi="Arial"/>
                <w:sz w:val="20"/>
                <w:szCs w:val="20"/>
                <w:color w:val="auto"/>
              </w:rPr>
              <w:t>+</w:t>
            </w:r>
          </w:p>
        </w:tc>
        <w:tc>
          <w:tcPr>
            <w:tcW w:w="204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37"/>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Desemprego</w:t>
            </w:r>
          </w:p>
        </w:tc>
        <w:tc>
          <w:tcPr>
            <w:tcW w:w="1800" w:type="dxa"/>
            <w:vAlign w:val="bottom"/>
          </w:tcPr>
          <w:p>
            <w:pPr>
              <w:spacing w:after="0"/>
              <w:rPr>
                <w:sz w:val="20"/>
                <w:szCs w:val="20"/>
                <w:color w:val="auto"/>
              </w:rPr>
            </w:pPr>
          </w:p>
        </w:tc>
        <w:tc>
          <w:tcPr>
            <w:tcW w:w="2080" w:type="dxa"/>
            <w:vAlign w:val="bottom"/>
            <w:vMerge w:val="continue"/>
          </w:tcPr>
          <w:p>
            <w:pPr>
              <w:spacing w:after="0"/>
              <w:rPr>
                <w:sz w:val="20"/>
                <w:szCs w:val="20"/>
                <w:color w:val="auto"/>
              </w:rPr>
            </w:pPr>
          </w:p>
        </w:tc>
        <w:tc>
          <w:tcPr>
            <w:tcW w:w="20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50"/>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EMBI</w:t>
            </w:r>
          </w:p>
        </w:tc>
        <w:tc>
          <w:tcPr>
            <w:tcW w:w="1800" w:type="dxa"/>
            <w:vAlign w:val="bottom"/>
          </w:tcPr>
          <w:p>
            <w:pPr>
              <w:spacing w:after="0"/>
              <w:rPr>
                <w:sz w:val="21"/>
                <w:szCs w:val="21"/>
                <w:color w:val="auto"/>
              </w:rPr>
            </w:pPr>
          </w:p>
        </w:tc>
        <w:tc>
          <w:tcPr>
            <w:tcW w:w="208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56"/>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Inadimplência</w:t>
            </w:r>
          </w:p>
        </w:tc>
        <w:tc>
          <w:tcPr>
            <w:tcW w:w="1800" w:type="dxa"/>
            <w:vAlign w:val="bottom"/>
          </w:tcPr>
          <w:p>
            <w:pPr>
              <w:spacing w:after="0"/>
              <w:rPr>
                <w:sz w:val="24"/>
                <w:szCs w:val="24"/>
                <w:color w:val="auto"/>
              </w:rPr>
            </w:pPr>
          </w:p>
        </w:tc>
        <w:tc>
          <w:tcPr>
            <w:tcW w:w="208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7"/>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Índice Volume Vendas</w:t>
            </w:r>
          </w:p>
        </w:tc>
        <w:tc>
          <w:tcPr>
            <w:tcW w:w="1800" w:type="dxa"/>
            <w:vAlign w:val="bottom"/>
          </w:tcPr>
          <w:p>
            <w:pPr>
              <w:spacing w:after="0"/>
              <w:rPr>
                <w:sz w:val="21"/>
                <w:szCs w:val="21"/>
                <w:color w:val="auto"/>
              </w:rPr>
            </w:pPr>
          </w:p>
        </w:tc>
        <w:tc>
          <w:tcPr>
            <w:tcW w:w="208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09"/>
        </w:trPr>
        <w:tc>
          <w:tcPr>
            <w:tcW w:w="2420" w:type="dxa"/>
            <w:vAlign w:val="bottom"/>
          </w:tcPr>
          <w:p>
            <w:pPr>
              <w:ind w:left="120"/>
              <w:spacing w:after="0" w:line="208" w:lineRule="exact"/>
              <w:rPr>
                <w:sz w:val="20"/>
                <w:szCs w:val="20"/>
                <w:color w:val="auto"/>
              </w:rPr>
            </w:pPr>
            <w:r>
              <w:rPr>
                <w:rFonts w:ascii="Arial" w:cs="Arial" w:eastAsia="Arial" w:hAnsi="Arial"/>
                <w:sz w:val="20"/>
                <w:szCs w:val="20"/>
                <w:b w:val="1"/>
                <w:bCs w:val="1"/>
                <w:color w:val="auto"/>
              </w:rPr>
              <w:t>Varejo</w:t>
            </w:r>
          </w:p>
        </w:tc>
        <w:tc>
          <w:tcPr>
            <w:tcW w:w="1800" w:type="dxa"/>
            <w:vAlign w:val="bottom"/>
          </w:tcPr>
          <w:p>
            <w:pPr>
              <w:spacing w:after="0"/>
              <w:rPr>
                <w:sz w:val="18"/>
                <w:szCs w:val="18"/>
                <w:color w:val="auto"/>
              </w:rPr>
            </w:pPr>
          </w:p>
        </w:tc>
        <w:tc>
          <w:tcPr>
            <w:tcW w:w="2080" w:type="dxa"/>
            <w:vAlign w:val="bottom"/>
            <w:vMerge w:val="restart"/>
          </w:tcPr>
          <w:p>
            <w:pPr>
              <w:ind w:left="320"/>
              <w:spacing w:after="0"/>
              <w:rPr>
                <w:sz w:val="20"/>
                <w:szCs w:val="20"/>
                <w:color w:val="auto"/>
              </w:rPr>
            </w:pPr>
            <w:r>
              <w:rPr>
                <w:rFonts w:ascii="Arial" w:cs="Arial" w:eastAsia="Arial" w:hAnsi="Arial"/>
                <w:sz w:val="20"/>
                <w:szCs w:val="20"/>
                <w:color w:val="auto"/>
              </w:rPr>
              <w:t>-</w:t>
            </w:r>
          </w:p>
        </w:tc>
        <w:tc>
          <w:tcPr>
            <w:tcW w:w="2040" w:type="dxa"/>
            <w:vAlign w:val="bottom"/>
            <w:vMerge w:val="restart"/>
          </w:tcPr>
          <w:p>
            <w:pPr>
              <w:ind w:left="18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37"/>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IPCA</w:t>
            </w:r>
          </w:p>
        </w:tc>
        <w:tc>
          <w:tcPr>
            <w:tcW w:w="1800" w:type="dxa"/>
            <w:vAlign w:val="bottom"/>
          </w:tcPr>
          <w:p>
            <w:pPr>
              <w:spacing w:after="0"/>
              <w:rPr>
                <w:sz w:val="20"/>
                <w:szCs w:val="20"/>
                <w:color w:val="auto"/>
              </w:rPr>
            </w:pPr>
          </w:p>
        </w:tc>
        <w:tc>
          <w:tcPr>
            <w:tcW w:w="2080" w:type="dxa"/>
            <w:vAlign w:val="bottom"/>
            <w:vMerge w:val="continue"/>
          </w:tcPr>
          <w:p>
            <w:pPr>
              <w:spacing w:after="0"/>
              <w:rPr>
                <w:sz w:val="20"/>
                <w:szCs w:val="20"/>
                <w:color w:val="auto"/>
              </w:rPr>
            </w:pPr>
          </w:p>
        </w:tc>
        <w:tc>
          <w:tcPr>
            <w:tcW w:w="204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IPI bcd</w:t>
            </w:r>
          </w:p>
        </w:tc>
        <w:tc>
          <w:tcPr>
            <w:tcW w:w="1800" w:type="dxa"/>
            <w:vAlign w:val="bottom"/>
          </w:tcPr>
          <w:p>
            <w:pPr>
              <w:spacing w:after="0"/>
              <w:rPr>
                <w:sz w:val="20"/>
                <w:szCs w:val="20"/>
                <w:color w:val="auto"/>
              </w:rPr>
            </w:pPr>
          </w:p>
        </w:tc>
        <w:tc>
          <w:tcPr>
            <w:tcW w:w="208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50"/>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IPI Bens de Capital</w:t>
            </w:r>
          </w:p>
        </w:tc>
        <w:tc>
          <w:tcPr>
            <w:tcW w:w="1800" w:type="dxa"/>
            <w:vAlign w:val="bottom"/>
          </w:tcPr>
          <w:p>
            <w:pPr>
              <w:spacing w:after="0"/>
              <w:rPr>
                <w:sz w:val="21"/>
                <w:szCs w:val="21"/>
                <w:color w:val="auto"/>
              </w:rPr>
            </w:pPr>
          </w:p>
        </w:tc>
        <w:tc>
          <w:tcPr>
            <w:tcW w:w="208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45"/>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IPI Bens de Consumo</w:t>
            </w:r>
          </w:p>
        </w:tc>
        <w:tc>
          <w:tcPr>
            <w:tcW w:w="1800" w:type="dxa"/>
            <w:vAlign w:val="bottom"/>
          </w:tcPr>
          <w:p>
            <w:pPr>
              <w:spacing w:after="0"/>
              <w:rPr>
                <w:sz w:val="24"/>
                <w:szCs w:val="24"/>
                <w:color w:val="auto"/>
              </w:rPr>
            </w:pPr>
          </w:p>
        </w:tc>
        <w:tc>
          <w:tcPr>
            <w:tcW w:w="208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9"/>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IPI Bens i</w:t>
            </w:r>
          </w:p>
        </w:tc>
        <w:tc>
          <w:tcPr>
            <w:tcW w:w="1800" w:type="dxa"/>
            <w:vAlign w:val="bottom"/>
          </w:tcPr>
          <w:p>
            <w:pPr>
              <w:spacing w:after="0"/>
              <w:rPr>
                <w:sz w:val="20"/>
                <w:szCs w:val="20"/>
                <w:color w:val="auto"/>
              </w:rPr>
            </w:pPr>
          </w:p>
        </w:tc>
        <w:tc>
          <w:tcPr>
            <w:tcW w:w="208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IPI bsd</w:t>
            </w:r>
          </w:p>
        </w:tc>
        <w:tc>
          <w:tcPr>
            <w:tcW w:w="1800" w:type="dxa"/>
            <w:vAlign w:val="bottom"/>
          </w:tcPr>
          <w:p>
            <w:pPr>
              <w:spacing w:after="0"/>
              <w:rPr>
                <w:sz w:val="20"/>
                <w:szCs w:val="20"/>
                <w:color w:val="auto"/>
              </w:rPr>
            </w:pPr>
          </w:p>
        </w:tc>
        <w:tc>
          <w:tcPr>
            <w:tcW w:w="208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IPI Geral</w:t>
            </w:r>
          </w:p>
        </w:tc>
        <w:tc>
          <w:tcPr>
            <w:tcW w:w="1800" w:type="dxa"/>
            <w:vAlign w:val="bottom"/>
          </w:tcPr>
          <w:p>
            <w:pPr>
              <w:spacing w:after="0"/>
              <w:rPr>
                <w:sz w:val="20"/>
                <w:szCs w:val="20"/>
                <w:color w:val="auto"/>
              </w:rPr>
            </w:pPr>
          </w:p>
        </w:tc>
        <w:tc>
          <w:tcPr>
            <w:tcW w:w="208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50"/>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IPIad</w:t>
            </w:r>
          </w:p>
        </w:tc>
        <w:tc>
          <w:tcPr>
            <w:tcW w:w="1800" w:type="dxa"/>
            <w:vAlign w:val="bottom"/>
          </w:tcPr>
          <w:p>
            <w:pPr>
              <w:spacing w:after="0"/>
              <w:rPr>
                <w:sz w:val="21"/>
                <w:szCs w:val="21"/>
                <w:color w:val="auto"/>
              </w:rPr>
            </w:pPr>
          </w:p>
        </w:tc>
        <w:tc>
          <w:tcPr>
            <w:tcW w:w="208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45"/>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PIB</w:t>
            </w:r>
          </w:p>
        </w:tc>
        <w:tc>
          <w:tcPr>
            <w:tcW w:w="1800" w:type="dxa"/>
            <w:vAlign w:val="bottom"/>
          </w:tcPr>
          <w:p>
            <w:pPr>
              <w:spacing w:after="0"/>
              <w:rPr>
                <w:sz w:val="24"/>
                <w:szCs w:val="24"/>
                <w:color w:val="auto"/>
              </w:rPr>
            </w:pPr>
          </w:p>
        </w:tc>
        <w:tc>
          <w:tcPr>
            <w:tcW w:w="208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1"/>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Saldo Carteira Crédito</w:t>
            </w:r>
          </w:p>
        </w:tc>
        <w:tc>
          <w:tcPr>
            <w:tcW w:w="1800" w:type="dxa"/>
            <w:vAlign w:val="bottom"/>
          </w:tcPr>
          <w:p>
            <w:pPr>
              <w:spacing w:after="0"/>
              <w:rPr>
                <w:sz w:val="20"/>
                <w:szCs w:val="20"/>
                <w:color w:val="auto"/>
              </w:rPr>
            </w:pPr>
          </w:p>
        </w:tc>
        <w:tc>
          <w:tcPr>
            <w:tcW w:w="208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88"/>
        </w:trPr>
        <w:tc>
          <w:tcPr>
            <w:tcW w:w="2420" w:type="dxa"/>
            <w:vAlign w:val="bottom"/>
          </w:tcPr>
          <w:p>
            <w:pPr>
              <w:ind w:left="120"/>
              <w:spacing w:after="0" w:line="188" w:lineRule="exact"/>
              <w:rPr>
                <w:sz w:val="20"/>
                <w:szCs w:val="20"/>
                <w:color w:val="auto"/>
              </w:rPr>
            </w:pPr>
            <w:r>
              <w:rPr>
                <w:rFonts w:ascii="Arial" w:cs="Arial" w:eastAsia="Arial" w:hAnsi="Arial"/>
                <w:sz w:val="20"/>
                <w:szCs w:val="20"/>
                <w:b w:val="1"/>
                <w:bCs w:val="1"/>
                <w:color w:val="auto"/>
              </w:rPr>
              <w:t>RL</w:t>
            </w:r>
          </w:p>
        </w:tc>
        <w:tc>
          <w:tcPr>
            <w:tcW w:w="1800" w:type="dxa"/>
            <w:vAlign w:val="bottom"/>
            <w:vMerge w:val="restart"/>
          </w:tcPr>
          <w:p>
            <w:pPr>
              <w:ind w:left="180"/>
              <w:spacing w:after="0"/>
              <w:rPr>
                <w:sz w:val="20"/>
                <w:szCs w:val="20"/>
                <w:color w:val="auto"/>
              </w:rPr>
            </w:pPr>
            <w:r>
              <w:rPr>
                <w:rFonts w:ascii="Arial" w:cs="Arial" w:eastAsia="Arial" w:hAnsi="Arial"/>
                <w:sz w:val="20"/>
                <w:szCs w:val="20"/>
                <w:color w:val="auto"/>
              </w:rPr>
              <w:t>+</w:t>
            </w:r>
          </w:p>
        </w:tc>
        <w:tc>
          <w:tcPr>
            <w:tcW w:w="2080" w:type="dxa"/>
            <w:vAlign w:val="bottom"/>
          </w:tcPr>
          <w:p>
            <w:pPr>
              <w:spacing w:after="0"/>
              <w:rPr>
                <w:sz w:val="16"/>
                <w:szCs w:val="16"/>
                <w:color w:val="auto"/>
              </w:rPr>
            </w:pPr>
          </w:p>
        </w:tc>
        <w:tc>
          <w:tcPr>
            <w:tcW w:w="20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48"/>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Volatilidade da Selic</w:t>
            </w:r>
          </w:p>
        </w:tc>
        <w:tc>
          <w:tcPr>
            <w:tcW w:w="1800" w:type="dxa"/>
            <w:vAlign w:val="bottom"/>
            <w:vMerge w:val="continue"/>
          </w:tcPr>
          <w:p>
            <w:pPr>
              <w:spacing w:after="0"/>
              <w:rPr>
                <w:sz w:val="21"/>
                <w:szCs w:val="21"/>
                <w:color w:val="auto"/>
              </w:rPr>
            </w:pPr>
          </w:p>
        </w:tc>
        <w:tc>
          <w:tcPr>
            <w:tcW w:w="2080" w:type="dxa"/>
            <w:vAlign w:val="bottom"/>
          </w:tcPr>
          <w:p>
            <w:pPr>
              <w:spacing w:after="0"/>
              <w:rPr>
                <w:sz w:val="21"/>
                <w:szCs w:val="21"/>
                <w:color w:val="auto"/>
              </w:rPr>
            </w:pPr>
          </w:p>
        </w:tc>
        <w:tc>
          <w:tcPr>
            <w:tcW w:w="204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26035</wp:posOffset>
                </wp:positionV>
                <wp:extent cx="528701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870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2.05pt" to="429.25pt,2.05pt" o:allowincell="f" strokecolor="#000000" strokeweight="0.936pt"/>
            </w:pict>
          </mc:Fallback>
        </mc:AlternateContent>
      </w:r>
    </w:p>
    <w:p>
      <w:pPr>
        <w:spacing w:after="0" w:line="33" w:lineRule="exact"/>
        <w:rPr>
          <w:sz w:val="20"/>
          <w:szCs w:val="20"/>
          <w:color w:val="auto"/>
        </w:rPr>
      </w:pPr>
    </w:p>
    <w:p>
      <w:pPr>
        <w:jc w:val="center"/>
        <w:ind w:right="-25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das fontes citadas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1680"/>
        <w:spacing w:after="0"/>
        <w:rPr>
          <w:sz w:val="20"/>
          <w:szCs w:val="20"/>
          <w:color w:val="auto"/>
        </w:rPr>
      </w:pPr>
      <w:r>
        <w:rPr>
          <w:rFonts w:ascii="Arial" w:cs="Arial" w:eastAsia="Arial" w:hAnsi="Arial"/>
          <w:sz w:val="22"/>
          <w:szCs w:val="22"/>
          <w:color w:val="auto"/>
        </w:rPr>
        <w:t>Tabela 9 – Resumo de estudos sobre o spread ex-post no Brasil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154940</wp:posOffset>
                </wp:positionV>
                <wp:extent cx="528701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870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429.25pt,12.2pt" o:allowincell="f" strokecolor="#000000" strokeweight="0.936pt"/>
            </w:pict>
          </mc:Fallback>
        </mc:AlternateContent>
      </w:r>
    </w:p>
    <w:p>
      <w:pPr>
        <w:spacing w:after="0" w:line="292" w:lineRule="exact"/>
        <w:rPr>
          <w:sz w:val="20"/>
          <w:szCs w:val="20"/>
          <w:color w:val="auto"/>
        </w:rPr>
      </w:pPr>
    </w:p>
    <w:tbl>
      <w:tblPr>
        <w:tblLayout w:type="fixed"/>
        <w:tblInd w:w="260" w:type="dxa"/>
        <w:tblCellMar>
          <w:top w:w="0" w:type="dxa"/>
          <w:left w:w="0" w:type="dxa"/>
          <w:bottom w:w="0" w:type="dxa"/>
          <w:right w:w="0" w:type="dxa"/>
        </w:tblCellMar>
      </w:tblPr>
      <w:tr>
        <w:trPr>
          <w:trHeight w:val="239"/>
        </w:trPr>
        <w:tc>
          <w:tcPr>
            <w:tcW w:w="2480" w:type="dxa"/>
            <w:vAlign w:val="bottom"/>
          </w:tcPr>
          <w:p>
            <w:pPr>
              <w:ind w:left="120"/>
              <w:spacing w:after="0"/>
              <w:rPr>
                <w:sz w:val="20"/>
                <w:szCs w:val="20"/>
                <w:color w:val="auto"/>
              </w:rPr>
            </w:pPr>
            <w:r>
              <w:rPr>
                <w:rFonts w:ascii="Arial" w:cs="Arial" w:eastAsia="Arial" w:hAnsi="Arial"/>
                <w:sz w:val="20"/>
                <w:szCs w:val="20"/>
                <w:color w:val="auto"/>
              </w:rPr>
              <w:t>Variável</w:t>
            </w:r>
          </w:p>
        </w:tc>
        <w:tc>
          <w:tcPr>
            <w:tcW w:w="1700" w:type="dxa"/>
            <w:vAlign w:val="bottom"/>
          </w:tcPr>
          <w:p>
            <w:pPr>
              <w:ind w:left="140"/>
              <w:spacing w:after="0"/>
              <w:rPr>
                <w:sz w:val="20"/>
                <w:szCs w:val="20"/>
                <w:color w:val="auto"/>
              </w:rPr>
            </w:pPr>
            <w:r>
              <w:rPr>
                <w:rFonts w:ascii="Arial" w:cs="Arial" w:eastAsia="Arial" w:hAnsi="Arial"/>
                <w:sz w:val="20"/>
                <w:szCs w:val="20"/>
                <w:color w:val="auto"/>
              </w:rPr>
              <w:t>GUIMARÃES</w:t>
            </w:r>
          </w:p>
        </w:tc>
        <w:tc>
          <w:tcPr>
            <w:tcW w:w="2040" w:type="dxa"/>
            <w:vAlign w:val="bottom"/>
          </w:tcPr>
          <w:p>
            <w:pPr>
              <w:ind w:left="380"/>
              <w:spacing w:after="0"/>
              <w:rPr>
                <w:sz w:val="20"/>
                <w:szCs w:val="20"/>
                <w:color w:val="auto"/>
              </w:rPr>
            </w:pPr>
            <w:r>
              <w:rPr>
                <w:rFonts w:ascii="Arial" w:cs="Arial" w:eastAsia="Arial" w:hAnsi="Arial"/>
                <w:sz w:val="20"/>
                <w:szCs w:val="20"/>
                <w:color w:val="auto"/>
              </w:rPr>
              <w:t>DANTAS (2012)</w:t>
            </w:r>
          </w:p>
        </w:tc>
        <w:tc>
          <w:tcPr>
            <w:tcW w:w="2120" w:type="dxa"/>
            <w:vAlign w:val="bottom"/>
          </w:tcPr>
          <w:p>
            <w:pPr>
              <w:ind w:left="280"/>
              <w:spacing w:after="0"/>
              <w:rPr>
                <w:sz w:val="20"/>
                <w:szCs w:val="20"/>
                <w:color w:val="auto"/>
              </w:rPr>
            </w:pPr>
            <w:r>
              <w:rPr>
                <w:rFonts w:ascii="Arial" w:cs="Arial" w:eastAsia="Arial" w:hAnsi="Arial"/>
                <w:sz w:val="20"/>
                <w:szCs w:val="20"/>
                <w:color w:val="auto"/>
              </w:rPr>
              <w:t>ALMEIDA (2013)</w:t>
            </w:r>
          </w:p>
        </w:tc>
        <w:tc>
          <w:tcPr>
            <w:tcW w:w="0" w:type="dxa"/>
            <w:vAlign w:val="bottom"/>
          </w:tcPr>
          <w:p>
            <w:pPr>
              <w:spacing w:after="0"/>
              <w:rPr>
                <w:sz w:val="1"/>
                <w:szCs w:val="1"/>
                <w:color w:val="auto"/>
              </w:rPr>
            </w:pPr>
          </w:p>
        </w:tc>
      </w:tr>
      <w:tr>
        <w:trPr>
          <w:trHeight w:val="246"/>
        </w:trPr>
        <w:tc>
          <w:tcPr>
            <w:tcW w:w="2480" w:type="dxa"/>
            <w:vAlign w:val="bottom"/>
          </w:tcPr>
          <w:p>
            <w:pPr>
              <w:spacing w:after="0"/>
              <w:rPr>
                <w:sz w:val="21"/>
                <w:szCs w:val="21"/>
                <w:color w:val="auto"/>
              </w:rPr>
            </w:pPr>
          </w:p>
        </w:tc>
        <w:tc>
          <w:tcPr>
            <w:tcW w:w="1700" w:type="dxa"/>
            <w:vAlign w:val="bottom"/>
          </w:tcPr>
          <w:p>
            <w:pPr>
              <w:ind w:left="140"/>
              <w:spacing w:after="0"/>
              <w:rPr>
                <w:sz w:val="20"/>
                <w:szCs w:val="20"/>
                <w:color w:val="auto"/>
              </w:rPr>
            </w:pPr>
            <w:r>
              <w:rPr>
                <w:rFonts w:ascii="Arial" w:cs="Arial" w:eastAsia="Arial" w:hAnsi="Arial"/>
                <w:sz w:val="20"/>
                <w:szCs w:val="20"/>
                <w:color w:val="auto"/>
              </w:rPr>
              <w:t>(2002)</w:t>
            </w:r>
          </w:p>
        </w:tc>
        <w:tc>
          <w:tcPr>
            <w:tcW w:w="2040" w:type="dxa"/>
            <w:vAlign w:val="bottom"/>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7"/>
        </w:trPr>
        <w:tc>
          <w:tcPr>
            <w:tcW w:w="2480" w:type="dxa"/>
            <w:vAlign w:val="bottom"/>
            <w:tcBorders>
              <w:bottom w:val="single" w:sz="8" w:color="auto"/>
            </w:tcBorders>
          </w:tcPr>
          <w:p>
            <w:pPr>
              <w:spacing w:after="0"/>
              <w:rPr>
                <w:sz w:val="2"/>
                <w:szCs w:val="2"/>
                <w:color w:val="auto"/>
              </w:rPr>
            </w:pPr>
          </w:p>
        </w:tc>
        <w:tc>
          <w:tcPr>
            <w:tcW w:w="1700" w:type="dxa"/>
            <w:vAlign w:val="bottom"/>
            <w:tcBorders>
              <w:bottom w:val="single" w:sz="8" w:color="auto"/>
            </w:tcBorders>
          </w:tcPr>
          <w:p>
            <w:pPr>
              <w:spacing w:after="0"/>
              <w:rPr>
                <w:sz w:val="2"/>
                <w:szCs w:val="2"/>
                <w:color w:val="auto"/>
              </w:rPr>
            </w:pPr>
          </w:p>
        </w:tc>
        <w:tc>
          <w:tcPr>
            <w:tcW w:w="2040" w:type="dxa"/>
            <w:vAlign w:val="bottom"/>
            <w:tcBorders>
              <w:bottom w:val="single" w:sz="8" w:color="auto"/>
            </w:tcBorders>
          </w:tcPr>
          <w:p>
            <w:pPr>
              <w:spacing w:after="0"/>
              <w:rPr>
                <w:sz w:val="2"/>
                <w:szCs w:val="2"/>
                <w:color w:val="auto"/>
              </w:rPr>
            </w:pPr>
          </w:p>
        </w:tc>
        <w:tc>
          <w:tcPr>
            <w:tcW w:w="21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75"/>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Custos Administrativos</w:t>
            </w:r>
          </w:p>
        </w:tc>
        <w:tc>
          <w:tcPr>
            <w:tcW w:w="1700" w:type="dxa"/>
            <w:vAlign w:val="bottom"/>
          </w:tcPr>
          <w:p>
            <w:pPr>
              <w:spacing w:after="0"/>
              <w:rPr>
                <w:sz w:val="23"/>
                <w:szCs w:val="23"/>
                <w:color w:val="auto"/>
              </w:rPr>
            </w:pPr>
          </w:p>
        </w:tc>
        <w:tc>
          <w:tcPr>
            <w:tcW w:w="2040" w:type="dxa"/>
            <w:vAlign w:val="bottom"/>
          </w:tcPr>
          <w:p>
            <w:pPr>
              <w:spacing w:after="0"/>
              <w:rPr>
                <w:sz w:val="23"/>
                <w:szCs w:val="23"/>
                <w:color w:val="auto"/>
              </w:rPr>
            </w:pPr>
          </w:p>
        </w:tc>
        <w:tc>
          <w:tcPr>
            <w:tcW w:w="2120" w:type="dxa"/>
            <w:vAlign w:val="bottom"/>
          </w:tcPr>
          <w:p>
            <w:pPr>
              <w:ind w:left="26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Impostos Indiretos</w:t>
            </w:r>
          </w:p>
        </w:tc>
        <w:tc>
          <w:tcPr>
            <w:tcW w:w="1700" w:type="dxa"/>
            <w:vAlign w:val="bottom"/>
          </w:tcPr>
          <w:p>
            <w:pPr>
              <w:spacing w:after="0"/>
              <w:rPr>
                <w:sz w:val="20"/>
                <w:szCs w:val="20"/>
                <w:color w:val="auto"/>
              </w:rPr>
            </w:pPr>
          </w:p>
        </w:tc>
        <w:tc>
          <w:tcPr>
            <w:tcW w:w="2040" w:type="dxa"/>
            <w:vAlign w:val="bottom"/>
          </w:tcPr>
          <w:p>
            <w:pPr>
              <w:spacing w:after="0"/>
              <w:rPr>
                <w:sz w:val="20"/>
                <w:szCs w:val="20"/>
                <w:color w:val="auto"/>
              </w:rPr>
            </w:pPr>
          </w:p>
        </w:tc>
        <w:tc>
          <w:tcPr>
            <w:tcW w:w="2120" w:type="dxa"/>
            <w:vAlign w:val="bottom"/>
          </w:tcPr>
          <w:p>
            <w:pPr>
              <w:ind w:left="280"/>
              <w:spacing w:after="0"/>
              <w:rPr>
                <w:sz w:val="20"/>
                <w:szCs w:val="20"/>
                <w:color w:val="auto"/>
              </w:rPr>
            </w:pPr>
            <w:r>
              <w:rPr>
                <w:rFonts w:ascii="Arial" w:cs="Arial" w:eastAsia="Arial" w:hAnsi="Arial"/>
                <w:sz w:val="20"/>
                <w:szCs w:val="20"/>
                <w:color w:val="auto"/>
              </w:rPr>
              <w:t>Não significativo</w:t>
            </w:r>
          </w:p>
        </w:tc>
        <w:tc>
          <w:tcPr>
            <w:tcW w:w="0" w:type="dxa"/>
            <w:vAlign w:val="bottom"/>
          </w:tcPr>
          <w:p>
            <w:pPr>
              <w:spacing w:after="0"/>
              <w:rPr>
                <w:sz w:val="1"/>
                <w:szCs w:val="1"/>
                <w:color w:val="auto"/>
              </w:rPr>
            </w:pPr>
          </w:p>
        </w:tc>
      </w:tr>
      <w:tr>
        <w:trPr>
          <w:trHeight w:val="241"/>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Requerimento de</w:t>
            </w:r>
          </w:p>
        </w:tc>
        <w:tc>
          <w:tcPr>
            <w:tcW w:w="1700" w:type="dxa"/>
            <w:vAlign w:val="bottom"/>
          </w:tcPr>
          <w:p>
            <w:pPr>
              <w:spacing w:after="0"/>
              <w:rPr>
                <w:sz w:val="20"/>
                <w:szCs w:val="20"/>
                <w:color w:val="auto"/>
              </w:rPr>
            </w:pPr>
          </w:p>
        </w:tc>
        <w:tc>
          <w:tcPr>
            <w:tcW w:w="2040" w:type="dxa"/>
            <w:vAlign w:val="bottom"/>
          </w:tcPr>
          <w:p>
            <w:pPr>
              <w:spacing w:after="0"/>
              <w:rPr>
                <w:sz w:val="20"/>
                <w:szCs w:val="20"/>
                <w:color w:val="auto"/>
              </w:rPr>
            </w:pPr>
          </w:p>
        </w:tc>
        <w:tc>
          <w:tcPr>
            <w:tcW w:w="2120" w:type="dxa"/>
            <w:vAlign w:val="bottom"/>
          </w:tcPr>
          <w:p>
            <w:pPr>
              <w:ind w:left="26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188"/>
        </w:trPr>
        <w:tc>
          <w:tcPr>
            <w:tcW w:w="2480" w:type="dxa"/>
            <w:vAlign w:val="bottom"/>
          </w:tcPr>
          <w:p>
            <w:pPr>
              <w:ind w:left="120"/>
              <w:spacing w:after="0" w:line="188" w:lineRule="exact"/>
              <w:rPr>
                <w:sz w:val="20"/>
                <w:szCs w:val="20"/>
                <w:color w:val="auto"/>
              </w:rPr>
            </w:pPr>
            <w:r>
              <w:rPr>
                <w:rFonts w:ascii="Arial" w:cs="Arial" w:eastAsia="Arial" w:hAnsi="Arial"/>
                <w:sz w:val="20"/>
                <w:szCs w:val="20"/>
                <w:b w:val="1"/>
                <w:bCs w:val="1"/>
                <w:color w:val="auto"/>
              </w:rPr>
              <w:t>Reserva</w:t>
            </w:r>
          </w:p>
        </w:tc>
        <w:tc>
          <w:tcPr>
            <w:tcW w:w="1700" w:type="dxa"/>
            <w:vAlign w:val="bottom"/>
          </w:tcPr>
          <w:p>
            <w:pPr>
              <w:spacing w:after="0"/>
              <w:rPr>
                <w:sz w:val="16"/>
                <w:szCs w:val="16"/>
                <w:color w:val="auto"/>
              </w:rPr>
            </w:pPr>
          </w:p>
        </w:tc>
        <w:tc>
          <w:tcPr>
            <w:tcW w:w="2040" w:type="dxa"/>
            <w:vAlign w:val="bottom"/>
            <w:vMerge w:val="restart"/>
          </w:tcPr>
          <w:p>
            <w:pPr>
              <w:ind w:left="360"/>
              <w:spacing w:after="0"/>
              <w:rPr>
                <w:sz w:val="20"/>
                <w:szCs w:val="20"/>
                <w:color w:val="auto"/>
              </w:rPr>
            </w:pPr>
            <w:r>
              <w:rPr>
                <w:rFonts w:ascii="Arial" w:cs="Arial" w:eastAsia="Arial" w:hAnsi="Arial"/>
                <w:sz w:val="20"/>
                <w:szCs w:val="20"/>
                <w:color w:val="auto"/>
              </w:rPr>
              <w:t>+</w:t>
            </w:r>
          </w:p>
        </w:tc>
        <w:tc>
          <w:tcPr>
            <w:tcW w:w="21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21"/>
        </w:trPr>
        <w:tc>
          <w:tcPr>
            <w:tcW w:w="2480" w:type="dxa"/>
            <w:vAlign w:val="bottom"/>
          </w:tcPr>
          <w:p>
            <w:pPr>
              <w:ind w:left="120"/>
              <w:spacing w:after="0" w:line="221" w:lineRule="exact"/>
              <w:rPr>
                <w:sz w:val="20"/>
                <w:szCs w:val="20"/>
                <w:color w:val="auto"/>
              </w:rPr>
            </w:pPr>
            <w:r>
              <w:rPr>
                <w:rFonts w:ascii="Arial" w:cs="Arial" w:eastAsia="Arial" w:hAnsi="Arial"/>
                <w:sz w:val="20"/>
                <w:szCs w:val="20"/>
                <w:b w:val="1"/>
                <w:bCs w:val="1"/>
                <w:color w:val="auto"/>
              </w:rPr>
              <w:t>Atividade Econômica</w:t>
            </w:r>
          </w:p>
        </w:tc>
        <w:tc>
          <w:tcPr>
            <w:tcW w:w="1700" w:type="dxa"/>
            <w:vAlign w:val="bottom"/>
            <w:vMerge w:val="restart"/>
          </w:tcPr>
          <w:p>
            <w:pPr>
              <w:ind w:left="120"/>
              <w:spacing w:after="0"/>
              <w:rPr>
                <w:sz w:val="20"/>
                <w:szCs w:val="20"/>
                <w:color w:val="auto"/>
              </w:rPr>
            </w:pPr>
            <w:r>
              <w:rPr>
                <w:rFonts w:ascii="Arial" w:cs="Arial" w:eastAsia="Arial" w:hAnsi="Arial"/>
                <w:sz w:val="20"/>
                <w:szCs w:val="20"/>
                <w:color w:val="auto"/>
              </w:rPr>
              <w:t>+</w:t>
            </w:r>
          </w:p>
        </w:tc>
        <w:tc>
          <w:tcPr>
            <w:tcW w:w="2040" w:type="dxa"/>
            <w:vAlign w:val="bottom"/>
            <w:vMerge w:val="continue"/>
          </w:tcPr>
          <w:p>
            <w:pPr>
              <w:spacing w:after="0"/>
              <w:rPr>
                <w:sz w:val="19"/>
                <w:szCs w:val="19"/>
                <w:color w:val="auto"/>
              </w:rPr>
            </w:pPr>
          </w:p>
        </w:tc>
        <w:tc>
          <w:tcPr>
            <w:tcW w:w="2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48"/>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Bancos Estrangeiros</w:t>
            </w:r>
          </w:p>
        </w:tc>
        <w:tc>
          <w:tcPr>
            <w:tcW w:w="1700" w:type="dxa"/>
            <w:vAlign w:val="bottom"/>
            <w:vMerge w:val="continue"/>
          </w:tcPr>
          <w:p>
            <w:pPr>
              <w:spacing w:after="0"/>
              <w:rPr>
                <w:sz w:val="21"/>
                <w:szCs w:val="21"/>
                <w:color w:val="auto"/>
              </w:rPr>
            </w:pPr>
          </w:p>
        </w:tc>
        <w:tc>
          <w:tcPr>
            <w:tcW w:w="2040" w:type="dxa"/>
            <w:vAlign w:val="bottom"/>
          </w:tcPr>
          <w:p>
            <w:pPr>
              <w:spacing w:after="0"/>
              <w:rPr>
                <w:sz w:val="21"/>
                <w:szCs w:val="21"/>
                <w:color w:val="auto"/>
              </w:rPr>
            </w:pPr>
          </w:p>
        </w:tc>
        <w:tc>
          <w:tcPr>
            <w:tcW w:w="2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47"/>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Caixa.Depósitos</w:t>
            </w:r>
          </w:p>
        </w:tc>
        <w:tc>
          <w:tcPr>
            <w:tcW w:w="1700" w:type="dxa"/>
            <w:vAlign w:val="bottom"/>
          </w:tcPr>
          <w:p>
            <w:pPr>
              <w:ind w:left="120"/>
              <w:spacing w:after="0"/>
              <w:rPr>
                <w:sz w:val="20"/>
                <w:szCs w:val="20"/>
                <w:color w:val="auto"/>
              </w:rPr>
            </w:pPr>
            <w:r>
              <w:rPr>
                <w:rFonts w:ascii="Arial" w:cs="Arial" w:eastAsia="Arial" w:hAnsi="Arial"/>
                <w:sz w:val="20"/>
                <w:szCs w:val="20"/>
                <w:color w:val="auto"/>
              </w:rPr>
              <w:t>+</w:t>
            </w:r>
          </w:p>
        </w:tc>
        <w:tc>
          <w:tcPr>
            <w:tcW w:w="2040" w:type="dxa"/>
            <w:vAlign w:val="bottom"/>
            <w:vMerge w:val="restart"/>
          </w:tcPr>
          <w:p>
            <w:pPr>
              <w:ind w:left="360"/>
              <w:spacing w:after="0"/>
              <w:rPr>
                <w:sz w:val="20"/>
                <w:szCs w:val="20"/>
                <w:color w:val="auto"/>
              </w:rPr>
            </w:pPr>
            <w:r>
              <w:rPr>
                <w:rFonts w:ascii="Arial" w:cs="Arial" w:eastAsia="Arial" w:hAnsi="Arial"/>
                <w:sz w:val="20"/>
                <w:szCs w:val="20"/>
                <w:color w:val="auto"/>
              </w:rPr>
              <w:t>+</w:t>
            </w:r>
          </w:p>
        </w:tc>
        <w:tc>
          <w:tcPr>
            <w:tcW w:w="2120" w:type="dxa"/>
            <w:vAlign w:val="bottom"/>
            <w:vMerge w:val="restart"/>
          </w:tcPr>
          <w:p>
            <w:pPr>
              <w:ind w:left="26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37"/>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Grau Concentração</w:t>
            </w:r>
          </w:p>
        </w:tc>
        <w:tc>
          <w:tcPr>
            <w:tcW w:w="1700" w:type="dxa"/>
            <w:vAlign w:val="bottom"/>
          </w:tcPr>
          <w:p>
            <w:pPr>
              <w:spacing w:after="0"/>
              <w:rPr>
                <w:sz w:val="20"/>
                <w:szCs w:val="20"/>
                <w:color w:val="auto"/>
              </w:rPr>
            </w:pPr>
          </w:p>
        </w:tc>
        <w:tc>
          <w:tcPr>
            <w:tcW w:w="2040" w:type="dxa"/>
            <w:vAlign w:val="bottom"/>
            <w:vMerge w:val="continue"/>
          </w:tcPr>
          <w:p>
            <w:pPr>
              <w:spacing w:after="0"/>
              <w:rPr>
                <w:sz w:val="20"/>
                <w:szCs w:val="20"/>
                <w:color w:val="auto"/>
              </w:rPr>
            </w:pPr>
          </w:p>
        </w:tc>
        <w:tc>
          <w:tcPr>
            <w:tcW w:w="212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Liquidez</w:t>
            </w:r>
          </w:p>
        </w:tc>
        <w:tc>
          <w:tcPr>
            <w:tcW w:w="1700" w:type="dxa"/>
            <w:vAlign w:val="bottom"/>
          </w:tcPr>
          <w:p>
            <w:pPr>
              <w:spacing w:after="0"/>
              <w:rPr>
                <w:sz w:val="20"/>
                <w:szCs w:val="20"/>
                <w:color w:val="auto"/>
              </w:rPr>
            </w:pPr>
          </w:p>
        </w:tc>
        <w:tc>
          <w:tcPr>
            <w:tcW w:w="2040" w:type="dxa"/>
            <w:vAlign w:val="bottom"/>
          </w:tcPr>
          <w:p>
            <w:pPr>
              <w:spacing w:after="0"/>
              <w:rPr>
                <w:sz w:val="20"/>
                <w:szCs w:val="20"/>
                <w:color w:val="auto"/>
              </w:rPr>
            </w:pPr>
          </w:p>
        </w:tc>
        <w:tc>
          <w:tcPr>
            <w:tcW w:w="2120" w:type="dxa"/>
            <w:vAlign w:val="bottom"/>
          </w:tcPr>
          <w:p>
            <w:pPr>
              <w:ind w:left="280"/>
              <w:spacing w:after="0"/>
              <w:rPr>
                <w:sz w:val="20"/>
                <w:szCs w:val="20"/>
                <w:color w:val="auto"/>
              </w:rPr>
            </w:pPr>
            <w:r>
              <w:rPr>
                <w:rFonts w:ascii="Arial" w:cs="Arial" w:eastAsia="Arial" w:hAnsi="Arial"/>
                <w:sz w:val="20"/>
                <w:szCs w:val="20"/>
                <w:color w:val="auto"/>
              </w:rPr>
              <w:t>Não significativo</w:t>
            </w:r>
          </w:p>
        </w:tc>
        <w:tc>
          <w:tcPr>
            <w:tcW w:w="0" w:type="dxa"/>
            <w:vAlign w:val="bottom"/>
          </w:tcPr>
          <w:p>
            <w:pPr>
              <w:spacing w:after="0"/>
              <w:rPr>
                <w:sz w:val="1"/>
                <w:szCs w:val="1"/>
                <w:color w:val="auto"/>
              </w:rPr>
            </w:pP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Market Share</w:t>
            </w:r>
          </w:p>
        </w:tc>
        <w:tc>
          <w:tcPr>
            <w:tcW w:w="1700" w:type="dxa"/>
            <w:vAlign w:val="bottom"/>
          </w:tcPr>
          <w:p>
            <w:pPr>
              <w:spacing w:after="0"/>
              <w:rPr>
                <w:sz w:val="20"/>
                <w:szCs w:val="20"/>
                <w:color w:val="auto"/>
              </w:rPr>
            </w:pPr>
          </w:p>
        </w:tc>
        <w:tc>
          <w:tcPr>
            <w:tcW w:w="2040" w:type="dxa"/>
            <w:vAlign w:val="bottom"/>
          </w:tcPr>
          <w:p>
            <w:pPr>
              <w:ind w:left="360"/>
              <w:spacing w:after="0"/>
              <w:rPr>
                <w:sz w:val="20"/>
                <w:szCs w:val="20"/>
                <w:color w:val="auto"/>
              </w:rPr>
            </w:pPr>
            <w:r>
              <w:rPr>
                <w:rFonts w:ascii="Arial" w:cs="Arial" w:eastAsia="Arial" w:hAnsi="Arial"/>
                <w:sz w:val="20"/>
                <w:szCs w:val="20"/>
                <w:color w:val="auto"/>
              </w:rPr>
              <w:t>-</w:t>
            </w:r>
          </w:p>
        </w:tc>
        <w:tc>
          <w:tcPr>
            <w:tcW w:w="2120" w:type="dxa"/>
            <w:vAlign w:val="bottom"/>
          </w:tcPr>
          <w:p>
            <w:pPr>
              <w:ind w:left="26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50"/>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PIB</w:t>
            </w:r>
          </w:p>
        </w:tc>
        <w:tc>
          <w:tcPr>
            <w:tcW w:w="1700" w:type="dxa"/>
            <w:vAlign w:val="bottom"/>
          </w:tcPr>
          <w:p>
            <w:pPr>
              <w:spacing w:after="0"/>
              <w:rPr>
                <w:sz w:val="21"/>
                <w:szCs w:val="21"/>
                <w:color w:val="auto"/>
              </w:rPr>
            </w:pPr>
          </w:p>
        </w:tc>
        <w:tc>
          <w:tcPr>
            <w:tcW w:w="2040" w:type="dxa"/>
            <w:vAlign w:val="bottom"/>
          </w:tcPr>
          <w:p>
            <w:pPr>
              <w:spacing w:after="0"/>
              <w:rPr>
                <w:sz w:val="21"/>
                <w:szCs w:val="21"/>
                <w:color w:val="auto"/>
              </w:rPr>
            </w:pPr>
          </w:p>
        </w:tc>
        <w:tc>
          <w:tcPr>
            <w:tcW w:w="2120" w:type="dxa"/>
            <w:vAlign w:val="bottom"/>
          </w:tcPr>
          <w:p>
            <w:pPr>
              <w:ind w:left="26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345"/>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Receita Serviços</w:t>
            </w:r>
          </w:p>
        </w:tc>
        <w:tc>
          <w:tcPr>
            <w:tcW w:w="1700" w:type="dxa"/>
            <w:vAlign w:val="bottom"/>
          </w:tcPr>
          <w:p>
            <w:pPr>
              <w:spacing w:after="0"/>
              <w:rPr>
                <w:sz w:val="24"/>
                <w:szCs w:val="24"/>
                <w:color w:val="auto"/>
              </w:rPr>
            </w:pPr>
          </w:p>
        </w:tc>
        <w:tc>
          <w:tcPr>
            <w:tcW w:w="2040" w:type="dxa"/>
            <w:vAlign w:val="bottom"/>
          </w:tcPr>
          <w:p>
            <w:pPr>
              <w:spacing w:after="0"/>
              <w:rPr>
                <w:sz w:val="24"/>
                <w:szCs w:val="24"/>
                <w:color w:val="auto"/>
              </w:rPr>
            </w:pPr>
          </w:p>
        </w:tc>
        <w:tc>
          <w:tcPr>
            <w:tcW w:w="2120" w:type="dxa"/>
            <w:vAlign w:val="bottom"/>
          </w:tcPr>
          <w:p>
            <w:pPr>
              <w:ind w:left="260"/>
              <w:spacing w:after="0"/>
              <w:rPr>
                <w:sz w:val="20"/>
                <w:szCs w:val="20"/>
                <w:color w:val="auto"/>
              </w:rPr>
            </w:pP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250"/>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Risco Crédito</w:t>
            </w:r>
          </w:p>
        </w:tc>
        <w:tc>
          <w:tcPr>
            <w:tcW w:w="1700" w:type="dxa"/>
            <w:vAlign w:val="bottom"/>
          </w:tcPr>
          <w:p>
            <w:pPr>
              <w:spacing w:after="0"/>
              <w:rPr>
                <w:sz w:val="21"/>
                <w:szCs w:val="21"/>
                <w:color w:val="auto"/>
              </w:rPr>
            </w:pPr>
          </w:p>
        </w:tc>
        <w:tc>
          <w:tcPr>
            <w:tcW w:w="2040" w:type="dxa"/>
            <w:vAlign w:val="bottom"/>
          </w:tcPr>
          <w:p>
            <w:pPr>
              <w:ind w:left="360"/>
              <w:spacing w:after="0"/>
              <w:rPr>
                <w:sz w:val="20"/>
                <w:szCs w:val="20"/>
                <w:color w:val="auto"/>
              </w:rPr>
            </w:pPr>
            <w:r>
              <w:rPr>
                <w:rFonts w:ascii="Arial" w:cs="Arial" w:eastAsia="Arial" w:hAnsi="Arial"/>
                <w:sz w:val="20"/>
                <w:szCs w:val="20"/>
                <w:color w:val="auto"/>
              </w:rPr>
              <w:t>+</w:t>
            </w:r>
          </w:p>
        </w:tc>
        <w:tc>
          <w:tcPr>
            <w:tcW w:w="2120" w:type="dxa"/>
            <w:vAlign w:val="bottom"/>
          </w:tcPr>
          <w:p>
            <w:pPr>
              <w:ind w:left="280"/>
              <w:spacing w:after="0"/>
              <w:rPr>
                <w:sz w:val="20"/>
                <w:szCs w:val="20"/>
                <w:color w:val="auto"/>
              </w:rPr>
            </w:pPr>
            <w:r>
              <w:rPr>
                <w:rFonts w:ascii="Arial" w:cs="Arial" w:eastAsia="Arial" w:hAnsi="Arial"/>
                <w:sz w:val="20"/>
                <w:szCs w:val="20"/>
                <w:color w:val="auto"/>
              </w:rPr>
              <w:t>Não significativo</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39370</wp:posOffset>
                </wp:positionV>
                <wp:extent cx="5287010"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870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3.1pt" to="429.25pt,3.1pt" o:allowincell="f" strokecolor="#000000" strokeweight="0.936pt"/>
            </w:pict>
          </mc:Fallback>
        </mc:AlternateContent>
      </w:r>
    </w:p>
    <w:p>
      <w:pPr>
        <w:spacing w:after="0" w:line="54" w:lineRule="exact"/>
        <w:rPr>
          <w:sz w:val="20"/>
          <w:szCs w:val="20"/>
          <w:color w:val="auto"/>
        </w:rPr>
      </w:pPr>
    </w:p>
    <w:p>
      <w:pPr>
        <w:jc w:val="center"/>
        <w:ind w:right="-25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das fontes citadas</w:t>
      </w:r>
    </w:p>
    <w:p>
      <w:pPr>
        <w:sectPr>
          <w:pgSz w:w="11900" w:h="16838" w:orient="portrait"/>
          <w:cols w:equalWidth="0" w:num="1">
            <w:col w:w="9320"/>
          </w:cols>
          <w:pgMar w:left="1440" w:top="991" w:right="1146" w:bottom="1440" w:gutter="0" w:footer="0" w:header="0"/>
        </w:sectPr>
      </w:pPr>
    </w:p>
    <w:p>
      <w:pPr>
        <w:jc w:val="right"/>
        <w:spacing w:after="0"/>
        <w:rPr>
          <w:sz w:val="20"/>
          <w:szCs w:val="20"/>
          <w:color w:val="auto"/>
        </w:rPr>
      </w:pPr>
      <w:r>
        <w:rPr>
          <w:rFonts w:ascii="Arial" w:cs="Arial" w:eastAsia="Arial" w:hAnsi="Arial"/>
          <w:sz w:val="24"/>
          <w:szCs w:val="24"/>
          <w:color w:val="auto"/>
        </w:rPr>
        <w:t>46</w:t>
      </w:r>
    </w:p>
    <w:p>
      <w:pPr>
        <w:spacing w:after="0" w:line="200" w:lineRule="exact"/>
        <w:rPr>
          <w:sz w:val="20"/>
          <w:szCs w:val="20"/>
          <w:color w:val="auto"/>
        </w:rPr>
      </w:pPr>
    </w:p>
    <w:p>
      <w:pPr>
        <w:spacing w:after="0" w:line="246"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No próximo capítulo, será descrita a metodologia de trabalho com a formulação das hipóteses baseado nas informações e levantamentos dos capítulos anteriores, nos estudos pesquisados e na teoria econômica, através da coleta, tratamento e análise de dados.</w:t>
      </w:r>
    </w:p>
    <w:p>
      <w:pPr>
        <w:sectPr>
          <w:pgSz w:w="11900" w:h="16838" w:orient="portrait"/>
          <w:cols w:equalWidth="0" w:num="1">
            <w:col w:w="9320"/>
          </w:cols>
          <w:pgMar w:left="1440" w:top="991" w:right="1146" w:bottom="1440" w:gutter="0" w:footer="0" w:header="0"/>
        </w:sectPr>
      </w:pPr>
    </w:p>
    <w:p>
      <w:pPr>
        <w:ind w:left="9100"/>
        <w:spacing w:after="0"/>
        <w:rPr>
          <w:sz w:val="20"/>
          <w:szCs w:val="20"/>
          <w:color w:val="auto"/>
        </w:rPr>
      </w:pPr>
      <w:r>
        <w:rPr>
          <w:rFonts w:ascii="Arial" w:cs="Arial" w:eastAsia="Arial" w:hAnsi="Arial"/>
          <w:sz w:val="20"/>
          <w:szCs w:val="20"/>
          <w:color w:val="auto"/>
        </w:rPr>
        <w:t>47</w:t>
      </w: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3 PROCEDIMENTOS METODOLÓGICOS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Neste capítulo serão descritos os principais procedimentos metodológicos, técnicas e ferramentas que serão utilizados neste trabalho, visando organizar as etapas da pesquisa e permitir um maior nível de reproducibilidade, revisão e refutabilidade da mesma.</w:t>
      </w:r>
    </w:p>
    <w:p>
      <w:pPr>
        <w:spacing w:after="0" w:line="96"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Este trabalho está sendo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spacing w:after="0" w:line="96"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Serão selecionadas as instituições bancárias na categoria de Banco Múltiplo, Banco Comercial, Banco e Investimento, Banco de Desenvolvimento e Caixa Econômi-cas que realizaram operações de crédito entre o primeiro trimestre de 2001 e o terceiro trimestre e 2020.</w:t>
      </w:r>
    </w:p>
    <w:p>
      <w:pPr>
        <w:spacing w:after="0" w:line="96"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Para efeitos de identificação de variáveis macroeconômicas que atuam como componentes implícitos e explícitos do spread serão avaliadas a taxa Selic, Taxa de Compulsório, Base Monetária e meios de pagamento. Estes dados serão obtidos de forma secundária nos bancos de dados abertos do Banco Central, IPEA, IBGE e Receita Federal do Brasil.</w:t>
      </w:r>
    </w:p>
    <w:p>
      <w:pPr>
        <w:spacing w:after="0" w:line="101" w:lineRule="exact"/>
        <w:rPr>
          <w:sz w:val="20"/>
          <w:szCs w:val="20"/>
          <w:color w:val="auto"/>
        </w:rPr>
      </w:pPr>
    </w:p>
    <w:p>
      <w:pPr>
        <w:jc w:val="both"/>
        <w:ind w:left="260" w:right="40" w:firstLine="850"/>
        <w:spacing w:after="0" w:line="442" w:lineRule="auto"/>
        <w:rPr>
          <w:sz w:val="20"/>
          <w:szCs w:val="20"/>
          <w:color w:val="auto"/>
        </w:rPr>
      </w:pPr>
      <w:r>
        <w:rPr>
          <w:rFonts w:ascii="Arial" w:cs="Arial" w:eastAsia="Arial" w:hAnsi="Arial"/>
          <w:sz w:val="23"/>
          <w:szCs w:val="23"/>
          <w:color w:val="auto"/>
        </w:rPr>
        <w:t>Os dados de resultados, operação, indicadores e estrutura de capital das instituições bancárias serão obtidos de forma secundária nos banco de dados abertos do Banco Central e da Comissão de Valores Monetários, consistindo em demonstrações contábeis padronizadas informadas a estas instituições supervisoras.</w:t>
      </w:r>
    </w:p>
    <w:p>
      <w:pPr>
        <w:spacing w:after="0" w:line="84"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Para construção dos modelos econométricos a serem estimados se partirá de alguns pressupostos teóricos norteadores obtidos através da pesquisa bibliográfica e concepções desenvolvidas antes e durante a pesquisa, com intuíto embasar a seleção das variáveis a serem testadas e incluídas no modelo final.</w:t>
      </w:r>
    </w:p>
    <w:p>
      <w:pPr>
        <w:sectPr>
          <w:pgSz w:w="11900" w:h="16838" w:orient="portrait"/>
          <w:cols w:equalWidth="0" w:num="1">
            <w:col w:w="9360"/>
          </w:cols>
          <w:pgMar w:left="1440" w:top="1028" w:right="1106" w:bottom="589" w:gutter="0" w:footer="0" w:header="0"/>
        </w:sectPr>
      </w:pPr>
    </w:p>
    <w:p>
      <w:pPr>
        <w:ind w:left="9060"/>
        <w:spacing w:after="0"/>
        <w:rPr>
          <w:sz w:val="20"/>
          <w:szCs w:val="20"/>
          <w:color w:val="auto"/>
        </w:rPr>
      </w:pPr>
      <w:r>
        <w:rPr>
          <w:rFonts w:ascii="Arial" w:cs="Arial" w:eastAsia="Arial" w:hAnsi="Arial"/>
          <w:sz w:val="24"/>
          <w:szCs w:val="24"/>
          <w:color w:val="auto"/>
        </w:rPr>
        <w:t>48</w:t>
      </w:r>
    </w:p>
    <w:p>
      <w:pPr>
        <w:spacing w:after="0" w:line="200" w:lineRule="exact"/>
        <w:rPr>
          <w:sz w:val="20"/>
          <w:szCs w:val="20"/>
          <w:color w:val="auto"/>
        </w:rPr>
      </w:pPr>
    </w:p>
    <w:p>
      <w:pPr>
        <w:spacing w:after="0" w:line="246" w:lineRule="exact"/>
        <w:rPr>
          <w:sz w:val="20"/>
          <w:szCs w:val="20"/>
          <w:color w:val="auto"/>
        </w:rPr>
      </w:pPr>
    </w:p>
    <w:p>
      <w:pPr>
        <w:jc w:val="both"/>
        <w:ind w:left="260" w:firstLine="850"/>
        <w:spacing w:after="0" w:line="442" w:lineRule="auto"/>
        <w:rPr>
          <w:sz w:val="20"/>
          <w:szCs w:val="20"/>
          <w:color w:val="auto"/>
        </w:rPr>
      </w:pPr>
      <w:r>
        <w:rPr>
          <w:rFonts w:ascii="Arial" w:cs="Arial" w:eastAsia="Arial" w:hAnsi="Arial"/>
          <w:sz w:val="23"/>
          <w:szCs w:val="23"/>
          <w:color w:val="auto"/>
        </w:rPr>
        <w:t>Será assumido que o spread bancário é definido diante um conjunto de fatores endógenos, definidos por questões microeconômicas envolvendo as operações de cada instituição e dos mercados financeiro e bancário, e fatores exógenos provenientes de questões macroeconômicas, afetando diretamente ou indiretamente as operações.</w:t>
      </w:r>
    </w:p>
    <w:p>
      <w:pPr>
        <w:spacing w:after="0" w:line="66" w:lineRule="exact"/>
        <w:rPr>
          <w:sz w:val="20"/>
          <w:szCs w:val="20"/>
          <w:color w:val="auto"/>
        </w:rPr>
      </w:pPr>
    </w:p>
    <w:p>
      <w:pPr>
        <w:jc w:val="both"/>
        <w:ind w:left="260" w:firstLine="850"/>
        <w:spacing w:after="0" w:line="421" w:lineRule="auto"/>
        <w:rPr>
          <w:sz w:val="20"/>
          <w:szCs w:val="20"/>
          <w:color w:val="auto"/>
        </w:rPr>
      </w:pPr>
      <w:r>
        <w:rPr>
          <w:rFonts w:ascii="Arial" w:cs="Arial" w:eastAsia="Arial" w:hAnsi="Arial"/>
          <w:sz w:val="24"/>
          <w:szCs w:val="24"/>
          <w:color w:val="auto"/>
        </w:rPr>
        <w:t>O spread (</w:t>
      </w:r>
      <w:r>
        <w:rPr>
          <w:rFonts w:ascii="Arial" w:cs="Arial" w:eastAsia="Arial" w:hAnsi="Arial"/>
          <w:sz w:val="24"/>
          <w:szCs w:val="24"/>
          <w:i w:val="1"/>
          <w:iCs w:val="1"/>
          <w:color w:val="auto"/>
        </w:rPr>
        <w:t>SP R</w:t>
      </w:r>
      <w:r>
        <w:rPr>
          <w:rFonts w:ascii="Arial" w:cs="Arial" w:eastAsia="Arial" w:hAnsi="Arial"/>
          <w:sz w:val="24"/>
          <w:szCs w:val="24"/>
          <w:color w:val="auto"/>
        </w:rPr>
        <w:t>) será abordado dentro de uma concepção de precificação, diante um conjunto de variáveis explícitas como despesa de captação (</w:t>
      </w:r>
      <w:r>
        <w:rPr>
          <w:rFonts w:ascii="Arial" w:cs="Arial" w:eastAsia="Arial" w:hAnsi="Arial"/>
          <w:sz w:val="24"/>
          <w:szCs w:val="24"/>
          <w:i w:val="1"/>
          <w:iCs w:val="1"/>
          <w:color w:val="auto"/>
        </w:rPr>
        <w:t>D</w:t>
      </w:r>
      <w:r>
        <w:rPr>
          <w:rFonts w:ascii="Arial" w:cs="Arial" w:eastAsia="Arial" w:hAnsi="Arial"/>
          <w:sz w:val="24"/>
          <w:szCs w:val="24"/>
          <w:color w:val="auto"/>
        </w:rPr>
        <w:t>), capital em-prestado (</w:t>
      </w:r>
      <w:r>
        <w:rPr>
          <w:rFonts w:ascii="Arial" w:cs="Arial" w:eastAsia="Arial" w:hAnsi="Arial"/>
          <w:sz w:val="24"/>
          <w:szCs w:val="24"/>
          <w:i w:val="1"/>
          <w:iCs w:val="1"/>
          <w:color w:val="auto"/>
        </w:rPr>
        <w:t>E</w:t>
      </w:r>
      <w:r>
        <w:rPr>
          <w:rFonts w:ascii="Arial" w:cs="Arial" w:eastAsia="Arial" w:hAnsi="Arial"/>
          <w:sz w:val="24"/>
          <w:szCs w:val="24"/>
          <w:color w:val="auto"/>
        </w:rPr>
        <w:t>) — insumo das operações de crédito —, impostos variáveis (</w:t>
      </w:r>
      <w:r>
        <w:rPr>
          <w:rFonts w:ascii="Arial" w:cs="Arial" w:eastAsia="Arial" w:hAnsi="Arial"/>
          <w:sz w:val="24"/>
          <w:szCs w:val="24"/>
          <w:i w:val="1"/>
          <w:iCs w:val="1"/>
          <w:color w:val="auto"/>
        </w:rPr>
        <w:t>II</w:t>
      </w:r>
      <w:r>
        <w:rPr>
          <w:rFonts w:ascii="Arial" w:cs="Arial" w:eastAsia="Arial" w:hAnsi="Arial"/>
          <w:sz w:val="24"/>
          <w:szCs w:val="24"/>
          <w:color w:val="auto"/>
        </w:rPr>
        <w:t>), despesas administrativas (</w:t>
      </w:r>
      <w:r>
        <w:rPr>
          <w:rFonts w:ascii="Arial" w:cs="Arial" w:eastAsia="Arial" w:hAnsi="Arial"/>
          <w:sz w:val="24"/>
          <w:szCs w:val="24"/>
          <w:i w:val="1"/>
          <w:iCs w:val="1"/>
          <w:color w:val="auto"/>
        </w:rPr>
        <w:t>DA</w:t>
      </w:r>
      <w:r>
        <w:rPr>
          <w:rFonts w:ascii="Arial" w:cs="Arial" w:eastAsia="Arial" w:hAnsi="Arial"/>
          <w:sz w:val="24"/>
          <w:szCs w:val="24"/>
          <w:color w:val="auto"/>
        </w:rPr>
        <w:t>), lucro líquido (</w:t>
      </w:r>
      <w:r>
        <w:rPr>
          <w:rFonts w:ascii="Arial" w:cs="Arial" w:eastAsia="Arial" w:hAnsi="Arial"/>
          <w:sz w:val="24"/>
          <w:szCs w:val="24"/>
          <w:i w:val="1"/>
          <w:iCs w:val="1"/>
          <w:color w:val="auto"/>
        </w:rPr>
        <w:t>M L</w:t>
      </w:r>
      <w:r>
        <w:rPr>
          <w:rFonts w:ascii="Arial" w:cs="Arial" w:eastAsia="Arial" w:hAnsi="Arial"/>
          <w:sz w:val="24"/>
          <w:szCs w:val="24"/>
          <w:color w:val="auto"/>
        </w:rPr>
        <w:t>) e inadimplência (</w:t>
      </w:r>
      <w:r>
        <w:rPr>
          <w:rFonts w:ascii="Arial" w:cs="Arial" w:eastAsia="Arial" w:hAnsi="Arial"/>
          <w:sz w:val="24"/>
          <w:szCs w:val="24"/>
          <w:i w:val="1"/>
          <w:iCs w:val="1"/>
          <w:color w:val="auto"/>
        </w:rPr>
        <w:t>IN D</w:t>
      </w:r>
      <w:r>
        <w:rPr>
          <w:rFonts w:ascii="Arial" w:cs="Arial" w:eastAsia="Arial" w:hAnsi="Arial"/>
          <w:sz w:val="24"/>
          <w:szCs w:val="24"/>
          <w:color w:val="auto"/>
        </w:rPr>
        <w:t>).</w:t>
      </w:r>
    </w:p>
    <w:p>
      <w:pPr>
        <w:spacing w:after="0" w:line="46"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Spr</w:t>
      </w:r>
      <w:r>
        <w:rPr>
          <w:rFonts w:ascii="Arial" w:cs="Arial" w:eastAsia="Arial" w:hAnsi="Arial"/>
          <w:sz w:val="24"/>
          <w:szCs w:val="24"/>
          <w:color w:val="auto"/>
        </w:rPr>
        <w:t xml:space="preserve"> = </w:t>
      </w:r>
      <w:r>
        <w:rPr>
          <w:rFonts w:ascii="Arial" w:cs="Arial" w:eastAsia="Arial" w:hAnsi="Arial"/>
          <w:sz w:val="24"/>
          <w:szCs w:val="24"/>
          <w:i w:val="1"/>
          <w:iCs w:val="1"/>
          <w:color w:val="auto"/>
        </w:rPr>
        <w:t>f</w:t>
      </w:r>
      <w:r>
        <w:rPr>
          <w:rFonts w:ascii="Arial" w:cs="Arial" w:eastAsia="Arial" w:hAnsi="Arial"/>
          <w:sz w:val="24"/>
          <w:szCs w:val="24"/>
          <w:color w:val="auto"/>
        </w:rPr>
        <w:t>(</w:t>
      </w:r>
      <w:r>
        <w:rPr>
          <w:rFonts w:ascii="Arial" w:cs="Arial" w:eastAsia="Arial" w:hAnsi="Arial"/>
          <w:sz w:val="24"/>
          <w:szCs w:val="24"/>
          <w:i w:val="1"/>
          <w:iCs w:val="1"/>
          <w:color w:val="auto"/>
        </w:rPr>
        <w:t>E, D, II, DA, M L, IN D</w:t>
      </w:r>
      <w:r>
        <w:rPr>
          <w:rFonts w:ascii="Arial" w:cs="Arial" w:eastAsia="Arial" w:hAnsi="Arial"/>
          <w:sz w:val="24"/>
          <w:szCs w:val="24"/>
          <w:color w:val="auto"/>
        </w:rPr>
        <w:t>)</w:t>
      </w:r>
    </w:p>
    <w:p>
      <w:pPr>
        <w:spacing w:after="0" w:line="200" w:lineRule="exact"/>
        <w:rPr>
          <w:sz w:val="20"/>
          <w:szCs w:val="20"/>
          <w:color w:val="auto"/>
        </w:rPr>
      </w:pPr>
    </w:p>
    <w:p>
      <w:pPr>
        <w:spacing w:after="0" w:line="259"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Na visão microeconômica, assume-se que o spread bancário não se configura na margem de lucro dos bancos, não cabendo abordagem de spread bruto, direto e líquido. E que o spread bancário se relaciona com os resultados das instituições, colaborando com a solidez do setor, não cabendo a inclusão no modelo de variáveis que remetam a resultados e calculadas a partir destas.</w:t>
      </w:r>
    </w:p>
    <w:p>
      <w:pPr>
        <w:spacing w:after="0" w:line="83"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Na abordagem macroeconômica, o spread bancário é tido como um indicador fundamental e determinante para o nível de desenvolvimento econômico de deter-minado país ou região a medida que se relaciona com a determinação de nível e crédito produtivo capaz de gerar renda, influenciado por variáveis macroeconômicas relacionadas a regulação e políticas monetárias e fiscais.</w:t>
      </w:r>
    </w:p>
    <w:p>
      <w:pPr>
        <w:spacing w:after="0" w:line="83" w:lineRule="exact"/>
        <w:rPr>
          <w:sz w:val="20"/>
          <w:szCs w:val="20"/>
          <w:color w:val="auto"/>
        </w:rPr>
      </w:pPr>
    </w:p>
    <w:p>
      <w:pPr>
        <w:jc w:val="both"/>
        <w:ind w:left="260" w:firstLine="850"/>
        <w:spacing w:after="0" w:line="418" w:lineRule="auto"/>
        <w:rPr>
          <w:sz w:val="20"/>
          <w:szCs w:val="20"/>
          <w:color w:val="auto"/>
        </w:rPr>
      </w:pPr>
      <w:r>
        <w:rPr>
          <w:rFonts w:ascii="Arial" w:cs="Arial" w:eastAsia="Arial" w:hAnsi="Arial"/>
          <w:sz w:val="24"/>
          <w:szCs w:val="24"/>
          <w:color w:val="auto"/>
        </w:rPr>
        <w:t>Nesse sentido aqui é estabelecida a compreensão que o nível de atividade econômica, industrial, produtividade, desemprego e produto interno bruto de mercados, países e regiões guardam relação com o spread bancário, e não o contrário, mesmo que aja a compreensão da abordagem em torno das expectativas dos agentes, será mantida a abordagem de não não considerar essas variáveis como determinantes do spread ex-post.</w:t>
      </w:r>
    </w:p>
    <w:p>
      <w:pPr>
        <w:spacing w:after="0" w:line="55"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SprEp</w:t>
      </w:r>
      <w:r>
        <w:rPr>
          <w:rFonts w:ascii="Arial" w:cs="Arial" w:eastAsia="Arial" w:hAnsi="Arial"/>
          <w:sz w:val="24"/>
          <w:szCs w:val="24"/>
          <w:color w:val="auto"/>
        </w:rPr>
        <w:t xml:space="preserve"> = </w:t>
      </w:r>
      <w:r>
        <w:rPr>
          <w:rFonts w:ascii="Arial" w:cs="Arial" w:eastAsia="Arial" w:hAnsi="Arial"/>
          <w:sz w:val="24"/>
          <w:szCs w:val="24"/>
          <w:i w:val="1"/>
          <w:iCs w:val="1"/>
          <w:color w:val="auto"/>
        </w:rPr>
        <w:t>f</w:t>
      </w:r>
      <w:r>
        <w:rPr>
          <w:rFonts w:ascii="Arial" w:cs="Arial" w:eastAsia="Arial" w:hAnsi="Arial"/>
          <w:sz w:val="24"/>
          <w:szCs w:val="24"/>
          <w:color w:val="auto"/>
        </w:rPr>
        <w:t>(</w:t>
      </w:r>
      <w:r>
        <w:rPr>
          <w:rFonts w:ascii="Arial" w:cs="Arial" w:eastAsia="Arial" w:hAnsi="Arial"/>
          <w:sz w:val="24"/>
          <w:szCs w:val="24"/>
          <w:i w:val="1"/>
          <w:iCs w:val="1"/>
          <w:color w:val="auto"/>
        </w:rPr>
        <w:t>SEL, COM P, IP CA, BM, M P, V M</w:t>
      </w:r>
      <w:r>
        <w:rPr>
          <w:rFonts w:ascii="Arial" w:cs="Arial" w:eastAsia="Arial" w:hAnsi="Arial"/>
          <w:sz w:val="24"/>
          <w:szCs w:val="24"/>
          <w:color w:val="auto"/>
        </w:rPr>
        <w:t>)</w:t>
      </w:r>
    </w:p>
    <w:p>
      <w:pPr>
        <w:spacing w:after="0" w:line="200" w:lineRule="exact"/>
        <w:rPr>
          <w:sz w:val="20"/>
          <w:szCs w:val="20"/>
          <w:color w:val="auto"/>
        </w:rPr>
      </w:pPr>
    </w:p>
    <w:p>
      <w:pPr>
        <w:spacing w:after="0" w:line="259" w:lineRule="exact"/>
        <w:rPr>
          <w:sz w:val="20"/>
          <w:szCs w:val="20"/>
          <w:color w:val="auto"/>
        </w:rPr>
      </w:pPr>
    </w:p>
    <w:p>
      <w:pPr>
        <w:ind w:left="260" w:right="40" w:firstLine="850"/>
        <w:spacing w:after="0" w:line="431" w:lineRule="auto"/>
        <w:rPr>
          <w:sz w:val="20"/>
          <w:szCs w:val="20"/>
          <w:color w:val="auto"/>
        </w:rPr>
      </w:pPr>
      <w:r>
        <w:rPr>
          <w:rFonts w:ascii="Arial" w:cs="Arial" w:eastAsia="Arial" w:hAnsi="Arial"/>
          <w:sz w:val="24"/>
          <w:szCs w:val="24"/>
          <w:color w:val="auto"/>
        </w:rPr>
        <w:t>O primeiro modelo a ser desenvolvido buscará testar e selecionar variáveis macroeconômicas e microeconômicas que exerçam significativa influência, de forma</w:t>
      </w:r>
    </w:p>
    <w:p>
      <w:pPr>
        <w:sectPr>
          <w:pgSz w:w="11900" w:h="16838" w:orient="portrait"/>
          <w:cols w:equalWidth="0" w:num="1">
            <w:col w:w="9360"/>
          </w:cols>
          <w:pgMar w:left="1440" w:top="991" w:right="1106" w:bottom="179" w:gutter="0" w:footer="0" w:header="0"/>
        </w:sectPr>
      </w:pPr>
    </w:p>
    <w:p>
      <w:pPr>
        <w:ind w:left="9060"/>
        <w:spacing w:after="0"/>
        <w:rPr>
          <w:sz w:val="20"/>
          <w:szCs w:val="20"/>
          <w:color w:val="auto"/>
        </w:rPr>
      </w:pPr>
      <w:r>
        <w:rPr>
          <w:rFonts w:ascii="Arial" w:cs="Arial" w:eastAsia="Arial" w:hAnsi="Arial"/>
          <w:sz w:val="24"/>
          <w:szCs w:val="24"/>
          <w:color w:val="auto"/>
        </w:rPr>
        <w:t>49</w:t>
      </w:r>
    </w:p>
    <w:p>
      <w:pPr>
        <w:spacing w:after="0" w:line="200" w:lineRule="exact"/>
        <w:rPr>
          <w:sz w:val="20"/>
          <w:szCs w:val="20"/>
          <w:color w:val="auto"/>
        </w:rPr>
      </w:pPr>
    </w:p>
    <w:p>
      <w:pPr>
        <w:spacing w:after="0" w:line="246" w:lineRule="exact"/>
        <w:rPr>
          <w:sz w:val="20"/>
          <w:szCs w:val="20"/>
          <w:color w:val="auto"/>
        </w:rPr>
      </w:pPr>
    </w:p>
    <w:p>
      <w:pPr>
        <w:jc w:val="both"/>
        <w:ind w:left="260" w:right="40"/>
        <w:spacing w:after="0" w:line="337" w:lineRule="auto"/>
        <w:rPr>
          <w:sz w:val="20"/>
          <w:szCs w:val="20"/>
          <w:color w:val="auto"/>
        </w:rPr>
      </w:pPr>
      <w:r>
        <w:rPr>
          <w:rFonts w:ascii="Arial" w:cs="Arial" w:eastAsia="Arial" w:hAnsi="Arial"/>
          <w:sz w:val="24"/>
          <w:szCs w:val="24"/>
          <w:color w:val="auto"/>
        </w:rPr>
        <w:t>implícita e explícita no spread bancário ex-post. Partindo da definição geral tautológica de Spread (</w:t>
      </w:r>
      <w:r>
        <w:rPr>
          <w:rFonts w:ascii="Arial" w:cs="Arial" w:eastAsia="Arial" w:hAnsi="Arial"/>
          <w:sz w:val="24"/>
          <w:szCs w:val="24"/>
          <w:i w:val="1"/>
          <w:iCs w:val="1"/>
          <w:color w:val="auto"/>
        </w:rPr>
        <w:t>Spr</w:t>
      </w:r>
      <w:r>
        <w:rPr>
          <w:rFonts w:ascii="Arial" w:cs="Arial" w:eastAsia="Arial" w:hAnsi="Arial"/>
          <w:sz w:val="24"/>
          <w:szCs w:val="24"/>
          <w:color w:val="auto"/>
        </w:rPr>
        <w:t>), resultado da diferença entre a taxa de aplicação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apl</w:t>
      </w:r>
      <w:r>
        <w:rPr>
          <w:rFonts w:ascii="Arial" w:cs="Arial" w:eastAsia="Arial" w:hAnsi="Arial"/>
          <w:sz w:val="24"/>
          <w:szCs w:val="24"/>
          <w:color w:val="auto"/>
        </w:rPr>
        <w:t>) e a taxa de captação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cap</w:t>
      </w:r>
      <w:r>
        <w:rPr>
          <w:rFonts w:ascii="Arial" w:cs="Arial" w:eastAsia="Arial" w:hAnsi="Arial"/>
          <w:sz w:val="24"/>
          <w:szCs w:val="24"/>
          <w:color w:val="auto"/>
        </w:rPr>
        <w:t>).</w:t>
      </w:r>
    </w:p>
    <w:p>
      <w:pPr>
        <w:spacing w:after="0" w:line="3"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Spr</w:t>
      </w:r>
      <w:r>
        <w:rPr>
          <w:rFonts w:ascii="Arial" w:cs="Arial" w:eastAsia="Arial" w:hAnsi="Arial"/>
          <w:sz w:val="24"/>
          <w:szCs w:val="24"/>
          <w:color w:val="auto"/>
        </w:rPr>
        <w:t xml:space="preserve"> =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apl</w:t>
      </w:r>
      <w:r>
        <w:rPr>
          <w:rFonts w:ascii="Arial" w:cs="Arial" w:eastAsia="Arial" w:hAnsi="Arial"/>
          <w:sz w:val="24"/>
          <w:szCs w:val="24"/>
          <w:color w:val="auto"/>
        </w:rPr>
        <w:t xml:space="preserve"> −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cap</w:t>
      </w:r>
    </w:p>
    <w:p>
      <w:pPr>
        <w:spacing w:after="0" w:line="342" w:lineRule="exact"/>
        <w:rPr>
          <w:sz w:val="20"/>
          <w:szCs w:val="20"/>
          <w:color w:val="auto"/>
        </w:rPr>
      </w:pPr>
    </w:p>
    <w:p>
      <w:pPr>
        <w:jc w:val="both"/>
        <w:ind w:left="260" w:right="40" w:firstLine="850"/>
        <w:spacing w:after="0" w:line="368" w:lineRule="auto"/>
        <w:rPr>
          <w:sz w:val="20"/>
          <w:szCs w:val="20"/>
          <w:color w:val="auto"/>
        </w:rPr>
      </w:pPr>
      <w:r>
        <w:rPr>
          <w:rFonts w:ascii="Arial" w:cs="Arial" w:eastAsia="Arial" w:hAnsi="Arial"/>
          <w:sz w:val="24"/>
          <w:szCs w:val="24"/>
          <w:color w:val="auto"/>
        </w:rPr>
        <w:t>Em termos de resultado a taxa de aplicação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apl</w:t>
      </w:r>
      <w:r>
        <w:rPr>
          <w:rFonts w:ascii="Arial" w:cs="Arial" w:eastAsia="Arial" w:hAnsi="Arial"/>
          <w:sz w:val="24"/>
          <w:szCs w:val="24"/>
          <w:color w:val="auto"/>
        </w:rPr>
        <w:t>) é obtida da relação entre a receita das operações de crédito (</w:t>
      </w:r>
      <w:r>
        <w:rPr>
          <w:rFonts w:ascii="Arial" w:cs="Arial" w:eastAsia="Arial" w:hAnsi="Arial"/>
          <w:sz w:val="24"/>
          <w:szCs w:val="24"/>
          <w:i w:val="1"/>
          <w:iCs w:val="1"/>
          <w:color w:val="auto"/>
        </w:rPr>
        <w:t>R</w:t>
      </w:r>
      <w:r>
        <w:rPr>
          <w:rFonts w:ascii="Arial" w:cs="Arial" w:eastAsia="Arial" w:hAnsi="Arial"/>
          <w:sz w:val="24"/>
          <w:szCs w:val="24"/>
          <w:color w:val="auto"/>
        </w:rPr>
        <w:t>) e das operações de crédito (</w:t>
      </w:r>
      <w:r>
        <w:rPr>
          <w:rFonts w:ascii="Arial" w:cs="Arial" w:eastAsia="Arial" w:hAnsi="Arial"/>
          <w:sz w:val="24"/>
          <w:szCs w:val="24"/>
          <w:i w:val="1"/>
          <w:iCs w:val="1"/>
          <w:color w:val="auto"/>
        </w:rPr>
        <w:t>E</w:t>
      </w:r>
      <w:r>
        <w:rPr>
          <w:rFonts w:ascii="Arial" w:cs="Arial" w:eastAsia="Arial" w:hAnsi="Arial"/>
          <w:sz w:val="24"/>
          <w:szCs w:val="24"/>
          <w:color w:val="auto"/>
        </w:rPr>
        <w:t>). Já a taxa de captação é extraída da relação entre as despesas de captação (</w:t>
      </w:r>
      <w:r>
        <w:rPr>
          <w:rFonts w:ascii="Arial" w:cs="Arial" w:eastAsia="Arial" w:hAnsi="Arial"/>
          <w:sz w:val="24"/>
          <w:szCs w:val="24"/>
          <w:i w:val="1"/>
          <w:iCs w:val="1"/>
          <w:color w:val="auto"/>
        </w:rPr>
        <w:t>D</w:t>
      </w:r>
      <w:r>
        <w:rPr>
          <w:rFonts w:ascii="Arial" w:cs="Arial" w:eastAsia="Arial" w:hAnsi="Arial"/>
          <w:sz w:val="31"/>
          <w:szCs w:val="31"/>
          <w:i w:val="1"/>
          <w:iCs w:val="1"/>
          <w:color w:val="auto"/>
          <w:vertAlign w:val="subscript"/>
        </w:rPr>
        <w:t>cap</w:t>
      </w:r>
      <w:r>
        <w:rPr>
          <w:rFonts w:ascii="Arial" w:cs="Arial" w:eastAsia="Arial" w:hAnsi="Arial"/>
          <w:sz w:val="24"/>
          <w:szCs w:val="24"/>
          <w:color w:val="auto"/>
        </w:rPr>
        <w:t>) em relação do montante capitado (</w:t>
      </w:r>
      <w:r>
        <w:rPr>
          <w:rFonts w:ascii="Arial" w:cs="Arial" w:eastAsia="Arial" w:hAnsi="Arial"/>
          <w:sz w:val="24"/>
          <w:szCs w:val="24"/>
          <w:i w:val="1"/>
          <w:iCs w:val="1"/>
          <w:color w:val="auto"/>
        </w:rPr>
        <w:t>C</w:t>
      </w:r>
      <w:r>
        <w:rPr>
          <w:rFonts w:ascii="Arial" w:cs="Arial" w:eastAsia="Arial" w:hAnsi="Arial"/>
          <w:sz w:val="24"/>
          <w:szCs w:val="24"/>
          <w:color w:val="auto"/>
        </w:rPr>
        <w:t>)</w:t>
      </w:r>
    </w:p>
    <w:p>
      <w:pPr>
        <w:spacing w:after="0" w:line="200" w:lineRule="exact"/>
        <w:rPr>
          <w:sz w:val="20"/>
          <w:szCs w:val="20"/>
          <w:color w:val="auto"/>
        </w:rPr>
      </w:pPr>
    </w:p>
    <w:p>
      <w:pPr>
        <w:spacing w:after="0" w:line="267" w:lineRule="exact"/>
        <w:rPr>
          <w:sz w:val="20"/>
          <w:szCs w:val="20"/>
          <w:color w:val="auto"/>
        </w:rPr>
      </w:pPr>
    </w:p>
    <w:p>
      <w:pPr>
        <w:jc w:val="center"/>
        <w:ind w:right="-199"/>
        <w:spacing w:after="0"/>
        <w:rPr>
          <w:sz w:val="20"/>
          <w:szCs w:val="20"/>
          <w:color w:val="auto"/>
        </w:rPr>
      </w:pPr>
      <w:r>
        <w:rPr>
          <w:rFonts w:ascii="Arial" w:cs="Arial" w:eastAsia="Arial" w:hAnsi="Arial"/>
          <w:sz w:val="24"/>
          <w:szCs w:val="24"/>
          <w:i w:val="1"/>
          <w:iCs w:val="1"/>
          <w:color w:val="auto"/>
        </w:rPr>
        <w:t>SprEp</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bscript"/>
        </w:rPr>
        <w:t>E</w:t>
      </w:r>
      <w:r>
        <w:rPr>
          <w:rFonts w:ascii="Arial" w:cs="Arial" w:eastAsia="Arial" w:hAnsi="Arial"/>
          <w:sz w:val="47"/>
          <w:szCs w:val="47"/>
          <w:i w:val="1"/>
          <w:iCs w:val="1"/>
          <w:color w:val="auto"/>
          <w:vertAlign w:val="superscript"/>
        </w:rPr>
        <w:t>R</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D</w:t>
      </w:r>
      <w:r>
        <w:rPr>
          <w:rFonts w:ascii="Arial" w:cs="Arial" w:eastAsia="Arial" w:hAnsi="Arial"/>
          <w:sz w:val="47"/>
          <w:szCs w:val="47"/>
          <w:i w:val="1"/>
          <w:iCs w:val="1"/>
          <w:color w:val="auto"/>
          <w:vertAlign w:val="subscript"/>
        </w:rPr>
        <w:t>C</w:t>
      </w:r>
      <w:r>
        <w:rPr>
          <w:rFonts w:ascii="Arial" w:cs="Arial" w:eastAsia="Arial" w:hAnsi="Arial"/>
          <w:sz w:val="31"/>
          <w:szCs w:val="31"/>
          <w:i w:val="1"/>
          <w:iCs w:val="1"/>
          <w:color w:val="auto"/>
          <w:vertAlign w:val="superscript"/>
        </w:rPr>
        <w:t>cap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3051175</wp:posOffset>
                </wp:positionH>
                <wp:positionV relativeFrom="paragraph">
                  <wp:posOffset>-165100</wp:posOffset>
                </wp:positionV>
                <wp:extent cx="118745" cy="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87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25pt,-13pt" to="249.6pt,-1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3385820</wp:posOffset>
                </wp:positionH>
                <wp:positionV relativeFrom="paragraph">
                  <wp:posOffset>-165100</wp:posOffset>
                </wp:positionV>
                <wp:extent cx="287655"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76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6pt,-13pt" to="289.25pt,-13pt" o:allowincell="f" strokecolor="#000000" strokeweight="0.398pt"/>
            </w:pict>
          </mc:Fallback>
        </mc:AlternateContent>
      </w:r>
    </w:p>
    <w:p>
      <w:pPr>
        <w:spacing w:after="0" w:line="231" w:lineRule="exact"/>
        <w:rPr>
          <w:sz w:val="20"/>
          <w:szCs w:val="20"/>
          <w:color w:val="auto"/>
        </w:rPr>
      </w:pPr>
    </w:p>
    <w:p>
      <w:pPr>
        <w:jc w:val="both"/>
        <w:ind w:left="260" w:right="40" w:firstLine="850"/>
        <w:spacing w:after="0" w:line="383" w:lineRule="auto"/>
        <w:rPr>
          <w:sz w:val="20"/>
          <w:szCs w:val="20"/>
          <w:color w:val="auto"/>
        </w:rPr>
      </w:pPr>
      <w:r>
        <w:rPr>
          <w:rFonts w:ascii="Arial" w:cs="Arial" w:eastAsia="Arial" w:hAnsi="Arial"/>
          <w:sz w:val="24"/>
          <w:szCs w:val="24"/>
          <w:color w:val="auto"/>
        </w:rPr>
        <w:t>A receita das operações de crédito (</w:t>
      </w:r>
      <w:r>
        <w:rPr>
          <w:rFonts w:ascii="Arial" w:cs="Arial" w:eastAsia="Arial" w:hAnsi="Arial"/>
          <w:sz w:val="24"/>
          <w:szCs w:val="24"/>
          <w:i w:val="1"/>
          <w:iCs w:val="1"/>
          <w:color w:val="auto"/>
        </w:rPr>
        <w:t>R</w:t>
      </w:r>
      <w:r>
        <w:rPr>
          <w:rFonts w:ascii="Arial" w:cs="Arial" w:eastAsia="Arial" w:hAnsi="Arial"/>
          <w:sz w:val="24"/>
          <w:szCs w:val="24"/>
          <w:color w:val="auto"/>
        </w:rPr>
        <w:t>) é obtida levando em consideração as operações de crédito — capital emprestado — (</w:t>
      </w:r>
      <w:r>
        <w:rPr>
          <w:rFonts w:ascii="Arial" w:cs="Arial" w:eastAsia="Arial" w:hAnsi="Arial"/>
          <w:sz w:val="24"/>
          <w:szCs w:val="24"/>
          <w:i w:val="1"/>
          <w:iCs w:val="1"/>
          <w:color w:val="auto"/>
        </w:rPr>
        <w:t>E</w:t>
      </w:r>
      <w:r>
        <w:rPr>
          <w:rFonts w:ascii="Arial" w:cs="Arial" w:eastAsia="Arial" w:hAnsi="Arial"/>
          <w:sz w:val="24"/>
          <w:szCs w:val="24"/>
          <w:color w:val="auto"/>
        </w:rPr>
        <w:t>) e uma taxa de juros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jr</w:t>
      </w:r>
      <w:r>
        <w:rPr>
          <w:rFonts w:ascii="Arial" w:cs="Arial" w:eastAsia="Arial" w:hAnsi="Arial"/>
          <w:sz w:val="24"/>
          <w:szCs w:val="24"/>
          <w:color w:val="auto"/>
        </w:rPr>
        <w:t>), que contempla os custos de captação, os custos operacionais, inadimplência, impostos diretos e indiretos e margem líquida.</w:t>
      </w:r>
    </w:p>
    <w:p>
      <w:pPr>
        <w:spacing w:after="0" w:line="132" w:lineRule="exact"/>
        <w:rPr>
          <w:sz w:val="20"/>
          <w:szCs w:val="20"/>
          <w:color w:val="auto"/>
        </w:rPr>
      </w:pPr>
    </w:p>
    <w:p>
      <w:pPr>
        <w:ind w:left="4360" w:hanging="237"/>
        <w:spacing w:after="0" w:line="357" w:lineRule="exact"/>
        <w:tabs>
          <w:tab w:leader="none" w:pos="4360" w:val="left"/>
        </w:tabs>
        <w:numPr>
          <w:ilvl w:val="0"/>
          <w:numId w:val="24"/>
        </w:numPr>
        <w:rPr>
          <w:rFonts w:ascii="Arial" w:cs="Arial" w:eastAsia="Arial" w:hAnsi="Arial"/>
          <w:sz w:val="24"/>
          <w:szCs w:val="24"/>
          <w:i w:val="1"/>
          <w:iCs w:val="1"/>
          <w:color w:val="auto"/>
        </w:rPr>
      </w:pPr>
      <w:r>
        <w:rPr>
          <w:rFonts w:ascii="Arial" w:cs="Arial" w:eastAsia="Arial" w:hAnsi="Arial"/>
          <w:sz w:val="24"/>
          <w:szCs w:val="24"/>
          <w:color w:val="auto"/>
        </w:rPr>
        <w:t>= (</w:t>
      </w:r>
      <w:r>
        <w:rPr>
          <w:rFonts w:ascii="Arial" w:cs="Arial" w:eastAsia="Arial" w:hAnsi="Arial"/>
          <w:sz w:val="24"/>
          <w:szCs w:val="24"/>
          <w:i w:val="1"/>
          <w:iCs w:val="1"/>
          <w:color w:val="auto"/>
        </w:rPr>
        <w:t>E</w:t>
      </w:r>
      <w:r>
        <w:rPr>
          <w:rFonts w:ascii="Arial Unicode MS" w:cs="Arial Unicode MS" w:eastAsia="Arial Unicode MS" w:hAnsi="Arial Unicode MS"/>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jr</w:t>
      </w:r>
      <w:r>
        <w:rPr>
          <w:rFonts w:ascii="Arial" w:cs="Arial" w:eastAsia="Arial" w:hAnsi="Arial"/>
          <w:sz w:val="24"/>
          <w:szCs w:val="24"/>
          <w:color w:val="auto"/>
        </w:rPr>
        <w:t>)</w:t>
      </w:r>
    </w:p>
    <w:p>
      <w:pPr>
        <w:spacing w:after="0" w:line="200" w:lineRule="exact"/>
        <w:rPr>
          <w:sz w:val="20"/>
          <w:szCs w:val="20"/>
          <w:color w:val="auto"/>
        </w:rPr>
      </w:pPr>
    </w:p>
    <w:p>
      <w:pPr>
        <w:spacing w:after="0" w:line="224" w:lineRule="exact"/>
        <w:rPr>
          <w:sz w:val="20"/>
          <w:szCs w:val="20"/>
          <w:color w:val="auto"/>
        </w:rPr>
      </w:pPr>
    </w:p>
    <w:p>
      <w:pPr>
        <w:jc w:val="both"/>
        <w:ind w:left="260" w:firstLine="850"/>
        <w:spacing w:after="0" w:line="333" w:lineRule="auto"/>
        <w:rPr>
          <w:sz w:val="20"/>
          <w:szCs w:val="20"/>
          <w:color w:val="auto"/>
        </w:rPr>
      </w:pPr>
      <w:r>
        <w:rPr>
          <w:rFonts w:ascii="Arial" w:cs="Arial" w:eastAsia="Arial" w:hAnsi="Arial"/>
          <w:sz w:val="24"/>
          <w:szCs w:val="24"/>
          <w:color w:val="auto"/>
        </w:rPr>
        <w:t>A receita das operações de crédito pode ser decomposta levando em conside-ração as despesas administrativas (</w:t>
      </w:r>
      <w:r>
        <w:rPr>
          <w:rFonts w:ascii="Arial" w:cs="Arial" w:eastAsia="Arial" w:hAnsi="Arial"/>
          <w:sz w:val="24"/>
          <w:szCs w:val="24"/>
          <w:i w:val="1"/>
          <w:iCs w:val="1"/>
          <w:color w:val="auto"/>
        </w:rPr>
        <w:t>D</w:t>
      </w:r>
      <w:r>
        <w:rPr>
          <w:rFonts w:ascii="Arial" w:cs="Arial" w:eastAsia="Arial" w:hAnsi="Arial"/>
          <w:sz w:val="31"/>
          <w:szCs w:val="31"/>
          <w:i w:val="1"/>
          <w:iCs w:val="1"/>
          <w:color w:val="auto"/>
          <w:vertAlign w:val="subscript"/>
        </w:rPr>
        <w:t>adm</w:t>
      </w:r>
      <w:r>
        <w:rPr>
          <w:rFonts w:ascii="Arial" w:cs="Arial" w:eastAsia="Arial" w:hAnsi="Arial"/>
          <w:sz w:val="24"/>
          <w:szCs w:val="24"/>
          <w:color w:val="auto"/>
        </w:rPr>
        <w:t>), provisões de inadimplência (</w:t>
      </w:r>
      <w:r>
        <w:rPr>
          <w:rFonts w:ascii="Arial" w:cs="Arial" w:eastAsia="Arial" w:hAnsi="Arial"/>
          <w:sz w:val="24"/>
          <w:szCs w:val="24"/>
          <w:i w:val="1"/>
          <w:iCs w:val="1"/>
          <w:color w:val="auto"/>
        </w:rPr>
        <w:t>P</w:t>
      </w:r>
      <w:r>
        <w:rPr>
          <w:rFonts w:ascii="Arial" w:cs="Arial" w:eastAsia="Arial" w:hAnsi="Arial"/>
          <w:sz w:val="31"/>
          <w:szCs w:val="31"/>
          <w:i w:val="1"/>
          <w:iCs w:val="1"/>
          <w:color w:val="auto"/>
          <w:vertAlign w:val="subscript"/>
        </w:rPr>
        <w:t>inad</w:t>
      </w:r>
      <w:r>
        <w:rPr>
          <w:rFonts w:ascii="Arial" w:cs="Arial" w:eastAsia="Arial" w:hAnsi="Arial"/>
          <w:sz w:val="24"/>
          <w:szCs w:val="24"/>
          <w:color w:val="auto"/>
        </w:rPr>
        <w:t>) custos de captação (</w:t>
      </w:r>
      <w:r>
        <w:rPr>
          <w:rFonts w:ascii="Arial" w:cs="Arial" w:eastAsia="Arial" w:hAnsi="Arial"/>
          <w:sz w:val="24"/>
          <w:szCs w:val="24"/>
          <w:i w:val="1"/>
          <w:iCs w:val="1"/>
          <w:color w:val="auto"/>
        </w:rPr>
        <w:t>D</w:t>
      </w:r>
      <w:r>
        <w:rPr>
          <w:rFonts w:ascii="Arial" w:cs="Arial" w:eastAsia="Arial" w:hAnsi="Arial"/>
          <w:sz w:val="31"/>
          <w:szCs w:val="31"/>
          <w:i w:val="1"/>
          <w:iCs w:val="1"/>
          <w:color w:val="auto"/>
          <w:vertAlign w:val="subscript"/>
        </w:rPr>
        <w:t>cap</w:t>
      </w:r>
      <w:r>
        <w:rPr>
          <w:rFonts w:ascii="Arial" w:cs="Arial" w:eastAsia="Arial" w:hAnsi="Arial"/>
          <w:sz w:val="24"/>
          <w:szCs w:val="24"/>
          <w:color w:val="auto"/>
        </w:rPr>
        <w:t>), impostos variáveis (</w:t>
      </w:r>
      <w:r>
        <w:rPr>
          <w:rFonts w:ascii="Arial" w:cs="Arial" w:eastAsia="Arial" w:hAnsi="Arial"/>
          <w:sz w:val="24"/>
          <w:szCs w:val="24"/>
          <w:i w:val="1"/>
          <w:iCs w:val="1"/>
          <w:color w:val="auto"/>
        </w:rPr>
        <w:t>Imp</w:t>
      </w:r>
      <w:r>
        <w:rPr>
          <w:rFonts w:ascii="Arial" w:cs="Arial" w:eastAsia="Arial" w:hAnsi="Arial"/>
          <w:sz w:val="31"/>
          <w:szCs w:val="31"/>
          <w:i w:val="1"/>
          <w:iCs w:val="1"/>
          <w:color w:val="auto"/>
          <w:vertAlign w:val="subscript"/>
        </w:rPr>
        <w:t>ind</w:t>
      </w:r>
      <w:r>
        <w:rPr>
          <w:rFonts w:ascii="Arial" w:cs="Arial" w:eastAsia="Arial" w:hAnsi="Arial"/>
          <w:sz w:val="24"/>
          <w:szCs w:val="24"/>
          <w:color w:val="auto"/>
        </w:rPr>
        <w:t>), impostos sobre a renda (</w:t>
      </w:r>
      <w:r>
        <w:rPr>
          <w:rFonts w:ascii="Arial" w:cs="Arial" w:eastAsia="Arial" w:hAnsi="Arial"/>
          <w:sz w:val="24"/>
          <w:szCs w:val="24"/>
          <w:i w:val="1"/>
          <w:iCs w:val="1"/>
          <w:color w:val="auto"/>
        </w:rPr>
        <w:t>Imp</w:t>
      </w:r>
      <w:r>
        <w:rPr>
          <w:rFonts w:ascii="Arial" w:cs="Arial" w:eastAsia="Arial" w:hAnsi="Arial"/>
          <w:sz w:val="31"/>
          <w:szCs w:val="31"/>
          <w:i w:val="1"/>
          <w:iCs w:val="1"/>
          <w:color w:val="auto"/>
          <w:vertAlign w:val="subscript"/>
        </w:rPr>
        <w:t>dir</w:t>
      </w:r>
      <w:r>
        <w:rPr>
          <w:rFonts w:ascii="Arial" w:cs="Arial" w:eastAsia="Arial" w:hAnsi="Arial"/>
          <w:sz w:val="24"/>
          <w:szCs w:val="24"/>
          <w:color w:val="auto"/>
        </w:rPr>
        <w:t>) e margem líquida (</w:t>
      </w:r>
      <w:r>
        <w:rPr>
          <w:rFonts w:ascii="Arial" w:cs="Arial" w:eastAsia="Arial" w:hAnsi="Arial"/>
          <w:sz w:val="24"/>
          <w:szCs w:val="24"/>
          <w:i w:val="1"/>
          <w:iCs w:val="1"/>
          <w:color w:val="auto"/>
        </w:rPr>
        <w:t>M gLqd</w:t>
      </w:r>
      <w:r>
        <w:rPr>
          <w:rFonts w:ascii="Arial" w:cs="Arial" w:eastAsia="Arial" w:hAnsi="Arial"/>
          <w:sz w:val="24"/>
          <w:szCs w:val="24"/>
          <w:color w:val="auto"/>
        </w:rPr>
        <w:t>).</w:t>
      </w:r>
    </w:p>
    <w:p>
      <w:pPr>
        <w:spacing w:after="0" w:line="142" w:lineRule="exact"/>
        <w:rPr>
          <w:sz w:val="20"/>
          <w:szCs w:val="20"/>
          <w:color w:val="auto"/>
        </w:rPr>
      </w:pPr>
    </w:p>
    <w:p>
      <w:pPr>
        <w:ind w:left="2260" w:hanging="252"/>
        <w:spacing w:after="0"/>
        <w:tabs>
          <w:tab w:leader="none" w:pos="2260" w:val="left"/>
        </w:tabs>
        <w:numPr>
          <w:ilvl w:val="0"/>
          <w:numId w:val="25"/>
        </w:numPr>
        <w:rPr>
          <w:rFonts w:ascii="Arial" w:cs="Arial" w:eastAsia="Arial" w:hAnsi="Arial"/>
          <w:sz w:val="24"/>
          <w:szCs w:val="24"/>
          <w:i w:val="1"/>
          <w:iCs w:val="1"/>
          <w:color w:val="auto"/>
        </w:rPr>
      </w:pPr>
      <w:r>
        <w:rPr>
          <w:rFonts w:ascii="Arial" w:cs="Arial" w:eastAsia="Arial" w:hAnsi="Arial"/>
          <w:sz w:val="24"/>
          <w:szCs w:val="24"/>
          <w:color w:val="auto"/>
        </w:rPr>
        <w:t xml:space="preserve">= </w:t>
      </w:r>
      <w:r>
        <w:rPr>
          <w:rFonts w:ascii="Arial" w:cs="Arial" w:eastAsia="Arial" w:hAnsi="Arial"/>
          <w:sz w:val="24"/>
          <w:szCs w:val="24"/>
          <w:i w:val="1"/>
          <w:iCs w:val="1"/>
          <w:color w:val="auto"/>
        </w:rPr>
        <w:t>D</w:t>
      </w:r>
      <w:r>
        <w:rPr>
          <w:rFonts w:ascii="Arial" w:cs="Arial" w:eastAsia="Arial" w:hAnsi="Arial"/>
          <w:sz w:val="31"/>
          <w:szCs w:val="31"/>
          <w:i w:val="1"/>
          <w:iCs w:val="1"/>
          <w:color w:val="auto"/>
          <w:vertAlign w:val="subscript"/>
        </w:rPr>
        <w:t>adm</w:t>
      </w:r>
      <w:r>
        <w:rPr>
          <w:rFonts w:ascii="Arial" w:cs="Arial" w:eastAsia="Arial" w:hAnsi="Arial"/>
          <w:sz w:val="24"/>
          <w:szCs w:val="24"/>
          <w:color w:val="auto"/>
        </w:rPr>
        <w:t xml:space="preserve"> + </w:t>
      </w:r>
      <w:r>
        <w:rPr>
          <w:rFonts w:ascii="Arial" w:cs="Arial" w:eastAsia="Arial" w:hAnsi="Arial"/>
          <w:sz w:val="24"/>
          <w:szCs w:val="24"/>
          <w:i w:val="1"/>
          <w:iCs w:val="1"/>
          <w:color w:val="auto"/>
        </w:rPr>
        <w:t>P</w:t>
      </w:r>
      <w:r>
        <w:rPr>
          <w:rFonts w:ascii="Arial" w:cs="Arial" w:eastAsia="Arial" w:hAnsi="Arial"/>
          <w:sz w:val="31"/>
          <w:szCs w:val="31"/>
          <w:i w:val="1"/>
          <w:iCs w:val="1"/>
          <w:color w:val="auto"/>
          <w:vertAlign w:val="subscript"/>
        </w:rPr>
        <w:t>inad</w:t>
      </w:r>
      <w:r>
        <w:rPr>
          <w:rFonts w:ascii="Arial" w:cs="Arial" w:eastAsia="Arial" w:hAnsi="Arial"/>
          <w:sz w:val="24"/>
          <w:szCs w:val="24"/>
          <w:color w:val="auto"/>
        </w:rPr>
        <w:t xml:space="preserve"> + </w:t>
      </w:r>
      <w:r>
        <w:rPr>
          <w:rFonts w:ascii="Arial" w:cs="Arial" w:eastAsia="Arial" w:hAnsi="Arial"/>
          <w:sz w:val="24"/>
          <w:szCs w:val="24"/>
          <w:i w:val="1"/>
          <w:iCs w:val="1"/>
          <w:color w:val="auto"/>
        </w:rPr>
        <w:t>D</w:t>
      </w:r>
      <w:r>
        <w:rPr>
          <w:rFonts w:ascii="Arial" w:cs="Arial" w:eastAsia="Arial" w:hAnsi="Arial"/>
          <w:sz w:val="31"/>
          <w:szCs w:val="31"/>
          <w:i w:val="1"/>
          <w:iCs w:val="1"/>
          <w:color w:val="auto"/>
          <w:vertAlign w:val="subscript"/>
        </w:rPr>
        <w:t>cap</w:t>
      </w:r>
      <w:r>
        <w:rPr>
          <w:rFonts w:ascii="Arial" w:cs="Arial" w:eastAsia="Arial" w:hAnsi="Arial"/>
          <w:sz w:val="24"/>
          <w:szCs w:val="24"/>
          <w:color w:val="auto"/>
        </w:rPr>
        <w:t xml:space="preserve"> + </w:t>
      </w:r>
      <w:r>
        <w:rPr>
          <w:rFonts w:ascii="Arial" w:cs="Arial" w:eastAsia="Arial" w:hAnsi="Arial"/>
          <w:sz w:val="24"/>
          <w:szCs w:val="24"/>
          <w:i w:val="1"/>
          <w:iCs w:val="1"/>
          <w:color w:val="auto"/>
        </w:rPr>
        <w:t>Imp</w:t>
      </w:r>
      <w:r>
        <w:rPr>
          <w:rFonts w:ascii="Arial" w:cs="Arial" w:eastAsia="Arial" w:hAnsi="Arial"/>
          <w:sz w:val="31"/>
          <w:szCs w:val="31"/>
          <w:i w:val="1"/>
          <w:iCs w:val="1"/>
          <w:color w:val="auto"/>
          <w:vertAlign w:val="subscript"/>
        </w:rPr>
        <w:t>ind</w:t>
      </w:r>
      <w:r>
        <w:rPr>
          <w:rFonts w:ascii="Arial" w:cs="Arial" w:eastAsia="Arial" w:hAnsi="Arial"/>
          <w:sz w:val="24"/>
          <w:szCs w:val="24"/>
          <w:color w:val="auto"/>
        </w:rPr>
        <w:t xml:space="preserve"> + </w:t>
      </w:r>
      <w:r>
        <w:rPr>
          <w:rFonts w:ascii="Arial" w:cs="Arial" w:eastAsia="Arial" w:hAnsi="Arial"/>
          <w:sz w:val="24"/>
          <w:szCs w:val="24"/>
          <w:i w:val="1"/>
          <w:iCs w:val="1"/>
          <w:color w:val="auto"/>
        </w:rPr>
        <w:t>Imp</w:t>
      </w:r>
      <w:r>
        <w:rPr>
          <w:rFonts w:ascii="Arial" w:cs="Arial" w:eastAsia="Arial" w:hAnsi="Arial"/>
          <w:sz w:val="31"/>
          <w:szCs w:val="31"/>
          <w:i w:val="1"/>
          <w:iCs w:val="1"/>
          <w:color w:val="auto"/>
          <w:vertAlign w:val="subscript"/>
        </w:rPr>
        <w:t>dir</w:t>
      </w:r>
      <w:r>
        <w:rPr>
          <w:rFonts w:ascii="Arial" w:cs="Arial" w:eastAsia="Arial" w:hAnsi="Arial"/>
          <w:sz w:val="24"/>
          <w:szCs w:val="24"/>
          <w:color w:val="auto"/>
        </w:rPr>
        <w:t xml:space="preserve"> + </w:t>
      </w:r>
      <w:r>
        <w:rPr>
          <w:rFonts w:ascii="Arial" w:cs="Arial" w:eastAsia="Arial" w:hAnsi="Arial"/>
          <w:sz w:val="24"/>
          <w:szCs w:val="24"/>
          <w:i w:val="1"/>
          <w:iCs w:val="1"/>
          <w:color w:val="auto"/>
        </w:rPr>
        <w:t>M gLqd</w:t>
      </w:r>
    </w:p>
    <w:p>
      <w:pPr>
        <w:spacing w:after="0" w:line="200" w:lineRule="exact"/>
        <w:rPr>
          <w:sz w:val="20"/>
          <w:szCs w:val="20"/>
          <w:color w:val="auto"/>
        </w:rPr>
      </w:pPr>
    </w:p>
    <w:p>
      <w:pPr>
        <w:spacing w:after="0" w:line="237" w:lineRule="exact"/>
        <w:rPr>
          <w:sz w:val="20"/>
          <w:szCs w:val="20"/>
          <w:color w:val="auto"/>
        </w:rPr>
      </w:pPr>
    </w:p>
    <w:p>
      <w:pPr>
        <w:jc w:val="both"/>
        <w:ind w:left="260" w:firstLine="858"/>
        <w:spacing w:after="0" w:line="376" w:lineRule="auto"/>
        <w:rPr>
          <w:sz w:val="20"/>
          <w:szCs w:val="20"/>
          <w:color w:val="auto"/>
        </w:rPr>
      </w:pPr>
      <w:r>
        <w:rPr>
          <w:rFonts w:ascii="Arial" w:cs="Arial" w:eastAsia="Arial" w:hAnsi="Arial"/>
          <w:sz w:val="24"/>
          <w:szCs w:val="24"/>
          <w:color w:val="auto"/>
        </w:rPr>
        <w:t>A decomposiçao da receita pode ser ampliada com a inserção das variáveis componentes. O primeiro bloco da composição consiste na inserção das taxas e alíquo-tas aplicados sobre o capital emprestado (</w:t>
      </w:r>
      <w:r>
        <w:rPr>
          <w:rFonts w:ascii="Arial" w:cs="Arial" w:eastAsia="Arial" w:hAnsi="Arial"/>
          <w:sz w:val="24"/>
          <w:szCs w:val="24"/>
          <w:i w:val="1"/>
          <w:iCs w:val="1"/>
          <w:color w:val="auto"/>
        </w:rPr>
        <w:t>E</w:t>
      </w:r>
      <w:r>
        <w:rPr>
          <w:rFonts w:ascii="Arial" w:cs="Arial" w:eastAsia="Arial" w:hAnsi="Arial"/>
          <w:sz w:val="24"/>
          <w:szCs w:val="24"/>
          <w:color w:val="auto"/>
        </w:rPr>
        <w:t>) e captação (</w:t>
      </w:r>
      <w:r>
        <w:rPr>
          <w:rFonts w:ascii="Arial" w:cs="Arial" w:eastAsia="Arial" w:hAnsi="Arial"/>
          <w:sz w:val="24"/>
          <w:szCs w:val="24"/>
          <w:i w:val="1"/>
          <w:iCs w:val="1"/>
          <w:color w:val="auto"/>
        </w:rPr>
        <w:t>C</w:t>
      </w:r>
      <w:r>
        <w:rPr>
          <w:rFonts w:ascii="Arial" w:cs="Arial" w:eastAsia="Arial" w:hAnsi="Arial"/>
          <w:sz w:val="24"/>
          <w:szCs w:val="24"/>
          <w:color w:val="auto"/>
        </w:rPr>
        <w:t>), sendo elas as despesas administrativas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adm</w:t>
      </w:r>
      <w:r>
        <w:rPr>
          <w:rFonts w:ascii="Arial" w:cs="Arial" w:eastAsia="Arial" w:hAnsi="Arial"/>
          <w:sz w:val="24"/>
          <w:szCs w:val="24"/>
          <w:color w:val="auto"/>
        </w:rPr>
        <w:t>), inadimplência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ind</w:t>
      </w:r>
      <w:r>
        <w:rPr>
          <w:rFonts w:ascii="Arial" w:cs="Arial" w:eastAsia="Arial" w:hAnsi="Arial"/>
          <w:sz w:val="24"/>
          <w:szCs w:val="24"/>
          <w:color w:val="auto"/>
        </w:rPr>
        <w:t>), captação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cap</w:t>
      </w:r>
      <w:r>
        <w:rPr>
          <w:rFonts w:ascii="Arial" w:cs="Arial" w:eastAsia="Arial" w:hAnsi="Arial"/>
          <w:sz w:val="24"/>
          <w:szCs w:val="24"/>
          <w:color w:val="auto"/>
        </w:rPr>
        <w:t>), recolhimento compulsório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comp</w:t>
      </w:r>
      <w:r>
        <w:rPr>
          <w:rFonts w:ascii="Arial" w:cs="Arial" w:eastAsia="Arial" w:hAnsi="Arial"/>
          <w:sz w:val="24"/>
          <w:szCs w:val="24"/>
          <w:color w:val="auto"/>
        </w:rPr>
        <w:t>), aplicação de compulsório(</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ac</w:t>
      </w:r>
      <w:r>
        <w:rPr>
          <w:rFonts w:ascii="Arial" w:cs="Arial" w:eastAsia="Arial" w:hAnsi="Arial"/>
          <w:sz w:val="24"/>
          <w:szCs w:val="24"/>
          <w:color w:val="auto"/>
        </w:rPr>
        <w:t>), fundo garantidor de crédito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fgc</w:t>
      </w:r>
      <w:r>
        <w:rPr>
          <w:rFonts w:ascii="Arial" w:cs="Arial" w:eastAsia="Arial" w:hAnsi="Arial"/>
          <w:sz w:val="24"/>
          <w:szCs w:val="24"/>
          <w:color w:val="auto"/>
        </w:rPr>
        <w:t>).</w:t>
      </w:r>
    </w:p>
    <w:p>
      <w:pPr>
        <w:spacing w:after="0" w:line="84" w:lineRule="exact"/>
        <w:rPr>
          <w:sz w:val="20"/>
          <w:szCs w:val="20"/>
          <w:color w:val="auto"/>
        </w:rPr>
      </w:pPr>
    </w:p>
    <w:p>
      <w:pPr>
        <w:ind w:left="260" w:right="40" w:firstLine="850"/>
        <w:spacing w:after="0" w:line="460" w:lineRule="auto"/>
        <w:rPr>
          <w:sz w:val="20"/>
          <w:szCs w:val="20"/>
          <w:color w:val="auto"/>
        </w:rPr>
      </w:pPr>
      <w:r>
        <w:rPr>
          <w:rFonts w:ascii="Arial" w:cs="Arial" w:eastAsia="Arial" w:hAnsi="Arial"/>
          <w:sz w:val="23"/>
          <w:szCs w:val="23"/>
          <w:color w:val="auto"/>
        </w:rPr>
        <w:t>Levando em consideração que os depósitos são reduzidos diante a obrigação de recolhimentos compulsórios e contribuição para o fundo garantidor de crédito, um</w:t>
      </w:r>
    </w:p>
    <w:p>
      <w:pPr>
        <w:sectPr>
          <w:pgSz w:w="11900" w:h="16838" w:orient="portrait"/>
          <w:cols w:equalWidth="0" w:num="1">
            <w:col w:w="9360"/>
          </w:cols>
          <w:pgMar w:left="1440" w:top="991" w:right="1106" w:bottom="156" w:gutter="0" w:footer="0" w:header="0"/>
        </w:sectPr>
      </w:pPr>
    </w:p>
    <w:p>
      <w:pPr>
        <w:ind w:left="9060"/>
        <w:spacing w:after="0"/>
        <w:rPr>
          <w:sz w:val="20"/>
          <w:szCs w:val="20"/>
          <w:color w:val="auto"/>
        </w:rPr>
      </w:pPr>
      <w:r>
        <w:rPr>
          <w:rFonts w:ascii="Arial" w:cs="Arial" w:eastAsia="Arial" w:hAnsi="Arial"/>
          <w:sz w:val="24"/>
          <w:szCs w:val="24"/>
          <w:color w:val="auto"/>
        </w:rPr>
        <w:t>50</w:t>
      </w:r>
    </w:p>
    <w:p>
      <w:pPr>
        <w:spacing w:after="0" w:line="200" w:lineRule="exact"/>
        <w:rPr>
          <w:sz w:val="20"/>
          <w:szCs w:val="20"/>
          <w:color w:val="auto"/>
        </w:rPr>
      </w:pPr>
    </w:p>
    <w:p>
      <w:pPr>
        <w:spacing w:after="0" w:line="246" w:lineRule="exact"/>
        <w:rPr>
          <w:sz w:val="20"/>
          <w:szCs w:val="20"/>
          <w:color w:val="auto"/>
        </w:rPr>
      </w:pPr>
    </w:p>
    <w:p>
      <w:pPr>
        <w:jc w:val="both"/>
        <w:ind w:left="260" w:firstLine="7"/>
        <w:spacing w:after="0" w:line="388" w:lineRule="auto"/>
        <w:rPr>
          <w:sz w:val="20"/>
          <w:szCs w:val="20"/>
          <w:color w:val="auto"/>
        </w:rPr>
      </w:pPr>
      <w:r>
        <w:rPr>
          <w:rFonts w:ascii="Arial" w:cs="Arial" w:eastAsia="Arial" w:hAnsi="Arial"/>
          <w:sz w:val="24"/>
          <w:szCs w:val="24"/>
          <w:color w:val="auto"/>
        </w:rPr>
        <w:t xml:space="preserve">empréstimo que dependa de captação, a necessidade de captação é maior para atender a operação de empréstimo no volume </w:t>
      </w:r>
      <w:r>
        <w:rPr>
          <w:rFonts w:ascii="Arial" w:cs="Arial" w:eastAsia="Arial" w:hAnsi="Arial"/>
          <w:sz w:val="24"/>
          <w:szCs w:val="24"/>
          <w:i w:val="1"/>
          <w:iCs w:val="1"/>
          <w:color w:val="auto"/>
        </w:rPr>
        <w:t>C</w:t>
      </w:r>
      <w:r>
        <w:rPr>
          <w:rFonts w:ascii="Arial" w:cs="Arial" w:eastAsia="Arial" w:hAnsi="Arial"/>
          <w:sz w:val="24"/>
          <w:szCs w:val="24"/>
          <w:color w:val="auto"/>
        </w:rPr>
        <w:t xml:space="preserve"> = </w:t>
      </w:r>
      <w:r>
        <w:rPr>
          <w:rFonts w:ascii="Arial" w:cs="Arial" w:eastAsia="Arial" w:hAnsi="Arial"/>
          <w:sz w:val="24"/>
          <w:szCs w:val="24"/>
          <w:i w:val="1"/>
          <w:iCs w:val="1"/>
          <w:color w:val="auto"/>
        </w:rPr>
        <w:t>E/</w:t>
      </w:r>
      <w:r>
        <w:rPr>
          <w:rFonts w:ascii="Arial" w:cs="Arial" w:eastAsia="Arial" w:hAnsi="Arial"/>
          <w:sz w:val="24"/>
          <w:szCs w:val="24"/>
          <w:color w:val="auto"/>
        </w:rPr>
        <w:t xml:space="preserve">(1 −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comp</w:t>
      </w:r>
      <w:r>
        <w:rPr>
          <w:rFonts w:ascii="Arial" w:cs="Arial" w:eastAsia="Arial" w:hAnsi="Arial"/>
          <w:sz w:val="24"/>
          <w:szCs w:val="24"/>
          <w:color w:val="auto"/>
        </w:rPr>
        <w:t xml:space="preserve"> −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fgc</w:t>
      </w:r>
      <w:r>
        <w:rPr>
          <w:rFonts w:ascii="Arial" w:cs="Arial" w:eastAsia="Arial" w:hAnsi="Arial"/>
          <w:sz w:val="24"/>
          <w:szCs w:val="24"/>
          <w:color w:val="auto"/>
        </w:rPr>
        <w:t>) (CARDOSO; KOYAM, 1999).</w:t>
      </w:r>
    </w:p>
    <w:p>
      <w:pPr>
        <w:spacing w:after="0" w:line="85" w:lineRule="exact"/>
        <w:rPr>
          <w:sz w:val="20"/>
          <w:szCs w:val="20"/>
          <w:color w:val="auto"/>
        </w:rPr>
      </w:pPr>
    </w:p>
    <w:p>
      <w:pPr>
        <w:jc w:val="both"/>
        <w:ind w:left="260" w:right="40" w:firstLine="858"/>
        <w:spacing w:after="0" w:line="364" w:lineRule="auto"/>
        <w:rPr>
          <w:sz w:val="20"/>
          <w:szCs w:val="20"/>
          <w:color w:val="auto"/>
        </w:rPr>
      </w:pPr>
      <w:r>
        <w:rPr>
          <w:rFonts w:ascii="Arial" w:cs="Arial" w:eastAsia="Arial" w:hAnsi="Arial"/>
          <w:sz w:val="24"/>
          <w:szCs w:val="24"/>
          <w:color w:val="auto"/>
        </w:rPr>
        <w:t>O segundo bloco da decomposição da receita consiste na inseção de variáveis referente as taxas e alíquotas aplicados sobre a própria receita (</w:t>
      </w:r>
      <w:r>
        <w:rPr>
          <w:rFonts w:ascii="Arial" w:cs="Arial" w:eastAsia="Arial" w:hAnsi="Arial"/>
          <w:sz w:val="24"/>
          <w:szCs w:val="24"/>
          <w:i w:val="1"/>
          <w:iCs w:val="1"/>
          <w:color w:val="auto"/>
        </w:rPr>
        <w:t>R</w:t>
      </w:r>
      <w:r>
        <w:rPr>
          <w:rFonts w:ascii="Arial" w:cs="Arial" w:eastAsia="Arial" w:hAnsi="Arial"/>
          <w:sz w:val="24"/>
          <w:szCs w:val="24"/>
          <w:color w:val="auto"/>
        </w:rPr>
        <w:t>), contemplando o PIS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pis</w:t>
      </w:r>
      <w:r>
        <w:rPr>
          <w:rFonts w:ascii="Arial" w:cs="Arial" w:eastAsia="Arial" w:hAnsi="Arial"/>
          <w:sz w:val="24"/>
          <w:szCs w:val="24"/>
          <w:color w:val="auto"/>
        </w:rPr>
        <w:t>), COFINS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cof</w:t>
      </w:r>
      <w:r>
        <w:rPr>
          <w:rFonts w:ascii="Arial" w:cs="Arial" w:eastAsia="Arial" w:hAnsi="Arial"/>
          <w:sz w:val="24"/>
          <w:szCs w:val="24"/>
          <w:color w:val="auto"/>
        </w:rPr>
        <w:t xml:space="preserve"> ), imposto de renda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ir</w:t>
      </w:r>
      <w:r>
        <w:rPr>
          <w:rFonts w:ascii="Arial" w:cs="Arial" w:eastAsia="Arial" w:hAnsi="Arial"/>
          <w:sz w:val="24"/>
          <w:szCs w:val="24"/>
          <w:color w:val="auto"/>
        </w:rPr>
        <w:t>), contribuição social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cs</w:t>
      </w:r>
      <w:r>
        <w:rPr>
          <w:rFonts w:ascii="Arial" w:cs="Arial" w:eastAsia="Arial" w:hAnsi="Arial"/>
          <w:sz w:val="24"/>
          <w:szCs w:val="24"/>
          <w:color w:val="auto"/>
        </w:rPr>
        <w:t>) e lucro líquido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ll</w:t>
      </w:r>
      <w:r>
        <w:rPr>
          <w:rFonts w:ascii="Arial" w:cs="Arial" w:eastAsia="Arial" w:hAnsi="Arial"/>
          <w:sz w:val="24"/>
          <w:szCs w:val="24"/>
          <w:color w:val="auto"/>
        </w:rPr>
        <w:t>), assumindo a forma abaixo.</w:t>
      </w:r>
    </w:p>
    <w:p>
      <w:pPr>
        <w:ind w:left="6500"/>
        <w:spacing w:after="0" w:line="183" w:lineRule="auto"/>
        <w:rPr>
          <w:sz w:val="20"/>
          <w:szCs w:val="20"/>
          <w:color w:val="auto"/>
        </w:rPr>
      </w:pPr>
      <w:r>
        <w:rPr>
          <w:rFonts w:ascii="Arial" w:cs="Arial" w:eastAsia="Arial" w:hAnsi="Arial"/>
          <w:sz w:val="38"/>
          <w:szCs w:val="38"/>
          <w:i w:val="1"/>
          <w:iCs w:val="1"/>
          <w:color w:val="auto"/>
          <w:vertAlign w:val="superscript"/>
        </w:rPr>
        <w:t>i</w:t>
      </w:r>
      <w:r>
        <w:rPr>
          <w:rFonts w:ascii="Arial" w:cs="Arial" w:eastAsia="Arial" w:hAnsi="Arial"/>
          <w:sz w:val="14"/>
          <w:szCs w:val="14"/>
          <w:i w:val="1"/>
          <w:iCs w:val="1"/>
          <w:color w:val="auto"/>
        </w:rPr>
        <w:t>ll</w:t>
      </w:r>
    </w:p>
    <w:p>
      <w:pPr>
        <w:ind w:left="260"/>
        <w:spacing w:after="0" w:line="523" w:lineRule="exact"/>
        <w:rPr>
          <w:sz w:val="20"/>
          <w:szCs w:val="20"/>
          <w:color w:val="auto"/>
        </w:rPr>
      </w:pPr>
      <w:r>
        <w:rPr>
          <w:rFonts w:ascii="Arial" w:cs="Arial" w:eastAsia="Arial" w:hAnsi="Arial"/>
          <w:sz w:val="39"/>
          <w:szCs w:val="39"/>
          <w:i w:val="1"/>
          <w:iCs w:val="1"/>
          <w:color w:val="auto"/>
          <w:vertAlign w:val="superscript"/>
        </w:rPr>
        <w:t>R</w:t>
      </w:r>
      <w:r>
        <w:rPr>
          <w:rFonts w:ascii="Arial" w:cs="Arial" w:eastAsia="Arial" w:hAnsi="Arial"/>
          <w:sz w:val="38"/>
          <w:szCs w:val="38"/>
          <w:color w:val="auto"/>
          <w:vertAlign w:val="superscript"/>
        </w:rPr>
        <w:t xml:space="preserve"> = </w:t>
      </w:r>
      <w:r>
        <w:rPr>
          <w:rFonts w:ascii="Arial" w:cs="Arial" w:eastAsia="Arial" w:hAnsi="Arial"/>
          <w:sz w:val="39"/>
          <w:szCs w:val="39"/>
          <w:i w:val="1"/>
          <w:iCs w:val="1"/>
          <w:color w:val="auto"/>
          <w:vertAlign w:val="superscript"/>
        </w:rPr>
        <w:t>i</w:t>
      </w:r>
      <w:r>
        <w:rPr>
          <w:rFonts w:ascii="Arial" w:cs="Arial" w:eastAsia="Arial" w:hAnsi="Arial"/>
          <w:sz w:val="14"/>
          <w:szCs w:val="14"/>
          <w:i w:val="1"/>
          <w:iCs w:val="1"/>
          <w:color w:val="auto"/>
        </w:rPr>
        <w:t>adm</w:t>
      </w:r>
      <w:r>
        <w:rPr>
          <w:rFonts w:ascii="Arial Unicode MS" w:cs="Arial Unicode MS" w:eastAsia="Arial Unicode MS" w:hAnsi="Arial Unicode MS"/>
          <w:sz w:val="39"/>
          <w:szCs w:val="39"/>
          <w:color w:val="auto"/>
        </w:rPr>
        <w:t xml:space="preserve"> </w:t>
      </w:r>
      <w:r>
        <w:rPr>
          <w:rFonts w:ascii="Arial Unicode MS" w:cs="Arial Unicode MS" w:eastAsia="Arial Unicode MS" w:hAnsi="Arial Unicode MS"/>
          <w:sz w:val="39"/>
          <w:szCs w:val="39"/>
          <w:color w:val="auto"/>
          <w:vertAlign w:val="superscript"/>
        </w:rPr>
        <w:t>∗</w:t>
      </w:r>
      <w:r>
        <w:rPr>
          <w:rFonts w:ascii="Arial" w:cs="Arial" w:eastAsia="Arial" w:hAnsi="Arial"/>
          <w:sz w:val="39"/>
          <w:szCs w:val="39"/>
          <w:i w:val="1"/>
          <w:iCs w:val="1"/>
          <w:color w:val="auto"/>
          <w:vertAlign w:val="superscript"/>
        </w:rPr>
        <w:t>E</w:t>
      </w:r>
      <w:r>
        <w:rPr>
          <w:rFonts w:ascii="Arial" w:cs="Arial" w:eastAsia="Arial" w:hAnsi="Arial"/>
          <w:sz w:val="39"/>
          <w:szCs w:val="39"/>
          <w:color w:val="auto"/>
        </w:rPr>
        <w:t xml:space="preserve"> </w:t>
      </w:r>
      <w:r>
        <w:rPr>
          <w:rFonts w:ascii="Arial" w:cs="Arial" w:eastAsia="Arial" w:hAnsi="Arial"/>
          <w:sz w:val="39"/>
          <w:szCs w:val="39"/>
          <w:color w:val="auto"/>
          <w:vertAlign w:val="superscript"/>
        </w:rPr>
        <w:t>+</w:t>
      </w:r>
      <w:r>
        <w:rPr>
          <w:rFonts w:ascii="Arial" w:cs="Arial" w:eastAsia="Arial" w:hAnsi="Arial"/>
          <w:sz w:val="39"/>
          <w:szCs w:val="39"/>
          <w:i w:val="1"/>
          <w:iCs w:val="1"/>
          <w:color w:val="auto"/>
          <w:vertAlign w:val="superscript"/>
        </w:rPr>
        <w:t>i</w:t>
      </w:r>
      <w:r>
        <w:rPr>
          <w:rFonts w:ascii="Arial" w:cs="Arial" w:eastAsia="Arial" w:hAnsi="Arial"/>
          <w:sz w:val="14"/>
          <w:szCs w:val="14"/>
          <w:i w:val="1"/>
          <w:iCs w:val="1"/>
          <w:color w:val="auto"/>
        </w:rPr>
        <w:t>ind</w:t>
      </w:r>
      <w:r>
        <w:rPr>
          <w:rFonts w:ascii="Arial Unicode MS" w:cs="Arial Unicode MS" w:eastAsia="Arial Unicode MS" w:hAnsi="Arial Unicode MS"/>
          <w:sz w:val="39"/>
          <w:szCs w:val="39"/>
          <w:color w:val="auto"/>
        </w:rPr>
        <w:t xml:space="preserve"> </w:t>
      </w:r>
      <w:r>
        <w:rPr>
          <w:rFonts w:ascii="Arial Unicode MS" w:cs="Arial Unicode MS" w:eastAsia="Arial Unicode MS" w:hAnsi="Arial Unicode MS"/>
          <w:sz w:val="39"/>
          <w:szCs w:val="39"/>
          <w:color w:val="auto"/>
          <w:vertAlign w:val="superscript"/>
        </w:rPr>
        <w:t>∗</w:t>
      </w:r>
      <w:r>
        <w:rPr>
          <w:rFonts w:ascii="Arial" w:cs="Arial" w:eastAsia="Arial" w:hAnsi="Arial"/>
          <w:sz w:val="39"/>
          <w:szCs w:val="39"/>
          <w:i w:val="1"/>
          <w:iCs w:val="1"/>
          <w:color w:val="auto"/>
          <w:vertAlign w:val="superscript"/>
        </w:rPr>
        <w:t>E</w:t>
      </w:r>
      <w:r>
        <w:rPr>
          <w:rFonts w:ascii="Arial" w:cs="Arial" w:eastAsia="Arial" w:hAnsi="Arial"/>
          <w:sz w:val="39"/>
          <w:szCs w:val="39"/>
          <w:color w:val="auto"/>
        </w:rPr>
        <w:t xml:space="preserve"> </w:t>
      </w:r>
      <w:r>
        <w:rPr>
          <w:rFonts w:ascii="Arial" w:cs="Arial" w:eastAsia="Arial" w:hAnsi="Arial"/>
          <w:sz w:val="39"/>
          <w:szCs w:val="39"/>
          <w:color w:val="auto"/>
          <w:vertAlign w:val="superscript"/>
        </w:rPr>
        <w:t>+</w:t>
      </w:r>
      <w:r>
        <w:rPr>
          <w:rFonts w:ascii="Arial" w:cs="Arial" w:eastAsia="Arial" w:hAnsi="Arial"/>
          <w:sz w:val="39"/>
          <w:szCs w:val="39"/>
          <w:i w:val="1"/>
          <w:iCs w:val="1"/>
          <w:color w:val="auto"/>
          <w:vertAlign w:val="superscript"/>
        </w:rPr>
        <w:t>i</w:t>
      </w:r>
      <w:r>
        <w:rPr>
          <w:rFonts w:ascii="Arial" w:cs="Arial" w:eastAsia="Arial" w:hAnsi="Arial"/>
          <w:sz w:val="14"/>
          <w:szCs w:val="14"/>
          <w:i w:val="1"/>
          <w:iCs w:val="1"/>
          <w:color w:val="auto"/>
        </w:rPr>
        <w:t>cap</w:t>
      </w:r>
      <w:r>
        <w:rPr>
          <w:rFonts w:ascii="Arial Unicode MS" w:cs="Arial Unicode MS" w:eastAsia="Arial Unicode MS" w:hAnsi="Arial Unicode MS"/>
          <w:sz w:val="39"/>
          <w:szCs w:val="39"/>
          <w:color w:val="auto"/>
        </w:rPr>
        <w:t xml:space="preserve"> </w:t>
      </w:r>
      <w:r>
        <w:rPr>
          <w:rFonts w:ascii="Arial Unicode MS" w:cs="Arial Unicode MS" w:eastAsia="Arial Unicode MS" w:hAnsi="Arial Unicode MS"/>
          <w:sz w:val="39"/>
          <w:szCs w:val="39"/>
          <w:color w:val="auto"/>
          <w:vertAlign w:val="superscript"/>
        </w:rPr>
        <w:t>∗</w:t>
      </w:r>
      <w:r>
        <w:rPr>
          <w:rFonts w:ascii="Arial" w:cs="Arial" w:eastAsia="Arial" w:hAnsi="Arial"/>
          <w:sz w:val="39"/>
          <w:szCs w:val="39"/>
          <w:i w:val="1"/>
          <w:iCs w:val="1"/>
          <w:color w:val="auto"/>
          <w:vertAlign w:val="superscript"/>
        </w:rPr>
        <w:t>C</w:t>
      </w:r>
      <w:r>
        <w:rPr>
          <w:rFonts w:ascii="Arial" w:cs="Arial" w:eastAsia="Arial" w:hAnsi="Arial"/>
          <w:sz w:val="39"/>
          <w:szCs w:val="39"/>
          <w:color w:val="auto"/>
        </w:rPr>
        <w:t xml:space="preserve"> </w:t>
      </w:r>
      <w:r>
        <w:rPr>
          <w:rFonts w:ascii="Arial" w:cs="Arial" w:eastAsia="Arial" w:hAnsi="Arial"/>
          <w:sz w:val="39"/>
          <w:szCs w:val="39"/>
          <w:color w:val="auto"/>
          <w:vertAlign w:val="superscript"/>
        </w:rPr>
        <w:t>+</w:t>
      </w:r>
      <w:r>
        <w:rPr>
          <w:rFonts w:ascii="Arial" w:cs="Arial" w:eastAsia="Arial" w:hAnsi="Arial"/>
          <w:sz w:val="39"/>
          <w:szCs w:val="39"/>
          <w:i w:val="1"/>
          <w:iCs w:val="1"/>
          <w:color w:val="auto"/>
          <w:vertAlign w:val="superscript"/>
        </w:rPr>
        <w:t>i</w:t>
      </w:r>
      <w:r>
        <w:rPr>
          <w:rFonts w:ascii="Arial" w:cs="Arial" w:eastAsia="Arial" w:hAnsi="Arial"/>
          <w:sz w:val="14"/>
          <w:szCs w:val="14"/>
          <w:i w:val="1"/>
          <w:iCs w:val="1"/>
          <w:color w:val="auto"/>
        </w:rPr>
        <w:t>comp</w:t>
      </w:r>
      <w:r>
        <w:rPr>
          <w:rFonts w:ascii="Arial Unicode MS" w:cs="Arial Unicode MS" w:eastAsia="Arial Unicode MS" w:hAnsi="Arial Unicode MS"/>
          <w:sz w:val="39"/>
          <w:szCs w:val="39"/>
          <w:color w:val="auto"/>
        </w:rPr>
        <w:t xml:space="preserve"> </w:t>
      </w:r>
      <w:r>
        <w:rPr>
          <w:rFonts w:ascii="Arial Unicode MS" w:cs="Arial Unicode MS" w:eastAsia="Arial Unicode MS" w:hAnsi="Arial Unicode MS"/>
          <w:sz w:val="39"/>
          <w:szCs w:val="39"/>
          <w:color w:val="auto"/>
          <w:vertAlign w:val="superscript"/>
        </w:rPr>
        <w:t>∗</w:t>
      </w:r>
      <w:r>
        <w:rPr>
          <w:rFonts w:ascii="Arial" w:cs="Arial" w:eastAsia="Arial" w:hAnsi="Arial"/>
          <w:sz w:val="39"/>
          <w:szCs w:val="39"/>
          <w:i w:val="1"/>
          <w:iCs w:val="1"/>
          <w:color w:val="auto"/>
          <w:vertAlign w:val="superscript"/>
        </w:rPr>
        <w:t>i</w:t>
      </w:r>
      <w:r>
        <w:rPr>
          <w:rFonts w:ascii="Arial" w:cs="Arial" w:eastAsia="Arial" w:hAnsi="Arial"/>
          <w:sz w:val="14"/>
          <w:szCs w:val="14"/>
          <w:i w:val="1"/>
          <w:iCs w:val="1"/>
          <w:color w:val="auto"/>
        </w:rPr>
        <w:t>ac</w:t>
      </w:r>
      <w:r>
        <w:rPr>
          <w:rFonts w:ascii="Arial Unicode MS" w:cs="Arial Unicode MS" w:eastAsia="Arial Unicode MS" w:hAnsi="Arial Unicode MS"/>
          <w:sz w:val="39"/>
          <w:szCs w:val="39"/>
          <w:color w:val="auto"/>
        </w:rPr>
        <w:t xml:space="preserve"> </w:t>
      </w:r>
      <w:r>
        <w:rPr>
          <w:rFonts w:ascii="Arial Unicode MS" w:cs="Arial Unicode MS" w:eastAsia="Arial Unicode MS" w:hAnsi="Arial Unicode MS"/>
          <w:sz w:val="39"/>
          <w:szCs w:val="39"/>
          <w:color w:val="auto"/>
          <w:vertAlign w:val="superscript"/>
        </w:rPr>
        <w:t>∗</w:t>
      </w:r>
      <w:r>
        <w:rPr>
          <w:rFonts w:ascii="Arial" w:cs="Arial" w:eastAsia="Arial" w:hAnsi="Arial"/>
          <w:sz w:val="39"/>
          <w:szCs w:val="39"/>
          <w:i w:val="1"/>
          <w:iCs w:val="1"/>
          <w:color w:val="auto"/>
          <w:vertAlign w:val="superscript"/>
        </w:rPr>
        <w:t>C</w:t>
      </w:r>
      <w:r>
        <w:rPr>
          <w:rFonts w:ascii="Arial" w:cs="Arial" w:eastAsia="Arial" w:hAnsi="Arial"/>
          <w:sz w:val="39"/>
          <w:szCs w:val="39"/>
          <w:color w:val="auto"/>
        </w:rPr>
        <w:t xml:space="preserve"> </w:t>
      </w:r>
      <w:r>
        <w:rPr>
          <w:rFonts w:ascii="Arial" w:cs="Arial" w:eastAsia="Arial" w:hAnsi="Arial"/>
          <w:sz w:val="39"/>
          <w:szCs w:val="39"/>
          <w:color w:val="auto"/>
          <w:vertAlign w:val="superscript"/>
        </w:rPr>
        <w:t>+</w:t>
      </w:r>
      <w:r>
        <w:rPr>
          <w:rFonts w:ascii="Arial" w:cs="Arial" w:eastAsia="Arial" w:hAnsi="Arial"/>
          <w:sz w:val="39"/>
          <w:szCs w:val="39"/>
          <w:i w:val="1"/>
          <w:iCs w:val="1"/>
          <w:color w:val="auto"/>
          <w:vertAlign w:val="superscript"/>
        </w:rPr>
        <w:t>i</w:t>
      </w:r>
      <w:r>
        <w:rPr>
          <w:rFonts w:ascii="Arial" w:cs="Arial" w:eastAsia="Arial" w:hAnsi="Arial"/>
          <w:sz w:val="14"/>
          <w:szCs w:val="14"/>
          <w:i w:val="1"/>
          <w:iCs w:val="1"/>
          <w:color w:val="auto"/>
        </w:rPr>
        <w:t>fgc</w:t>
      </w:r>
      <w:r>
        <w:rPr>
          <w:rFonts w:ascii="Arial Unicode MS" w:cs="Arial Unicode MS" w:eastAsia="Arial Unicode MS" w:hAnsi="Arial Unicode MS"/>
          <w:sz w:val="39"/>
          <w:szCs w:val="39"/>
          <w:color w:val="auto"/>
        </w:rPr>
        <w:t xml:space="preserve"> </w:t>
      </w:r>
      <w:r>
        <w:rPr>
          <w:rFonts w:ascii="Arial Unicode MS" w:cs="Arial Unicode MS" w:eastAsia="Arial Unicode MS" w:hAnsi="Arial Unicode MS"/>
          <w:sz w:val="39"/>
          <w:szCs w:val="39"/>
          <w:color w:val="auto"/>
          <w:vertAlign w:val="superscript"/>
        </w:rPr>
        <w:t>∗</w:t>
      </w:r>
      <w:r>
        <w:rPr>
          <w:rFonts w:ascii="Arial" w:cs="Arial" w:eastAsia="Arial" w:hAnsi="Arial"/>
          <w:sz w:val="39"/>
          <w:szCs w:val="39"/>
          <w:i w:val="1"/>
          <w:iCs w:val="1"/>
          <w:color w:val="auto"/>
          <w:vertAlign w:val="superscript"/>
        </w:rPr>
        <w:t>C</w:t>
      </w:r>
      <w:r>
        <w:rPr>
          <w:rFonts w:ascii="Arial" w:cs="Arial" w:eastAsia="Arial" w:hAnsi="Arial"/>
          <w:sz w:val="39"/>
          <w:szCs w:val="39"/>
          <w:color w:val="auto"/>
        </w:rPr>
        <w:t xml:space="preserve"> </w:t>
      </w:r>
      <w:r>
        <w:rPr>
          <w:rFonts w:ascii="Arial" w:cs="Arial" w:eastAsia="Arial" w:hAnsi="Arial"/>
          <w:sz w:val="39"/>
          <w:szCs w:val="39"/>
          <w:color w:val="auto"/>
          <w:vertAlign w:val="superscript"/>
        </w:rPr>
        <w:t>+</w:t>
      </w:r>
      <w:r>
        <w:rPr>
          <w:rFonts w:ascii="Arial" w:cs="Arial" w:eastAsia="Arial" w:hAnsi="Arial"/>
          <w:sz w:val="39"/>
          <w:szCs w:val="39"/>
          <w:color w:val="auto"/>
        </w:rPr>
        <w:t xml:space="preserve"> </w:t>
      </w:r>
      <w:r>
        <w:rPr>
          <w:rFonts w:ascii="Arial" w:cs="Arial" w:eastAsia="Arial" w:hAnsi="Arial"/>
          <w:sz w:val="39"/>
          <w:szCs w:val="39"/>
          <w:color w:val="auto"/>
          <w:vertAlign w:val="subscript"/>
        </w:rPr>
        <w:t>1</w:t>
      </w:r>
      <w:r>
        <w:rPr>
          <w:rFonts w:ascii="Arial" w:cs="Arial" w:eastAsia="Arial" w:hAnsi="Arial"/>
          <w:sz w:val="39"/>
          <w:szCs w:val="39"/>
          <w:color w:val="auto"/>
        </w:rPr>
        <w:t xml:space="preserve"> </w:t>
      </w:r>
      <w:r>
        <w:rPr>
          <w:rFonts w:ascii="Arial" w:cs="Arial" w:eastAsia="Arial" w:hAnsi="Arial"/>
          <w:sz w:val="39"/>
          <w:szCs w:val="39"/>
          <w:color w:val="auto"/>
          <w:vertAlign w:val="subscript"/>
        </w:rPr>
        <w:t>−</w:t>
      </w:r>
      <w:r>
        <w:rPr>
          <w:rFonts w:ascii="Arial" w:cs="Arial" w:eastAsia="Arial" w:hAnsi="Arial"/>
          <w:sz w:val="39"/>
          <w:szCs w:val="39"/>
          <w:color w:val="auto"/>
        </w:rPr>
        <w:t xml:space="preserve"> </w:t>
      </w:r>
      <w:r>
        <w:rPr>
          <w:rFonts w:ascii="Arial" w:cs="Arial" w:eastAsia="Arial" w:hAnsi="Arial"/>
          <w:sz w:val="39"/>
          <w:szCs w:val="39"/>
          <w:i w:val="1"/>
          <w:iCs w:val="1"/>
          <w:color w:val="auto"/>
          <w:vertAlign w:val="subscript"/>
        </w:rPr>
        <w:t>i</w:t>
      </w:r>
      <w:r>
        <w:rPr>
          <w:rFonts w:ascii="Arial" w:cs="Arial" w:eastAsia="Arial" w:hAnsi="Arial"/>
          <w:sz w:val="26"/>
          <w:szCs w:val="26"/>
          <w:i w:val="1"/>
          <w:iCs w:val="1"/>
          <w:color w:val="auto"/>
          <w:vertAlign w:val="subscript"/>
        </w:rPr>
        <w:t>r</w:t>
      </w:r>
      <w:r>
        <w:rPr>
          <w:rFonts w:ascii="Arial" w:cs="Arial" w:eastAsia="Arial" w:hAnsi="Arial"/>
          <w:sz w:val="39"/>
          <w:szCs w:val="39"/>
          <w:color w:val="auto"/>
        </w:rPr>
        <w:t xml:space="preserve"> </w:t>
      </w:r>
      <w:r>
        <w:rPr>
          <w:rFonts w:ascii="Arial" w:cs="Arial" w:eastAsia="Arial" w:hAnsi="Arial"/>
          <w:sz w:val="39"/>
          <w:szCs w:val="39"/>
          <w:color w:val="auto"/>
          <w:vertAlign w:val="subscript"/>
        </w:rPr>
        <w:t>−</w:t>
      </w:r>
      <w:r>
        <w:rPr>
          <w:rFonts w:ascii="Arial" w:cs="Arial" w:eastAsia="Arial" w:hAnsi="Arial"/>
          <w:sz w:val="39"/>
          <w:szCs w:val="39"/>
          <w:color w:val="auto"/>
        </w:rPr>
        <w:t xml:space="preserve"> </w:t>
      </w:r>
      <w:r>
        <w:rPr>
          <w:rFonts w:ascii="Arial" w:cs="Arial" w:eastAsia="Arial" w:hAnsi="Arial"/>
          <w:sz w:val="39"/>
          <w:szCs w:val="39"/>
          <w:i w:val="1"/>
          <w:iCs w:val="1"/>
          <w:color w:val="auto"/>
          <w:vertAlign w:val="subscript"/>
        </w:rPr>
        <w:t>i</w:t>
      </w:r>
      <w:r>
        <w:rPr>
          <w:rFonts w:ascii="Arial" w:cs="Arial" w:eastAsia="Arial" w:hAnsi="Arial"/>
          <w:sz w:val="26"/>
          <w:szCs w:val="26"/>
          <w:i w:val="1"/>
          <w:iCs w:val="1"/>
          <w:color w:val="auto"/>
          <w:vertAlign w:val="subscript"/>
        </w:rPr>
        <w:t>cs</w:t>
      </w:r>
      <w:r>
        <w:rPr>
          <w:rFonts w:ascii="Arial Unicode MS" w:cs="Arial Unicode MS" w:eastAsia="Arial Unicode MS" w:hAnsi="Arial Unicode MS"/>
          <w:sz w:val="39"/>
          <w:szCs w:val="39"/>
          <w:color w:val="auto"/>
        </w:rPr>
        <w:t xml:space="preserve"> </w:t>
      </w:r>
      <w:r>
        <w:rPr>
          <w:rFonts w:ascii="Arial Unicode MS" w:cs="Arial Unicode MS" w:eastAsia="Arial Unicode MS" w:hAnsi="Arial Unicode MS"/>
          <w:sz w:val="39"/>
          <w:szCs w:val="39"/>
          <w:color w:val="auto"/>
          <w:vertAlign w:val="superscript"/>
        </w:rPr>
        <w:t>∗</w:t>
      </w:r>
      <w:r>
        <w:rPr>
          <w:rFonts w:ascii="Arial" w:cs="Arial" w:eastAsia="Arial" w:hAnsi="Arial"/>
          <w:sz w:val="39"/>
          <w:szCs w:val="39"/>
          <w:i w:val="1"/>
          <w:iCs w:val="1"/>
          <w:color w:val="auto"/>
          <w:vertAlign w:val="superscript"/>
        </w:rPr>
        <w:t>R</w:t>
      </w:r>
      <w:r>
        <w:rPr>
          <w:rFonts w:ascii="Arial" w:cs="Arial" w:eastAsia="Arial" w:hAnsi="Arial"/>
          <w:sz w:val="39"/>
          <w:szCs w:val="39"/>
          <w:color w:val="auto"/>
          <w:vertAlign w:val="superscript"/>
        </w:rPr>
        <w:t>+</w:t>
      </w:r>
      <w:r>
        <w:rPr>
          <w:rFonts w:ascii="Arial" w:cs="Arial" w:eastAsia="Arial" w:hAnsi="Arial"/>
          <w:sz w:val="39"/>
          <w:szCs w:val="39"/>
          <w:i w:val="1"/>
          <w:iCs w:val="1"/>
          <w:color w:val="auto"/>
          <w:vertAlign w:val="superscript"/>
        </w:rPr>
        <w:t>i</w:t>
      </w:r>
      <w:r>
        <w:rPr>
          <w:rFonts w:ascii="Arial" w:cs="Arial" w:eastAsia="Arial" w:hAnsi="Arial"/>
          <w:sz w:val="14"/>
          <w:szCs w:val="14"/>
          <w:i w:val="1"/>
          <w:iCs w:val="1"/>
          <w:color w:val="auto"/>
        </w:rPr>
        <w:t>pis</w:t>
      </w:r>
      <w:r>
        <w:rPr>
          <w:rFonts w:ascii="Arial Unicode MS" w:cs="Arial Unicode MS" w:eastAsia="Arial Unicode MS" w:hAnsi="Arial Unicode MS"/>
          <w:sz w:val="39"/>
          <w:szCs w:val="39"/>
          <w:color w:val="auto"/>
        </w:rPr>
        <w:t xml:space="preserve"> </w:t>
      </w:r>
      <w:r>
        <w:rPr>
          <w:rFonts w:ascii="Arial Unicode MS" w:cs="Arial Unicode MS" w:eastAsia="Arial Unicode MS" w:hAnsi="Arial Unicode MS"/>
          <w:sz w:val="39"/>
          <w:szCs w:val="39"/>
          <w:color w:val="auto"/>
          <w:vertAlign w:val="superscript"/>
        </w:rPr>
        <w:t>∗</w:t>
      </w:r>
      <w:r>
        <w:rPr>
          <w:rFonts w:ascii="Arial" w:cs="Arial" w:eastAsia="Arial" w:hAnsi="Arial"/>
          <w:sz w:val="39"/>
          <w:szCs w:val="39"/>
          <w:i w:val="1"/>
          <w:iCs w:val="1"/>
          <w:color w:val="auto"/>
          <w:vertAlign w:val="superscript"/>
        </w:rPr>
        <w:t>R</w:t>
      </w:r>
      <w:r>
        <w:rPr>
          <w:rFonts w:ascii="Arial" w:cs="Arial" w:eastAsia="Arial" w:hAnsi="Arial"/>
          <w:sz w:val="39"/>
          <w:szCs w:val="39"/>
          <w:color w:val="auto"/>
          <w:vertAlign w:val="superscript"/>
        </w:rPr>
        <w:t>+</w:t>
      </w:r>
      <w:r>
        <w:rPr>
          <w:rFonts w:ascii="Arial" w:cs="Arial" w:eastAsia="Arial" w:hAnsi="Arial"/>
          <w:sz w:val="39"/>
          <w:szCs w:val="39"/>
          <w:i w:val="1"/>
          <w:iCs w:val="1"/>
          <w:color w:val="auto"/>
          <w:vertAlign w:val="superscript"/>
        </w:rPr>
        <w:t>i</w:t>
      </w:r>
      <w:r>
        <w:rPr>
          <w:rFonts w:ascii="Arial" w:cs="Arial" w:eastAsia="Arial" w:hAnsi="Arial"/>
          <w:sz w:val="14"/>
          <w:szCs w:val="14"/>
          <w:i w:val="1"/>
          <w:iCs w:val="1"/>
          <w:color w:val="auto"/>
        </w:rPr>
        <w:t>cof</w:t>
      </w:r>
      <w:r>
        <w:rPr>
          <w:rFonts w:ascii="Arial Unicode MS" w:cs="Arial Unicode MS" w:eastAsia="Arial Unicode MS" w:hAnsi="Arial Unicode MS"/>
          <w:sz w:val="39"/>
          <w:szCs w:val="39"/>
          <w:color w:val="auto"/>
        </w:rPr>
        <w:t xml:space="preserve"> </w:t>
      </w:r>
      <w:r>
        <w:rPr>
          <w:rFonts w:ascii="Arial Unicode MS" w:cs="Arial Unicode MS" w:eastAsia="Arial Unicode MS" w:hAnsi="Arial Unicode MS"/>
          <w:sz w:val="39"/>
          <w:szCs w:val="39"/>
          <w:color w:val="auto"/>
          <w:vertAlign w:val="superscript"/>
        </w:rPr>
        <w:t>∗</w:t>
      </w:r>
      <w:r>
        <w:rPr>
          <w:rFonts w:ascii="Arial" w:cs="Arial" w:eastAsia="Arial" w:hAnsi="Arial"/>
          <w:sz w:val="39"/>
          <w:szCs w:val="39"/>
          <w:i w:val="1"/>
          <w:iCs w:val="1"/>
          <w:color w:val="auto"/>
          <w:vertAlign w:val="superscript"/>
        </w:rPr>
        <w:t>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3829685</wp:posOffset>
                </wp:positionH>
                <wp:positionV relativeFrom="paragraph">
                  <wp:posOffset>-289560</wp:posOffset>
                </wp:positionV>
                <wp:extent cx="707390"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73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1.55pt,-22.7999pt" to="357.25pt,-22.7999pt" o:allowincell="f" strokecolor="#000000" strokeweight="0.398pt"/>
            </w:pict>
          </mc:Fallback>
        </mc:AlternateContent>
      </w:r>
    </w:p>
    <w:p>
      <w:pPr>
        <w:spacing w:after="0" w:line="194" w:lineRule="exact"/>
        <w:rPr>
          <w:sz w:val="20"/>
          <w:szCs w:val="20"/>
          <w:color w:val="auto"/>
        </w:rPr>
      </w:pPr>
    </w:p>
    <w:p>
      <w:pPr>
        <w:jc w:val="both"/>
        <w:ind w:left="260" w:right="40" w:firstLine="850"/>
        <w:spacing w:after="0" w:line="383" w:lineRule="auto"/>
        <w:rPr>
          <w:sz w:val="20"/>
          <w:szCs w:val="20"/>
          <w:color w:val="auto"/>
        </w:rPr>
      </w:pPr>
      <w:r>
        <w:rPr>
          <w:rFonts w:ascii="Arial" w:cs="Arial" w:eastAsia="Arial" w:hAnsi="Arial"/>
          <w:sz w:val="24"/>
          <w:szCs w:val="24"/>
          <w:color w:val="auto"/>
        </w:rPr>
        <w:t>Ao isolar as variáveis e realizar as substituições e deduções algébricas obtemos a equação abaixo</w:t>
      </w:r>
      <w:r>
        <w:rPr>
          <w:rFonts w:ascii="Arial" w:cs="Arial" w:eastAsia="Arial" w:hAnsi="Arial"/>
          <w:sz w:val="31"/>
          <w:szCs w:val="31"/>
          <w:color w:val="auto"/>
        </w:rPr>
        <w:t xml:space="preserve"> </w:t>
      </w:r>
      <w:r>
        <w:rPr>
          <w:rFonts w:ascii="Arial" w:cs="Arial" w:eastAsia="Arial" w:hAnsi="Arial"/>
          <w:sz w:val="31"/>
          <w:szCs w:val="31"/>
          <w:color w:val="auto"/>
          <w:vertAlign w:val="superscript"/>
        </w:rPr>
        <w:t>1</w:t>
      </w:r>
      <w:r>
        <w:rPr>
          <w:rFonts w:ascii="Arial" w:cs="Arial" w:eastAsia="Arial" w:hAnsi="Arial"/>
          <w:sz w:val="24"/>
          <w:szCs w:val="24"/>
          <w:color w:val="auto"/>
        </w:rPr>
        <w:t>, onde o numerador da equação se configura no montante de custos e despesas incluídos nas operações de crédito e denominador contempla margem líquida e alíquotas dos impostos diretos e indiretos.</w:t>
      </w:r>
    </w:p>
    <w:p>
      <w:pPr>
        <w:spacing w:after="0" w:line="324" w:lineRule="exact"/>
        <w:rPr>
          <w:sz w:val="20"/>
          <w:szCs w:val="20"/>
          <w:color w:val="auto"/>
        </w:rPr>
      </w:pPr>
    </w:p>
    <w:tbl>
      <w:tblPr>
        <w:tblLayout w:type="fixed"/>
        <w:tblInd w:w="2620" w:type="dxa"/>
        <w:tblCellMar>
          <w:top w:w="0" w:type="dxa"/>
          <w:left w:w="0" w:type="dxa"/>
          <w:bottom w:w="0" w:type="dxa"/>
          <w:right w:w="0" w:type="dxa"/>
        </w:tblCellMar>
      </w:tblPr>
      <w:tr>
        <w:trPr>
          <w:trHeight w:val="237"/>
        </w:trPr>
        <w:tc>
          <w:tcPr>
            <w:tcW w:w="520" w:type="dxa"/>
            <w:vAlign w:val="bottom"/>
          </w:tcPr>
          <w:p>
            <w:pPr>
              <w:spacing w:after="0"/>
              <w:rPr>
                <w:sz w:val="20"/>
                <w:szCs w:val="20"/>
                <w:color w:val="auto"/>
              </w:rPr>
            </w:pPr>
          </w:p>
        </w:tc>
        <w:tc>
          <w:tcPr>
            <w:tcW w:w="1920" w:type="dxa"/>
            <w:vAlign w:val="bottom"/>
            <w:gridSpan w:val="3"/>
            <w:vMerge w:val="restart"/>
          </w:tcPr>
          <w:p>
            <w:pPr>
              <w:spacing w:after="0" w:line="357" w:lineRule="exact"/>
              <w:rPr>
                <w:sz w:val="20"/>
                <w:szCs w:val="20"/>
                <w:color w:val="auto"/>
              </w:rPr>
            </w:pPr>
            <w:r>
              <w:rPr>
                <w:rFonts w:ascii="Arial" w:cs="Arial" w:eastAsia="Arial" w:hAnsi="Arial"/>
                <w:sz w:val="24"/>
                <w:szCs w:val="24"/>
                <w:i w:val="1"/>
                <w:iCs w:val="1"/>
                <w:color w:val="auto"/>
              </w:rPr>
              <w:t>E</w:t>
            </w:r>
            <w:r>
              <w:rPr>
                <w:rFonts w:ascii="Arial Unicode MS" w:cs="Arial Unicode MS" w:eastAsia="Arial Unicode MS" w:hAnsi="Arial Unicode MS"/>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adm</w:t>
            </w:r>
            <w:r>
              <w:rPr>
                <w:rFonts w:ascii="Arial" w:cs="Arial" w:eastAsia="Arial" w:hAnsi="Arial"/>
                <w:sz w:val="24"/>
                <w:szCs w:val="24"/>
                <w:color w:val="auto"/>
              </w:rPr>
              <w:t xml:space="preserve"> +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ind</w:t>
            </w:r>
            <w:r>
              <w:rPr>
                <w:rFonts w:ascii="Arial" w:cs="Arial" w:eastAsia="Arial" w:hAnsi="Arial"/>
                <w:sz w:val="24"/>
                <w:szCs w:val="24"/>
                <w:color w:val="auto"/>
              </w:rPr>
              <w:t xml:space="preserve"> + (</w:t>
            </w:r>
          </w:p>
        </w:tc>
        <w:tc>
          <w:tcPr>
            <w:tcW w:w="1700" w:type="dxa"/>
            <w:vAlign w:val="bottom"/>
            <w:tcBorders>
              <w:bottom w:val="single" w:sz="8" w:color="auto"/>
            </w:tcBorders>
          </w:tcPr>
          <w:p>
            <w:pPr>
              <w:spacing w:after="0" w:line="215" w:lineRule="exact"/>
              <w:rPr>
                <w:sz w:val="20"/>
                <w:szCs w:val="20"/>
                <w:color w:val="auto"/>
              </w:rPr>
            </w:pPr>
            <w:r>
              <w:rPr>
                <w:rFonts w:ascii="Arial" w:cs="Arial" w:eastAsia="Arial" w:hAnsi="Arial"/>
                <w:sz w:val="16"/>
                <w:szCs w:val="16"/>
                <w:i w:val="1"/>
                <w:iCs w:val="1"/>
                <w:color w:val="auto"/>
              </w:rPr>
              <w:t>i</w:t>
            </w:r>
            <w:r>
              <w:rPr>
                <w:rFonts w:ascii="Arial" w:cs="Arial" w:eastAsia="Arial" w:hAnsi="Arial"/>
                <w:sz w:val="11"/>
                <w:szCs w:val="11"/>
                <w:i w:val="1"/>
                <w:iCs w:val="1"/>
                <w:color w:val="auto"/>
              </w:rPr>
              <w:t>cap</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fgc</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comp</w:t>
            </w:r>
            <w:r>
              <w:rPr>
                <w:rFonts w:ascii="Arial Unicode MS" w:cs="Arial Unicode MS" w:eastAsia="Arial Unicode MS" w:hAnsi="Arial Unicode MS"/>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ac</w:t>
            </w:r>
            <w:r>
              <w:rPr>
                <w:rFonts w:ascii="Arial" w:cs="Arial" w:eastAsia="Arial" w:hAnsi="Arial"/>
                <w:sz w:val="16"/>
                <w:szCs w:val="16"/>
                <w:color w:val="auto"/>
              </w:rPr>
              <w:t>)</w:t>
            </w:r>
          </w:p>
        </w:tc>
        <w:tc>
          <w:tcPr>
            <w:tcW w:w="20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208"/>
        </w:trPr>
        <w:tc>
          <w:tcPr>
            <w:tcW w:w="520" w:type="dxa"/>
            <w:vAlign w:val="bottom"/>
          </w:tcPr>
          <w:p>
            <w:pPr>
              <w:spacing w:after="0" w:line="207" w:lineRule="exact"/>
              <w:rPr>
                <w:sz w:val="20"/>
                <w:szCs w:val="20"/>
                <w:color w:val="auto"/>
              </w:rPr>
            </w:pPr>
            <w:r>
              <w:rPr>
                <w:rFonts w:ascii="Arial" w:cs="Arial" w:eastAsia="Arial" w:hAnsi="Arial"/>
                <w:sz w:val="24"/>
                <w:szCs w:val="24"/>
                <w:i w:val="1"/>
                <w:iCs w:val="1"/>
                <w:color w:val="auto"/>
              </w:rPr>
              <w:t>R</w:t>
            </w:r>
            <w:r>
              <w:rPr>
                <w:rFonts w:ascii="Arial" w:cs="Arial" w:eastAsia="Arial" w:hAnsi="Arial"/>
                <w:sz w:val="24"/>
                <w:szCs w:val="24"/>
                <w:color w:val="auto"/>
              </w:rPr>
              <w:t xml:space="preserve"> =</w:t>
            </w:r>
          </w:p>
        </w:tc>
        <w:tc>
          <w:tcPr>
            <w:tcW w:w="1920" w:type="dxa"/>
            <w:vAlign w:val="bottom"/>
            <w:tcBorders>
              <w:bottom w:val="single" w:sz="8" w:color="auto"/>
            </w:tcBorders>
            <w:gridSpan w:val="3"/>
            <w:vMerge w:val="continue"/>
          </w:tcPr>
          <w:p>
            <w:pPr>
              <w:spacing w:after="0"/>
              <w:rPr>
                <w:sz w:val="18"/>
                <w:szCs w:val="18"/>
                <w:color w:val="auto"/>
              </w:rPr>
            </w:pPr>
          </w:p>
        </w:tc>
        <w:tc>
          <w:tcPr>
            <w:tcW w:w="1700" w:type="dxa"/>
            <w:vAlign w:val="bottom"/>
            <w:tcBorders>
              <w:bottom w:val="single" w:sz="8" w:color="auto"/>
            </w:tcBorders>
          </w:tcPr>
          <w:p>
            <w:pPr>
              <w:ind w:left="320"/>
              <w:spacing w:after="0"/>
              <w:rPr>
                <w:sz w:val="20"/>
                <w:szCs w:val="20"/>
                <w:color w:val="auto"/>
              </w:rPr>
            </w:pPr>
            <w:r>
              <w:rPr>
                <w:rFonts w:ascii="Arial" w:cs="Arial" w:eastAsia="Arial" w:hAnsi="Arial"/>
                <w:sz w:val="16"/>
                <w:szCs w:val="16"/>
                <w:color w:val="auto"/>
              </w:rPr>
              <w:t>1−</w:t>
            </w:r>
            <w:r>
              <w:rPr>
                <w:rFonts w:ascii="Arial" w:cs="Arial" w:eastAsia="Arial" w:hAnsi="Arial"/>
                <w:sz w:val="16"/>
                <w:szCs w:val="16"/>
                <w:i w:val="1"/>
                <w:iCs w:val="1"/>
                <w:color w:val="auto"/>
              </w:rPr>
              <w:t>i</w:t>
            </w:r>
            <w:r>
              <w:rPr>
                <w:rFonts w:ascii="Arial" w:cs="Arial" w:eastAsia="Arial" w:hAnsi="Arial"/>
                <w:sz w:val="11"/>
                <w:szCs w:val="11"/>
                <w:i w:val="1"/>
                <w:iCs w:val="1"/>
                <w:color w:val="auto"/>
              </w:rPr>
              <w:t>comp</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fgc</w:t>
            </w:r>
          </w:p>
        </w:tc>
        <w:tc>
          <w:tcPr>
            <w:tcW w:w="200" w:type="dxa"/>
            <w:vAlign w:val="bottom"/>
            <w:tcBorders>
              <w:bottom w:val="single" w:sz="8" w:color="auto"/>
            </w:tcBorders>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147"/>
        </w:trPr>
        <w:tc>
          <w:tcPr>
            <w:tcW w:w="520" w:type="dxa"/>
            <w:vAlign w:val="bottom"/>
          </w:tcPr>
          <w:p>
            <w:pPr>
              <w:spacing w:after="0"/>
              <w:rPr>
                <w:sz w:val="12"/>
                <w:szCs w:val="12"/>
                <w:color w:val="auto"/>
              </w:rPr>
            </w:pPr>
          </w:p>
        </w:tc>
        <w:tc>
          <w:tcPr>
            <w:tcW w:w="1120" w:type="dxa"/>
            <w:vAlign w:val="bottom"/>
            <w:vMerge w:val="restart"/>
          </w:tcPr>
          <w:p>
            <w:pPr>
              <w:ind w:left="680"/>
              <w:spacing w:after="0"/>
              <w:rPr>
                <w:sz w:val="20"/>
                <w:szCs w:val="20"/>
                <w:color w:val="auto"/>
              </w:rPr>
            </w:pPr>
            <w:r>
              <w:rPr>
                <w:rFonts w:ascii="Arial" w:cs="Arial" w:eastAsia="Arial" w:hAnsi="Arial"/>
                <w:sz w:val="24"/>
                <w:szCs w:val="24"/>
                <w:color w:val="auto"/>
              </w:rPr>
              <w:t>1 −</w:t>
            </w:r>
          </w:p>
        </w:tc>
        <w:tc>
          <w:tcPr>
            <w:tcW w:w="800" w:type="dxa"/>
            <w:vAlign w:val="bottom"/>
            <w:gridSpan w:val="2"/>
          </w:tcPr>
          <w:p>
            <w:pPr>
              <w:jc w:val="center"/>
              <w:ind w:right="80"/>
              <w:spacing w:after="0" w:line="147" w:lineRule="exact"/>
              <w:rPr>
                <w:sz w:val="20"/>
                <w:szCs w:val="20"/>
                <w:color w:val="auto"/>
              </w:rPr>
            </w:pPr>
            <w:r>
              <w:rPr>
                <w:rFonts w:ascii="Arial" w:cs="Arial" w:eastAsia="Arial" w:hAnsi="Arial"/>
                <w:sz w:val="17"/>
                <w:szCs w:val="17"/>
                <w:i w:val="1"/>
                <w:iCs w:val="1"/>
                <w:color w:val="auto"/>
                <w:vertAlign w:val="superscript"/>
              </w:rPr>
              <w:t>i</w:t>
            </w:r>
            <w:r>
              <w:rPr>
                <w:rFonts w:ascii="Arial" w:cs="Arial" w:eastAsia="Arial" w:hAnsi="Arial"/>
                <w:sz w:val="8"/>
                <w:szCs w:val="8"/>
                <w:i w:val="1"/>
                <w:iCs w:val="1"/>
                <w:color w:val="auto"/>
              </w:rPr>
              <w:t>ll</w:t>
            </w:r>
          </w:p>
        </w:tc>
        <w:tc>
          <w:tcPr>
            <w:tcW w:w="1700" w:type="dxa"/>
            <w:vAlign w:val="bottom"/>
            <w:vMerge w:val="restart"/>
          </w:tcPr>
          <w:p>
            <w:pPr>
              <w:ind w:left="20"/>
              <w:spacing w:after="0" w:line="516" w:lineRule="exact"/>
              <w:rPr>
                <w:sz w:val="20"/>
                <w:szCs w:val="20"/>
                <w:color w:val="auto"/>
              </w:rPr>
            </w:pPr>
            <w:r>
              <w:rPr>
                <w:rFonts w:ascii="Arial" w:cs="Arial" w:eastAsia="Arial" w:hAnsi="Arial"/>
                <w:sz w:val="24"/>
                <w:szCs w:val="24"/>
                <w:color w:val="auto"/>
              </w:rPr>
              <w:t>−</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i</w:t>
            </w:r>
            <w:r>
              <w:rPr>
                <w:rFonts w:ascii="Arial" w:cs="Arial" w:eastAsia="Arial" w:hAnsi="Arial"/>
                <w:sz w:val="15"/>
                <w:szCs w:val="15"/>
                <w:i w:val="1"/>
                <w:iCs w:val="1"/>
                <w:color w:val="auto"/>
              </w:rPr>
              <w:t>pis</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i</w:t>
            </w:r>
            <w:r>
              <w:rPr>
                <w:rFonts w:ascii="Arial" w:cs="Arial" w:eastAsia="Arial" w:hAnsi="Arial"/>
                <w:sz w:val="15"/>
                <w:szCs w:val="15"/>
                <w:i w:val="1"/>
                <w:iCs w:val="1"/>
                <w:color w:val="auto"/>
              </w:rPr>
              <w:t>cof</w:t>
            </w:r>
          </w:p>
        </w:tc>
        <w:tc>
          <w:tcPr>
            <w:tcW w:w="2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51"/>
        </w:trPr>
        <w:tc>
          <w:tcPr>
            <w:tcW w:w="520" w:type="dxa"/>
            <w:vAlign w:val="bottom"/>
          </w:tcPr>
          <w:p>
            <w:pPr>
              <w:spacing w:after="0"/>
              <w:rPr>
                <w:sz w:val="24"/>
                <w:szCs w:val="24"/>
                <w:color w:val="auto"/>
              </w:rPr>
            </w:pPr>
          </w:p>
        </w:tc>
        <w:tc>
          <w:tcPr>
            <w:tcW w:w="1120" w:type="dxa"/>
            <w:vAlign w:val="bottom"/>
            <w:vMerge w:val="continue"/>
          </w:tcPr>
          <w:p>
            <w:pPr>
              <w:spacing w:after="0"/>
              <w:rPr>
                <w:sz w:val="24"/>
                <w:szCs w:val="24"/>
                <w:color w:val="auto"/>
              </w:rPr>
            </w:pPr>
          </w:p>
        </w:tc>
        <w:tc>
          <w:tcPr>
            <w:tcW w:w="740" w:type="dxa"/>
            <w:vAlign w:val="bottom"/>
            <w:tcBorders>
              <w:top w:val="single" w:sz="8" w:color="auto"/>
            </w:tcBorders>
          </w:tcPr>
          <w:p>
            <w:pPr>
              <w:jc w:val="center"/>
              <w:spacing w:after="0"/>
              <w:rPr>
                <w:sz w:val="20"/>
                <w:szCs w:val="20"/>
                <w:color w:val="auto"/>
              </w:rPr>
            </w:pPr>
            <w:r>
              <w:rPr>
                <w:rFonts w:ascii="Arial" w:cs="Arial" w:eastAsia="Arial" w:hAnsi="Arial"/>
                <w:sz w:val="16"/>
                <w:szCs w:val="16"/>
                <w:color w:val="auto"/>
              </w:rPr>
              <w:t>1−</w:t>
            </w:r>
            <w:r>
              <w:rPr>
                <w:rFonts w:ascii="Arial" w:cs="Arial" w:eastAsia="Arial" w:hAnsi="Arial"/>
                <w:sz w:val="16"/>
                <w:szCs w:val="16"/>
                <w:i w:val="1"/>
                <w:iCs w:val="1"/>
                <w:color w:val="auto"/>
              </w:rPr>
              <w:t>i</w:t>
            </w:r>
            <w:r>
              <w:rPr>
                <w:rFonts w:ascii="Arial" w:cs="Arial" w:eastAsia="Arial" w:hAnsi="Arial"/>
                <w:sz w:val="23"/>
                <w:szCs w:val="23"/>
                <w:i w:val="1"/>
                <w:iCs w:val="1"/>
                <w:color w:val="auto"/>
                <w:vertAlign w:val="subscript"/>
              </w:rPr>
              <w:t>ir</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23"/>
                <w:szCs w:val="23"/>
                <w:i w:val="1"/>
                <w:iCs w:val="1"/>
                <w:color w:val="auto"/>
                <w:vertAlign w:val="subscript"/>
              </w:rPr>
              <w:t>cs</w:t>
            </w:r>
          </w:p>
        </w:tc>
        <w:tc>
          <w:tcPr>
            <w:tcW w:w="60" w:type="dxa"/>
            <w:vAlign w:val="bottom"/>
          </w:tcPr>
          <w:p>
            <w:pPr>
              <w:spacing w:after="0"/>
              <w:rPr>
                <w:sz w:val="24"/>
                <w:szCs w:val="24"/>
                <w:color w:val="auto"/>
              </w:rPr>
            </w:pPr>
          </w:p>
        </w:tc>
        <w:tc>
          <w:tcPr>
            <w:tcW w:w="1700" w:type="dxa"/>
            <w:vAlign w:val="bottom"/>
            <w:vMerge w:val="continue"/>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1" w:lineRule="exact"/>
        <w:rPr>
          <w:sz w:val="20"/>
          <w:szCs w:val="20"/>
          <w:color w:val="auto"/>
        </w:rPr>
      </w:pPr>
    </w:p>
    <w:p>
      <w:pPr>
        <w:jc w:val="both"/>
        <w:ind w:left="260" w:right="40" w:firstLine="850"/>
        <w:spacing w:after="0" w:line="388" w:lineRule="auto"/>
        <w:rPr>
          <w:sz w:val="20"/>
          <w:szCs w:val="20"/>
          <w:color w:val="auto"/>
        </w:rPr>
      </w:pPr>
      <w:r>
        <w:rPr>
          <w:rFonts w:ascii="Arial" w:cs="Arial" w:eastAsia="Arial" w:hAnsi="Arial"/>
          <w:sz w:val="24"/>
          <w:szCs w:val="24"/>
          <w:color w:val="auto"/>
        </w:rPr>
        <w:t>O denominador da equação, ao ser manipulado algebricamente, assume a função de multiplicador das despesas e custo de captação (</w:t>
      </w:r>
      <w:r>
        <w:rPr>
          <w:rFonts w:ascii="Arial" w:cs="Arial" w:eastAsia="Arial" w:hAnsi="Arial"/>
          <w:sz w:val="24"/>
          <w:szCs w:val="24"/>
          <w:i w:val="1"/>
          <w:iCs w:val="1"/>
          <w:color w:val="auto"/>
        </w:rPr>
        <w:t>D</w:t>
      </w:r>
      <w:r>
        <w:rPr>
          <w:rFonts w:ascii="Arial" w:cs="Arial" w:eastAsia="Arial" w:hAnsi="Arial"/>
          <w:sz w:val="31"/>
          <w:szCs w:val="31"/>
          <w:i w:val="1"/>
          <w:iCs w:val="1"/>
          <w:color w:val="auto"/>
          <w:vertAlign w:val="subscript"/>
        </w:rPr>
        <w:t>emp</w:t>
      </w:r>
      <w:r>
        <w:rPr>
          <w:rFonts w:ascii="Arial" w:cs="Arial" w:eastAsia="Arial" w:hAnsi="Arial"/>
          <w:sz w:val="24"/>
          <w:szCs w:val="24"/>
          <w:color w:val="auto"/>
        </w:rPr>
        <w:t>), embutindo nestes a margem líquida e alíquotas dos impostos diretos e indiretos.</w:t>
      </w:r>
    </w:p>
    <w:p>
      <w:pPr>
        <w:ind w:left="5040"/>
        <w:spacing w:after="0" w:line="234" w:lineRule="auto"/>
        <w:rPr>
          <w:sz w:val="20"/>
          <w:szCs w:val="20"/>
          <w:color w:val="auto"/>
        </w:rPr>
      </w:pPr>
      <w:r>
        <w:rPr>
          <w:rFonts w:ascii="Arial" w:cs="Arial" w:eastAsia="Arial" w:hAnsi="Arial"/>
          <w:sz w:val="24"/>
          <w:szCs w:val="24"/>
          <w:color w:val="auto"/>
        </w:rPr>
        <w:t>1</w:t>
      </w:r>
    </w:p>
    <w:p>
      <w:pPr>
        <w:ind w:left="3240"/>
        <w:spacing w:after="0" w:line="181" w:lineRule="auto"/>
        <w:rPr>
          <w:sz w:val="20"/>
          <w:szCs w:val="20"/>
          <w:color w:val="auto"/>
        </w:rPr>
      </w:pPr>
      <w:r>
        <w:rPr>
          <w:rFonts w:ascii="Arial" w:cs="Arial" w:eastAsia="Arial" w:hAnsi="Arial"/>
          <w:sz w:val="30"/>
          <w:szCs w:val="30"/>
          <w:i w:val="1"/>
          <w:iCs w:val="1"/>
          <w:color w:val="auto"/>
          <w:vertAlign w:val="superscript"/>
        </w:rPr>
        <w:t>i</w:t>
      </w:r>
      <w:r>
        <w:rPr>
          <w:rFonts w:ascii="Arial" w:cs="Arial" w:eastAsia="Arial" w:hAnsi="Arial"/>
          <w:sz w:val="22"/>
          <w:szCs w:val="22"/>
          <w:i w:val="1"/>
          <w:iCs w:val="1"/>
          <w:color w:val="auto"/>
          <w:vertAlign w:val="superscript"/>
        </w:rPr>
        <w:t>apl</w:t>
      </w:r>
      <w:r>
        <w:rPr>
          <w:rFonts w:ascii="Arial" w:cs="Arial" w:eastAsia="Arial" w:hAnsi="Arial"/>
          <w:sz w:val="30"/>
          <w:szCs w:val="30"/>
          <w:color w:val="auto"/>
          <w:vertAlign w:val="superscript"/>
        </w:rPr>
        <w:t xml:space="preserve"> = </w:t>
      </w:r>
      <w:r>
        <w:rPr>
          <w:rFonts w:ascii="Arial" w:cs="Arial" w:eastAsia="Arial" w:hAnsi="Arial"/>
          <w:sz w:val="30"/>
          <w:szCs w:val="30"/>
          <w:color w:val="auto"/>
        </w:rPr>
        <w:t>1</w:t>
      </w:r>
      <w:r>
        <w:rPr>
          <w:rFonts w:ascii="Arial" w:cs="Arial" w:eastAsia="Arial" w:hAnsi="Arial"/>
          <w:sz w:val="17"/>
          <w:szCs w:val="17"/>
          <w:color w:val="auto"/>
        </w:rPr>
        <w:t xml:space="preserve"> −</w:t>
      </w:r>
      <w:r>
        <w:rPr>
          <w:rFonts w:ascii="Arial" w:cs="Arial" w:eastAsia="Arial" w:hAnsi="Arial"/>
          <w:sz w:val="22"/>
          <w:szCs w:val="22"/>
          <w:color w:val="auto"/>
        </w:rPr>
        <w:t xml:space="preserve">  </w:t>
      </w:r>
      <w:r>
        <w:rPr>
          <w:rFonts w:ascii="Arial" w:cs="Arial" w:eastAsia="Arial" w:hAnsi="Arial"/>
          <w:sz w:val="22"/>
          <w:szCs w:val="22"/>
          <w:i w:val="1"/>
          <w:iCs w:val="1"/>
          <w:color w:val="auto"/>
          <w:vertAlign w:val="superscript"/>
        </w:rPr>
        <w:t>i</w:t>
      </w:r>
      <w:r>
        <w:rPr>
          <w:rFonts w:ascii="Arial" w:cs="Arial" w:eastAsia="Arial" w:hAnsi="Arial"/>
          <w:sz w:val="17"/>
          <w:szCs w:val="17"/>
          <w:i w:val="1"/>
          <w:iCs w:val="1"/>
          <w:color w:val="auto"/>
          <w:vertAlign w:val="superscript"/>
        </w:rPr>
        <w:t>ll</w:t>
      </w:r>
      <w:r>
        <w:rPr>
          <w:rFonts w:ascii="Arial" w:cs="Arial" w:eastAsia="Arial" w:hAnsi="Arial"/>
          <w:sz w:val="17"/>
          <w:szCs w:val="17"/>
          <w:color w:val="auto"/>
        </w:rPr>
        <w:t xml:space="preserve">    − </w:t>
      </w:r>
      <w:r>
        <w:rPr>
          <w:rFonts w:ascii="Arial" w:cs="Arial" w:eastAsia="Arial" w:hAnsi="Arial"/>
          <w:sz w:val="17"/>
          <w:szCs w:val="17"/>
          <w:i w:val="1"/>
          <w:iCs w:val="1"/>
          <w:color w:val="auto"/>
        </w:rPr>
        <w:t>i</w:t>
      </w:r>
      <w:r>
        <w:rPr>
          <w:rFonts w:ascii="Arial" w:cs="Arial" w:eastAsia="Arial" w:hAnsi="Arial"/>
          <w:sz w:val="17"/>
          <w:szCs w:val="17"/>
          <w:color w:val="auto"/>
        </w:rPr>
        <w:t xml:space="preserve">  − </w:t>
      </w:r>
      <w:r>
        <w:rPr>
          <w:rFonts w:ascii="Arial" w:cs="Arial" w:eastAsia="Arial" w:hAnsi="Arial"/>
          <w:sz w:val="17"/>
          <w:szCs w:val="17"/>
          <w:i w:val="1"/>
          <w:iCs w:val="1"/>
          <w:color w:val="auto"/>
        </w:rPr>
        <w:t>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2467610</wp:posOffset>
                </wp:positionH>
                <wp:positionV relativeFrom="paragraph">
                  <wp:posOffset>-99695</wp:posOffset>
                </wp:positionV>
                <wp:extent cx="1551305"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513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3pt,-7.8499pt" to="316.45pt,-7.8499pt" o:allowincell="f" strokecolor="#000000" strokeweight="0.398pt"/>
            </w:pict>
          </mc:Fallback>
        </mc:AlternateContent>
      </w:r>
    </w:p>
    <w:p>
      <w:pPr>
        <w:ind w:left="4400"/>
        <w:spacing w:after="0" w:line="190" w:lineRule="auto"/>
        <w:tabs>
          <w:tab w:leader="none" w:pos="4720" w:val="left"/>
          <w:tab w:leader="none" w:pos="5440" w:val="left"/>
          <w:tab w:leader="none" w:pos="6040" w:val="left"/>
        </w:tabs>
        <w:rPr>
          <w:sz w:val="20"/>
          <w:szCs w:val="20"/>
          <w:color w:val="auto"/>
        </w:rPr>
      </w:pPr>
      <w:r>
        <w:rPr>
          <w:rFonts w:ascii="Arial" w:cs="Arial" w:eastAsia="Arial" w:hAnsi="Arial"/>
          <w:sz w:val="29"/>
          <w:szCs w:val="29"/>
          <w:color w:val="auto"/>
          <w:vertAlign w:val="subscript"/>
        </w:rPr>
        <w:t>−</w:t>
      </w:r>
      <w:r>
        <w:rPr>
          <w:rFonts w:ascii="Arial" w:cs="Arial" w:eastAsia="Arial" w:hAnsi="Arial"/>
          <w:sz w:val="29"/>
          <w:szCs w:val="29"/>
          <w:color w:val="auto"/>
        </w:rPr>
        <w:tab/>
      </w:r>
      <w:r>
        <w:rPr>
          <w:rFonts w:ascii="Arial" w:cs="Arial" w:eastAsia="Arial" w:hAnsi="Arial"/>
          <w:sz w:val="29"/>
          <w:szCs w:val="29"/>
          <w:color w:val="auto"/>
          <w:vertAlign w:val="subscript"/>
        </w:rPr>
        <w:t>−</w:t>
      </w:r>
      <w:r>
        <w:rPr>
          <w:sz w:val="20"/>
          <w:szCs w:val="20"/>
          <w:color w:val="auto"/>
        </w:rPr>
        <w:tab/>
      </w:r>
      <w:r>
        <w:rPr>
          <w:rFonts w:ascii="Arial" w:cs="Arial" w:eastAsia="Arial" w:hAnsi="Arial"/>
          <w:sz w:val="15"/>
          <w:szCs w:val="15"/>
          <w:i w:val="1"/>
          <w:iCs w:val="1"/>
          <w:color w:val="auto"/>
          <w:vertAlign w:val="subscript"/>
        </w:rPr>
        <w:t>pis</w:t>
      </w:r>
      <w:r>
        <w:rPr>
          <w:sz w:val="20"/>
          <w:szCs w:val="20"/>
          <w:color w:val="auto"/>
        </w:rPr>
        <w:tab/>
      </w:r>
      <w:r>
        <w:rPr>
          <w:rFonts w:ascii="Arial" w:cs="Arial" w:eastAsia="Arial" w:hAnsi="Arial"/>
          <w:sz w:val="15"/>
          <w:szCs w:val="15"/>
          <w:i w:val="1"/>
          <w:iCs w:val="1"/>
          <w:color w:val="auto"/>
          <w:vertAlign w:val="subscript"/>
        </w:rPr>
        <w:t>cof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2742565</wp:posOffset>
                </wp:positionH>
                <wp:positionV relativeFrom="paragraph">
                  <wp:posOffset>-148590</wp:posOffset>
                </wp:positionV>
                <wp:extent cx="474345"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43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95pt,-11.6999pt" to="253.3pt,-11.6999pt" o:allowincell="f" strokecolor="#000000" strokeweight="0.398pt"/>
            </w:pict>
          </mc:Fallback>
        </mc:AlternateContent>
      </w:r>
    </w:p>
    <w:p>
      <w:pPr>
        <w:spacing w:after="0" w:line="242" w:lineRule="exact"/>
        <w:rPr>
          <w:sz w:val="20"/>
          <w:szCs w:val="20"/>
          <w:color w:val="auto"/>
        </w:rPr>
      </w:pPr>
    </w:p>
    <w:p>
      <w:pPr>
        <w:jc w:val="both"/>
        <w:ind w:left="260" w:firstLine="850"/>
        <w:spacing w:after="0" w:line="440" w:lineRule="auto"/>
        <w:rPr>
          <w:sz w:val="20"/>
          <w:szCs w:val="20"/>
          <w:color w:val="auto"/>
        </w:rPr>
      </w:pPr>
      <w:r>
        <w:rPr>
          <w:rFonts w:ascii="Arial" w:cs="Arial" w:eastAsia="Arial" w:hAnsi="Arial"/>
          <w:sz w:val="23"/>
          <w:szCs w:val="23"/>
          <w:color w:val="auto"/>
        </w:rPr>
        <w:t>Ao simplificar a equação decomposta da receita, encontramos uma forma similar ao forma tautológica inicial, um montante multiplicado a uma taxa para chegar na receita. A diferença é que a forma inicial considera o capital emprestado e uma taxa de juros — onde estão embutidos todos os custos e margem de lucro. A segunda forma considera as despesas com a operação de crédito e um multiplicador destes gastos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142875</wp:posOffset>
                </wp:positionV>
                <wp:extent cx="2302510"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1.25pt" to="194.25pt,11.25pt" o:allowincell="f" strokecolor="#000000" strokeweight="0.398pt"/>
            </w:pict>
          </mc:Fallback>
        </mc:AlternateContent>
      </w:r>
    </w:p>
    <w:p>
      <w:pPr>
        <w:sectPr>
          <w:pgSz w:w="11900" w:h="16838" w:orient="portrait"/>
          <w:cols w:equalWidth="0" w:num="1">
            <w:col w:w="9360"/>
          </w:cols>
          <w:pgMar w:left="1440" w:top="991" w:right="1106" w:bottom="858" w:gutter="0" w:footer="0" w:header="0"/>
        </w:sectPr>
      </w:pPr>
    </w:p>
    <w:p>
      <w:pPr>
        <w:spacing w:after="0" w:line="263" w:lineRule="exact"/>
        <w:rPr>
          <w:sz w:val="20"/>
          <w:szCs w:val="20"/>
          <w:color w:val="auto"/>
        </w:rPr>
      </w:pPr>
    </w:p>
    <w:p>
      <w:pPr>
        <w:jc w:val="both"/>
        <w:ind w:left="540" w:right="40" w:hanging="281"/>
        <w:spacing w:after="0" w:line="222" w:lineRule="auto"/>
        <w:tabs>
          <w:tab w:leader="none" w:pos="540" w:val="left"/>
        </w:tabs>
        <w:numPr>
          <w:ilvl w:val="0"/>
          <w:numId w:val="26"/>
        </w:numPr>
        <w:rPr>
          <w:rFonts w:ascii="Arial" w:cs="Arial" w:eastAsia="Arial" w:hAnsi="Arial"/>
          <w:sz w:val="28"/>
          <w:szCs w:val="28"/>
          <w:color w:val="auto"/>
          <w:vertAlign w:val="superscript"/>
        </w:rPr>
      </w:pPr>
      <w:r>
        <w:rPr>
          <w:rFonts w:ascii="Arial" w:cs="Arial" w:eastAsia="Arial" w:hAnsi="Arial"/>
          <w:sz w:val="20"/>
          <w:szCs w:val="20"/>
          <w:color w:val="auto"/>
        </w:rPr>
        <w:t>No sentido que a decomposição da Receita almeja identificar mecanismos e variáveis de sua formação, não estão sendo considerados abatimentos da base de cálculo do imposto de renda e contribuição social sobre o Lucro Líquido</w:t>
      </w:r>
    </w:p>
    <w:p>
      <w:pPr>
        <w:sectPr>
          <w:pgSz w:w="11900" w:h="16838" w:orient="portrait"/>
          <w:cols w:equalWidth="0" w:num="1">
            <w:col w:w="9360"/>
          </w:cols>
          <w:pgMar w:left="1440" w:top="991" w:right="1106" w:bottom="858" w:gutter="0" w:footer="0" w:header="0"/>
          <w:type w:val="continuous"/>
        </w:sectPr>
      </w:pPr>
    </w:p>
    <w:p>
      <w:pPr>
        <w:ind w:left="9060"/>
        <w:spacing w:after="0"/>
        <w:rPr>
          <w:sz w:val="20"/>
          <w:szCs w:val="20"/>
          <w:color w:val="auto"/>
        </w:rPr>
      </w:pPr>
      <w:r>
        <w:rPr>
          <w:rFonts w:ascii="Arial" w:cs="Arial" w:eastAsia="Arial" w:hAnsi="Arial"/>
          <w:sz w:val="24"/>
          <w:szCs w:val="24"/>
          <w:color w:val="auto"/>
        </w:rPr>
        <w:t>51</w:t>
      </w:r>
    </w:p>
    <w:p>
      <w:pPr>
        <w:spacing w:after="0" w:line="200" w:lineRule="exact"/>
        <w:rPr>
          <w:sz w:val="20"/>
          <w:szCs w:val="20"/>
          <w:color w:val="auto"/>
        </w:rPr>
      </w:pPr>
    </w:p>
    <w:p>
      <w:pPr>
        <w:spacing w:after="0" w:line="246" w:lineRule="exact"/>
        <w:rPr>
          <w:sz w:val="20"/>
          <w:szCs w:val="20"/>
          <w:color w:val="auto"/>
        </w:rPr>
      </w:pPr>
    </w:p>
    <w:p>
      <w:pPr>
        <w:ind w:left="260"/>
        <w:spacing w:after="0"/>
        <w:rPr>
          <w:sz w:val="20"/>
          <w:szCs w:val="20"/>
          <w:color w:val="auto"/>
        </w:rPr>
      </w:pPr>
      <w:r>
        <w:rPr>
          <w:rFonts w:ascii="Arial" w:cs="Arial" w:eastAsia="Arial" w:hAnsi="Arial"/>
          <w:sz w:val="24"/>
          <w:szCs w:val="24"/>
          <w:color w:val="auto"/>
        </w:rPr>
        <w:t>embutindo a margem líquida e impostos variáveis.</w:t>
      </w:r>
    </w:p>
    <w:p>
      <w:pPr>
        <w:spacing w:after="0" w:line="327" w:lineRule="exact"/>
        <w:rPr>
          <w:sz w:val="20"/>
          <w:szCs w:val="20"/>
          <w:color w:val="auto"/>
        </w:rPr>
      </w:pPr>
    </w:p>
    <w:p>
      <w:pPr>
        <w:jc w:val="center"/>
        <w:ind w:right="-219"/>
        <w:spacing w:after="0" w:line="552" w:lineRule="exact"/>
        <w:rPr>
          <w:sz w:val="20"/>
          <w:szCs w:val="20"/>
          <w:color w:val="auto"/>
        </w:rPr>
      </w:pPr>
      <w:r>
        <w:rPr>
          <w:rFonts w:ascii="Arial" w:cs="Arial" w:eastAsia="Arial" w:hAnsi="Arial"/>
          <w:sz w:val="48"/>
          <w:szCs w:val="48"/>
          <w:i w:val="1"/>
          <w:iCs w:val="1"/>
          <w:color w:val="auto"/>
          <w:vertAlign w:val="superscript"/>
        </w:rPr>
        <w:t>R</w:t>
      </w:r>
      <w:r>
        <w:rPr>
          <w:rFonts w:ascii="Arial" w:cs="Arial" w:eastAsia="Arial" w:hAnsi="Arial"/>
          <w:sz w:val="47"/>
          <w:szCs w:val="47"/>
          <w:color w:val="auto"/>
          <w:vertAlign w:val="superscript"/>
        </w:rPr>
        <w:t xml:space="preserve"> = </w:t>
      </w:r>
      <w:r>
        <w:rPr>
          <w:rFonts w:ascii="Arial" w:cs="Arial" w:eastAsia="Arial" w:hAnsi="Arial"/>
          <w:sz w:val="48"/>
          <w:szCs w:val="48"/>
          <w:i w:val="1"/>
          <w:iCs w:val="1"/>
          <w:color w:val="auto"/>
          <w:vertAlign w:val="superscript"/>
        </w:rPr>
        <w:t>D</w:t>
      </w:r>
      <w:r>
        <w:rPr>
          <w:rFonts w:ascii="Arial" w:cs="Arial" w:eastAsia="Arial" w:hAnsi="Arial"/>
          <w:sz w:val="15"/>
          <w:szCs w:val="15"/>
          <w:i w:val="1"/>
          <w:iCs w:val="1"/>
          <w:color w:val="auto"/>
        </w:rPr>
        <w:t>emp</w:t>
      </w:r>
      <w:r>
        <w:rPr>
          <w:rFonts w:ascii="Arial Unicode MS" w:cs="Arial Unicode MS" w:eastAsia="Arial Unicode MS" w:hAnsi="Arial Unicode MS"/>
          <w:sz w:val="23"/>
          <w:szCs w:val="23"/>
          <w:color w:val="auto"/>
        </w:rPr>
        <w:t xml:space="preserve"> ∗</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i</w:t>
      </w:r>
      <w:r>
        <w:rPr>
          <w:rFonts w:ascii="Arial" w:cs="Arial" w:eastAsia="Arial" w:hAnsi="Arial"/>
          <w:sz w:val="15"/>
          <w:szCs w:val="15"/>
          <w:i w:val="1"/>
          <w:iCs w:val="1"/>
          <w:color w:val="auto"/>
        </w:rPr>
        <w:t>apl</w:t>
      </w:r>
    </w:p>
    <w:p>
      <w:pPr>
        <w:spacing w:after="0" w:line="114" w:lineRule="exact"/>
        <w:rPr>
          <w:sz w:val="20"/>
          <w:szCs w:val="20"/>
          <w:color w:val="auto"/>
        </w:rPr>
      </w:pPr>
    </w:p>
    <w:p>
      <w:pPr>
        <w:jc w:val="both"/>
        <w:ind w:left="260"/>
        <w:spacing w:after="0" w:line="335" w:lineRule="auto"/>
        <w:rPr>
          <w:sz w:val="20"/>
          <w:szCs w:val="20"/>
          <w:color w:val="auto"/>
        </w:rPr>
      </w:pPr>
      <w:r>
        <w:rPr>
          <w:rFonts w:ascii="Arial" w:cs="Arial" w:eastAsia="Arial" w:hAnsi="Arial"/>
          <w:sz w:val="24"/>
          <w:szCs w:val="24"/>
          <w:color w:val="auto"/>
        </w:rPr>
        <w:t>Retornando a concepção inicial da taxa de juros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jr</w:t>
      </w:r>
      <w:r>
        <w:rPr>
          <w:rFonts w:ascii="Arial" w:cs="Arial" w:eastAsia="Arial" w:hAnsi="Arial"/>
          <w:sz w:val="24"/>
          <w:szCs w:val="24"/>
          <w:color w:val="auto"/>
        </w:rPr>
        <w:t>) aplicada sobre o capital em-prestado (</w:t>
      </w:r>
      <w:r>
        <w:rPr>
          <w:rFonts w:ascii="Arial" w:cs="Arial" w:eastAsia="Arial" w:hAnsi="Arial"/>
          <w:sz w:val="24"/>
          <w:szCs w:val="24"/>
          <w:i w:val="1"/>
          <w:iCs w:val="1"/>
          <w:color w:val="auto"/>
        </w:rPr>
        <w:t>E</w:t>
      </w:r>
      <w:r>
        <w:rPr>
          <w:rFonts w:ascii="Arial" w:cs="Arial" w:eastAsia="Arial" w:hAnsi="Arial"/>
          <w:sz w:val="24"/>
          <w:szCs w:val="24"/>
          <w:color w:val="auto"/>
        </w:rPr>
        <w:t>), que pode ser obtida manipulando o multiplicador de aplicação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apl</w:t>
      </w:r>
      <w:r>
        <w:rPr>
          <w:rFonts w:ascii="Arial" w:cs="Arial" w:eastAsia="Arial" w:hAnsi="Arial"/>
          <w:sz w:val="24"/>
          <w:szCs w:val="24"/>
          <w:color w:val="auto"/>
        </w:rPr>
        <w:t>) incorporando as taxas referentes a custos, despesas e provisões.</w:t>
      </w:r>
    </w:p>
    <w:tbl>
      <w:tblPr>
        <w:tblLayout w:type="fixed"/>
        <w:tblInd w:w="2860" w:type="dxa"/>
        <w:tblCellMar>
          <w:top w:w="0" w:type="dxa"/>
          <w:left w:w="0" w:type="dxa"/>
          <w:bottom w:w="0" w:type="dxa"/>
          <w:right w:w="0" w:type="dxa"/>
        </w:tblCellMar>
      </w:tblPr>
      <w:tr>
        <w:trPr>
          <w:trHeight w:val="62"/>
        </w:trPr>
        <w:tc>
          <w:tcPr>
            <w:tcW w:w="2020" w:type="dxa"/>
            <w:vAlign w:val="bottom"/>
            <w:gridSpan w:val="4"/>
            <w:vMerge w:val="restart"/>
          </w:tcPr>
          <w:p>
            <w:pPr>
              <w:ind w:left="580"/>
              <w:spacing w:after="0" w:line="341" w:lineRule="exact"/>
              <w:rPr>
                <w:sz w:val="20"/>
                <w:szCs w:val="20"/>
                <w:color w:val="auto"/>
              </w:rPr>
            </w:pPr>
            <w:r>
              <w:rPr>
                <w:rFonts w:ascii="Arial" w:cs="Arial" w:eastAsia="Arial" w:hAnsi="Arial"/>
                <w:sz w:val="39"/>
                <w:szCs w:val="39"/>
                <w:i w:val="1"/>
                <w:iCs w:val="1"/>
                <w:color w:val="auto"/>
                <w:vertAlign w:val="superscript"/>
              </w:rPr>
              <w:t>i</w:t>
            </w:r>
            <w:r>
              <w:rPr>
                <w:rFonts w:ascii="Arial" w:cs="Arial" w:eastAsia="Arial" w:hAnsi="Arial"/>
                <w:sz w:val="14"/>
                <w:szCs w:val="14"/>
                <w:i w:val="1"/>
                <w:iCs w:val="1"/>
                <w:color w:val="auto"/>
              </w:rPr>
              <w:t>adm</w:t>
            </w:r>
            <w:r>
              <w:rPr>
                <w:rFonts w:ascii="Arial" w:cs="Arial" w:eastAsia="Arial" w:hAnsi="Arial"/>
                <w:sz w:val="39"/>
                <w:szCs w:val="39"/>
                <w:color w:val="auto"/>
              </w:rPr>
              <w:t xml:space="preserve"> </w:t>
            </w:r>
            <w:r>
              <w:rPr>
                <w:rFonts w:ascii="Arial" w:cs="Arial" w:eastAsia="Arial" w:hAnsi="Arial"/>
                <w:sz w:val="39"/>
                <w:szCs w:val="39"/>
                <w:color w:val="auto"/>
                <w:vertAlign w:val="superscript"/>
              </w:rPr>
              <w:t>+</w:t>
            </w:r>
            <w:r>
              <w:rPr>
                <w:rFonts w:ascii="Arial" w:cs="Arial" w:eastAsia="Arial" w:hAnsi="Arial"/>
                <w:sz w:val="39"/>
                <w:szCs w:val="39"/>
                <w:color w:val="auto"/>
              </w:rPr>
              <w:t xml:space="preserve"> </w:t>
            </w:r>
            <w:r>
              <w:rPr>
                <w:rFonts w:ascii="Arial" w:cs="Arial" w:eastAsia="Arial" w:hAnsi="Arial"/>
                <w:sz w:val="39"/>
                <w:szCs w:val="39"/>
                <w:i w:val="1"/>
                <w:iCs w:val="1"/>
                <w:color w:val="auto"/>
                <w:vertAlign w:val="superscript"/>
              </w:rPr>
              <w:t>i</w:t>
            </w:r>
            <w:r>
              <w:rPr>
                <w:rFonts w:ascii="Arial" w:cs="Arial" w:eastAsia="Arial" w:hAnsi="Arial"/>
                <w:sz w:val="14"/>
                <w:szCs w:val="14"/>
                <w:i w:val="1"/>
                <w:iCs w:val="1"/>
                <w:color w:val="auto"/>
              </w:rPr>
              <w:t>ind</w:t>
            </w:r>
            <w:r>
              <w:rPr>
                <w:rFonts w:ascii="Arial" w:cs="Arial" w:eastAsia="Arial" w:hAnsi="Arial"/>
                <w:sz w:val="39"/>
                <w:szCs w:val="39"/>
                <w:color w:val="auto"/>
              </w:rPr>
              <w:t xml:space="preserve"> </w:t>
            </w:r>
            <w:r>
              <w:rPr>
                <w:rFonts w:ascii="Arial" w:cs="Arial" w:eastAsia="Arial" w:hAnsi="Arial"/>
                <w:sz w:val="39"/>
                <w:szCs w:val="39"/>
                <w:color w:val="auto"/>
                <w:vertAlign w:val="superscript"/>
              </w:rPr>
              <w:t>+</w:t>
            </w:r>
            <w:r>
              <w:rPr>
                <w:rFonts w:ascii="Arial" w:cs="Arial" w:eastAsia="Arial" w:hAnsi="Arial"/>
                <w:sz w:val="38"/>
                <w:szCs w:val="38"/>
                <w:color w:val="auto"/>
                <w:vertAlign w:val="superscript"/>
              </w:rPr>
              <w:t xml:space="preserve"> </w:t>
            </w:r>
            <w:r>
              <w:rPr>
                <w:rFonts w:ascii="Arial" w:cs="Arial" w:eastAsia="Arial" w:hAnsi="Arial"/>
                <w:sz w:val="39"/>
                <w:szCs w:val="39"/>
                <w:color w:val="auto"/>
                <w:vertAlign w:val="superscript"/>
              </w:rPr>
              <w:t>(</w:t>
            </w:r>
          </w:p>
        </w:tc>
        <w:tc>
          <w:tcPr>
            <w:tcW w:w="1700" w:type="dxa"/>
            <w:vAlign w:val="bottom"/>
            <w:gridSpan w:val="2"/>
            <w:vMerge w:val="restart"/>
          </w:tcPr>
          <w:p>
            <w:pPr>
              <w:jc w:val="center"/>
              <w:spacing w:after="0" w:line="215" w:lineRule="exact"/>
              <w:rPr>
                <w:sz w:val="20"/>
                <w:szCs w:val="20"/>
                <w:color w:val="auto"/>
              </w:rPr>
            </w:pPr>
            <w:r>
              <w:rPr>
                <w:rFonts w:ascii="Arial" w:cs="Arial" w:eastAsia="Arial" w:hAnsi="Arial"/>
                <w:sz w:val="16"/>
                <w:szCs w:val="16"/>
                <w:i w:val="1"/>
                <w:iCs w:val="1"/>
                <w:color w:val="auto"/>
              </w:rPr>
              <w:t>i</w:t>
            </w:r>
            <w:r>
              <w:rPr>
                <w:rFonts w:ascii="Arial" w:cs="Arial" w:eastAsia="Arial" w:hAnsi="Arial"/>
                <w:sz w:val="11"/>
                <w:szCs w:val="11"/>
                <w:i w:val="1"/>
                <w:iCs w:val="1"/>
                <w:color w:val="auto"/>
              </w:rPr>
              <w:t>cap</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fgc</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comp</w:t>
            </w:r>
            <w:r>
              <w:rPr>
                <w:rFonts w:ascii="Arial Unicode MS" w:cs="Arial Unicode MS" w:eastAsia="Arial Unicode MS" w:hAnsi="Arial Unicode MS"/>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ac</w:t>
            </w:r>
            <w:r>
              <w:rPr>
                <w:rFonts w:ascii="Arial" w:cs="Arial" w:eastAsia="Arial" w:hAnsi="Arial"/>
                <w:sz w:val="16"/>
                <w:szCs w:val="16"/>
                <w:color w:val="auto"/>
              </w:rPr>
              <w:t>)</w:t>
            </w:r>
          </w:p>
        </w:tc>
        <w:tc>
          <w:tcPr>
            <w:tcW w:w="14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279"/>
        </w:trPr>
        <w:tc>
          <w:tcPr>
            <w:tcW w:w="2020" w:type="dxa"/>
            <w:vAlign w:val="bottom"/>
            <w:gridSpan w:val="4"/>
            <w:vMerge w:val="continue"/>
          </w:tcPr>
          <w:p>
            <w:pPr>
              <w:spacing w:after="0"/>
              <w:rPr>
                <w:sz w:val="24"/>
                <w:szCs w:val="24"/>
                <w:color w:val="auto"/>
              </w:rPr>
            </w:pPr>
          </w:p>
        </w:tc>
        <w:tc>
          <w:tcPr>
            <w:tcW w:w="1700" w:type="dxa"/>
            <w:vAlign w:val="bottom"/>
            <w:gridSpan w:val="2"/>
            <w:vMerge w:val="continue"/>
          </w:tcPr>
          <w:p>
            <w:pPr>
              <w:spacing w:after="0"/>
              <w:rPr>
                <w:sz w:val="24"/>
                <w:szCs w:val="24"/>
                <w:color w:val="auto"/>
              </w:rPr>
            </w:pPr>
          </w:p>
        </w:tc>
        <w:tc>
          <w:tcPr>
            <w:tcW w:w="1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22"/>
        </w:trPr>
        <w:tc>
          <w:tcPr>
            <w:tcW w:w="580" w:type="dxa"/>
            <w:vAlign w:val="bottom"/>
            <w:vMerge w:val="restart"/>
          </w:tcPr>
          <w:p>
            <w:pPr>
              <w:spacing w:after="0" w:line="287" w:lineRule="exact"/>
              <w:rPr>
                <w:sz w:val="20"/>
                <w:szCs w:val="20"/>
                <w:color w:val="auto"/>
              </w:rPr>
            </w:pP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jr</w:t>
            </w:r>
            <w:r>
              <w:rPr>
                <w:rFonts w:ascii="Arial" w:cs="Arial" w:eastAsia="Arial" w:hAnsi="Arial"/>
                <w:sz w:val="24"/>
                <w:szCs w:val="24"/>
                <w:color w:val="auto"/>
              </w:rPr>
              <w:t xml:space="preserve"> =</w:t>
            </w:r>
          </w:p>
        </w:tc>
        <w:tc>
          <w:tcPr>
            <w:tcW w:w="780" w:type="dxa"/>
            <w:vAlign w:val="bottom"/>
            <w:tcBorders>
              <w:bottom w:val="single" w:sz="8" w:color="auto"/>
            </w:tcBorders>
          </w:tcPr>
          <w:p>
            <w:pPr>
              <w:spacing w:after="0"/>
              <w:rPr>
                <w:sz w:val="10"/>
                <w:szCs w:val="10"/>
                <w:color w:val="auto"/>
              </w:rPr>
            </w:pPr>
          </w:p>
        </w:tc>
        <w:tc>
          <w:tcPr>
            <w:tcW w:w="60" w:type="dxa"/>
            <w:vAlign w:val="bottom"/>
            <w:tcBorders>
              <w:bottom w:val="single" w:sz="8" w:color="auto"/>
            </w:tcBorders>
          </w:tcPr>
          <w:p>
            <w:pPr>
              <w:spacing w:after="0"/>
              <w:rPr>
                <w:sz w:val="10"/>
                <w:szCs w:val="10"/>
                <w:color w:val="auto"/>
              </w:rPr>
            </w:pPr>
          </w:p>
        </w:tc>
        <w:tc>
          <w:tcPr>
            <w:tcW w:w="600" w:type="dxa"/>
            <w:vAlign w:val="bottom"/>
            <w:tcBorders>
              <w:bottom w:val="single" w:sz="8" w:color="auto"/>
            </w:tcBorders>
          </w:tcPr>
          <w:p>
            <w:pPr>
              <w:spacing w:after="0"/>
              <w:rPr>
                <w:sz w:val="10"/>
                <w:szCs w:val="10"/>
                <w:color w:val="auto"/>
              </w:rPr>
            </w:pPr>
          </w:p>
        </w:tc>
        <w:tc>
          <w:tcPr>
            <w:tcW w:w="160" w:type="dxa"/>
            <w:vAlign w:val="bottom"/>
            <w:tcBorders>
              <w:bottom w:val="single" w:sz="8" w:color="auto"/>
            </w:tcBorders>
          </w:tcPr>
          <w:p>
            <w:pPr>
              <w:spacing w:after="0"/>
              <w:rPr>
                <w:sz w:val="10"/>
                <w:szCs w:val="10"/>
                <w:color w:val="auto"/>
              </w:rPr>
            </w:pPr>
          </w:p>
        </w:tc>
        <w:tc>
          <w:tcPr>
            <w:tcW w:w="1660" w:type="dxa"/>
            <w:vAlign w:val="bottom"/>
            <w:tcBorders>
              <w:bottom w:val="single" w:sz="8" w:color="auto"/>
            </w:tcBorders>
            <w:gridSpan w:val="2"/>
          </w:tcPr>
          <w:p>
            <w:pPr>
              <w:jc w:val="center"/>
              <w:ind w:right="160"/>
              <w:spacing w:after="0" w:line="102" w:lineRule="exact"/>
              <w:rPr>
                <w:sz w:val="20"/>
                <w:szCs w:val="20"/>
                <w:color w:val="auto"/>
              </w:rPr>
            </w:pPr>
            <w:r>
              <w:rPr>
                <w:rFonts w:ascii="Arial" w:cs="Arial" w:eastAsia="Arial" w:hAnsi="Arial"/>
                <w:sz w:val="11"/>
                <w:szCs w:val="11"/>
                <w:color w:val="auto"/>
              </w:rPr>
              <w:t>1−</w:t>
            </w:r>
            <w:r>
              <w:rPr>
                <w:rFonts w:ascii="Arial" w:cs="Arial" w:eastAsia="Arial" w:hAnsi="Arial"/>
                <w:sz w:val="11"/>
                <w:szCs w:val="11"/>
                <w:i w:val="1"/>
                <w:iCs w:val="1"/>
                <w:color w:val="auto"/>
              </w:rPr>
              <w:t>i</w:t>
            </w:r>
            <w:r>
              <w:rPr>
                <w:rFonts w:ascii="Arial" w:cs="Arial" w:eastAsia="Arial" w:hAnsi="Arial"/>
                <w:sz w:val="8"/>
                <w:szCs w:val="8"/>
                <w:i w:val="1"/>
                <w:iCs w:val="1"/>
                <w:color w:val="auto"/>
              </w:rPr>
              <w:t>comp</w:t>
            </w:r>
            <w:r>
              <w:rPr>
                <w:rFonts w:ascii="Arial" w:cs="Arial" w:eastAsia="Arial" w:hAnsi="Arial"/>
                <w:sz w:val="11"/>
                <w:szCs w:val="11"/>
                <w:color w:val="auto"/>
              </w:rPr>
              <w:t>−</w:t>
            </w:r>
            <w:r>
              <w:rPr>
                <w:rFonts w:ascii="Arial" w:cs="Arial" w:eastAsia="Arial" w:hAnsi="Arial"/>
                <w:sz w:val="11"/>
                <w:szCs w:val="11"/>
                <w:i w:val="1"/>
                <w:iCs w:val="1"/>
                <w:color w:val="auto"/>
              </w:rPr>
              <w:t>i</w:t>
            </w:r>
            <w:r>
              <w:rPr>
                <w:rFonts w:ascii="Arial" w:cs="Arial" w:eastAsia="Arial" w:hAnsi="Arial"/>
                <w:sz w:val="8"/>
                <w:szCs w:val="8"/>
                <w:i w:val="1"/>
                <w:iCs w:val="1"/>
                <w:color w:val="auto"/>
              </w:rPr>
              <w:t>fgc</w:t>
            </w:r>
          </w:p>
        </w:tc>
        <w:tc>
          <w:tcPr>
            <w:tcW w:w="0" w:type="dxa"/>
            <w:vAlign w:val="bottom"/>
          </w:tcPr>
          <w:p>
            <w:pPr>
              <w:spacing w:after="0"/>
              <w:rPr>
                <w:sz w:val="1"/>
                <w:szCs w:val="1"/>
                <w:color w:val="auto"/>
              </w:rPr>
            </w:pPr>
          </w:p>
        </w:tc>
      </w:tr>
      <w:tr>
        <w:trPr>
          <w:trHeight w:val="145"/>
        </w:trPr>
        <w:tc>
          <w:tcPr>
            <w:tcW w:w="580" w:type="dxa"/>
            <w:vAlign w:val="bottom"/>
            <w:vMerge w:val="continue"/>
          </w:tcPr>
          <w:p>
            <w:pPr>
              <w:spacing w:after="0"/>
              <w:rPr>
                <w:sz w:val="12"/>
                <w:szCs w:val="12"/>
                <w:color w:val="auto"/>
              </w:rPr>
            </w:pPr>
          </w:p>
        </w:tc>
        <w:tc>
          <w:tcPr>
            <w:tcW w:w="780" w:type="dxa"/>
            <w:vAlign w:val="bottom"/>
            <w:vMerge w:val="restart"/>
          </w:tcPr>
          <w:p>
            <w:pPr>
              <w:ind w:left="420"/>
              <w:spacing w:after="0"/>
              <w:rPr>
                <w:sz w:val="20"/>
                <w:szCs w:val="20"/>
                <w:color w:val="auto"/>
              </w:rPr>
            </w:pPr>
            <w:r>
              <w:rPr>
                <w:rFonts w:ascii="Arial" w:cs="Arial" w:eastAsia="Arial" w:hAnsi="Arial"/>
                <w:sz w:val="24"/>
                <w:szCs w:val="24"/>
                <w:color w:val="auto"/>
                <w:w w:val="99"/>
              </w:rPr>
              <w:t>1 −</w:t>
            </w:r>
          </w:p>
        </w:tc>
        <w:tc>
          <w:tcPr>
            <w:tcW w:w="60" w:type="dxa"/>
            <w:vAlign w:val="bottom"/>
          </w:tcPr>
          <w:p>
            <w:pPr>
              <w:spacing w:after="0"/>
              <w:rPr>
                <w:sz w:val="12"/>
                <w:szCs w:val="12"/>
                <w:color w:val="auto"/>
              </w:rPr>
            </w:pPr>
          </w:p>
        </w:tc>
        <w:tc>
          <w:tcPr>
            <w:tcW w:w="2420" w:type="dxa"/>
            <w:vAlign w:val="bottom"/>
            <w:gridSpan w:val="4"/>
          </w:tcPr>
          <w:p>
            <w:pPr>
              <w:jc w:val="center"/>
              <w:ind w:right="1540"/>
              <w:spacing w:after="0" w:line="145" w:lineRule="exact"/>
              <w:rPr>
                <w:sz w:val="20"/>
                <w:szCs w:val="20"/>
                <w:color w:val="auto"/>
              </w:rPr>
            </w:pPr>
            <w:r>
              <w:rPr>
                <w:rFonts w:ascii="Arial" w:cs="Arial" w:eastAsia="Arial" w:hAnsi="Arial"/>
                <w:sz w:val="16"/>
                <w:szCs w:val="16"/>
                <w:i w:val="1"/>
                <w:iCs w:val="1"/>
                <w:color w:val="auto"/>
                <w:vertAlign w:val="superscript"/>
              </w:rPr>
              <w:t>i</w:t>
            </w:r>
            <w:r>
              <w:rPr>
                <w:rFonts w:ascii="Arial" w:cs="Arial" w:eastAsia="Arial" w:hAnsi="Arial"/>
                <w:sz w:val="8"/>
                <w:szCs w:val="8"/>
                <w:i w:val="1"/>
                <w:iCs w:val="1"/>
                <w:color w:val="auto"/>
              </w:rPr>
              <w:t>ll</w:t>
            </w:r>
          </w:p>
        </w:tc>
        <w:tc>
          <w:tcPr>
            <w:tcW w:w="0" w:type="dxa"/>
            <w:vAlign w:val="bottom"/>
          </w:tcPr>
          <w:p>
            <w:pPr>
              <w:spacing w:after="0"/>
              <w:rPr>
                <w:sz w:val="1"/>
                <w:szCs w:val="1"/>
                <w:color w:val="auto"/>
              </w:rPr>
            </w:pPr>
          </w:p>
        </w:tc>
      </w:tr>
      <w:tr>
        <w:trPr>
          <w:trHeight w:val="255"/>
        </w:trPr>
        <w:tc>
          <w:tcPr>
            <w:tcW w:w="580" w:type="dxa"/>
            <w:vAlign w:val="bottom"/>
          </w:tcPr>
          <w:p>
            <w:pPr>
              <w:spacing w:after="0"/>
              <w:rPr>
                <w:sz w:val="22"/>
                <w:szCs w:val="22"/>
                <w:color w:val="auto"/>
              </w:rPr>
            </w:pPr>
          </w:p>
        </w:tc>
        <w:tc>
          <w:tcPr>
            <w:tcW w:w="780" w:type="dxa"/>
            <w:vAlign w:val="bottom"/>
            <w:vMerge w:val="continue"/>
          </w:tcPr>
          <w:p>
            <w:pPr>
              <w:spacing w:after="0"/>
              <w:rPr>
                <w:sz w:val="22"/>
                <w:szCs w:val="22"/>
                <w:color w:val="auto"/>
              </w:rPr>
            </w:pPr>
          </w:p>
        </w:tc>
        <w:tc>
          <w:tcPr>
            <w:tcW w:w="60" w:type="dxa"/>
            <w:vAlign w:val="bottom"/>
          </w:tcPr>
          <w:p>
            <w:pPr>
              <w:spacing w:after="0"/>
              <w:rPr>
                <w:sz w:val="22"/>
                <w:szCs w:val="22"/>
                <w:color w:val="auto"/>
              </w:rPr>
            </w:pPr>
          </w:p>
        </w:tc>
        <w:tc>
          <w:tcPr>
            <w:tcW w:w="760" w:type="dxa"/>
            <w:vAlign w:val="bottom"/>
            <w:tcBorders>
              <w:top w:val="single" w:sz="8" w:color="auto"/>
            </w:tcBorders>
            <w:gridSpan w:val="2"/>
          </w:tcPr>
          <w:p>
            <w:pPr>
              <w:jc w:val="center"/>
              <w:spacing w:after="0" w:line="255" w:lineRule="exact"/>
              <w:rPr>
                <w:sz w:val="20"/>
                <w:szCs w:val="20"/>
                <w:color w:val="auto"/>
              </w:rPr>
            </w:pPr>
            <w:r>
              <w:rPr>
                <w:rFonts w:ascii="Arial" w:cs="Arial" w:eastAsia="Arial" w:hAnsi="Arial"/>
                <w:sz w:val="16"/>
                <w:szCs w:val="16"/>
                <w:color w:val="auto"/>
              </w:rPr>
              <w:t>1−</w:t>
            </w:r>
            <w:r>
              <w:rPr>
                <w:rFonts w:ascii="Arial" w:cs="Arial" w:eastAsia="Arial" w:hAnsi="Arial"/>
                <w:sz w:val="16"/>
                <w:szCs w:val="16"/>
                <w:i w:val="1"/>
                <w:iCs w:val="1"/>
                <w:color w:val="auto"/>
              </w:rPr>
              <w:t>i</w:t>
            </w:r>
            <w:r>
              <w:rPr>
                <w:rFonts w:ascii="Arial" w:cs="Arial" w:eastAsia="Arial" w:hAnsi="Arial"/>
                <w:sz w:val="23"/>
                <w:szCs w:val="23"/>
                <w:i w:val="1"/>
                <w:iCs w:val="1"/>
                <w:color w:val="auto"/>
                <w:vertAlign w:val="subscript"/>
              </w:rPr>
              <w:t>ir</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23"/>
                <w:szCs w:val="23"/>
                <w:i w:val="1"/>
                <w:iCs w:val="1"/>
                <w:color w:val="auto"/>
                <w:vertAlign w:val="subscript"/>
              </w:rPr>
              <w:t>cs</w:t>
            </w:r>
          </w:p>
        </w:tc>
        <w:tc>
          <w:tcPr>
            <w:tcW w:w="1660" w:type="dxa"/>
            <w:vAlign w:val="bottom"/>
            <w:gridSpan w:val="2"/>
          </w:tcPr>
          <w:p>
            <w:pPr>
              <w:jc w:val="right"/>
              <w:ind w:right="320"/>
              <w:spacing w:after="0" w:line="255" w:lineRule="exact"/>
              <w:rPr>
                <w:sz w:val="20"/>
                <w:szCs w:val="20"/>
                <w:color w:val="auto"/>
              </w:rPr>
            </w:pPr>
            <w:r>
              <w:rPr>
                <w:rFonts w:ascii="Arial" w:cs="Arial" w:eastAsia="Arial" w:hAnsi="Arial"/>
                <w:sz w:val="17"/>
                <w:szCs w:val="17"/>
                <w:color w:val="auto"/>
              </w:rPr>
              <w:t>−</w:t>
            </w:r>
            <w:r>
              <w:rPr>
                <w:rFonts w:ascii="Arial" w:cs="Arial" w:eastAsia="Arial" w:hAnsi="Arial"/>
                <w:sz w:val="29"/>
                <w:szCs w:val="29"/>
                <w:color w:val="auto"/>
              </w:rPr>
              <w:t xml:space="preserve"> </w:t>
            </w:r>
            <w:r>
              <w:rPr>
                <w:rFonts w:ascii="Arial" w:cs="Arial" w:eastAsia="Arial" w:hAnsi="Arial"/>
                <w:sz w:val="29"/>
                <w:szCs w:val="29"/>
                <w:i w:val="1"/>
                <w:iCs w:val="1"/>
                <w:color w:val="auto"/>
                <w:vertAlign w:val="superscript"/>
              </w:rPr>
              <w:t>i</w:t>
            </w:r>
            <w:r>
              <w:rPr>
                <w:rFonts w:ascii="Arial" w:cs="Arial" w:eastAsia="Arial" w:hAnsi="Arial"/>
                <w:sz w:val="13"/>
                <w:szCs w:val="13"/>
                <w:i w:val="1"/>
                <w:iCs w:val="1"/>
                <w:color w:val="auto"/>
              </w:rPr>
              <w:t>pis</w:t>
            </w:r>
            <w:r>
              <w:rPr>
                <w:rFonts w:ascii="Arial" w:cs="Arial" w:eastAsia="Arial" w:hAnsi="Arial"/>
                <w:sz w:val="17"/>
                <w:szCs w:val="17"/>
                <w:color w:val="auto"/>
              </w:rPr>
              <w:t xml:space="preserve"> −</w:t>
            </w:r>
            <w:r>
              <w:rPr>
                <w:rFonts w:ascii="Arial" w:cs="Arial" w:eastAsia="Arial" w:hAnsi="Arial"/>
                <w:sz w:val="29"/>
                <w:szCs w:val="29"/>
                <w:color w:val="auto"/>
              </w:rPr>
              <w:t xml:space="preserve"> </w:t>
            </w:r>
            <w:r>
              <w:rPr>
                <w:rFonts w:ascii="Arial" w:cs="Arial" w:eastAsia="Arial" w:hAnsi="Arial"/>
                <w:sz w:val="29"/>
                <w:szCs w:val="29"/>
                <w:i w:val="1"/>
                <w:iCs w:val="1"/>
                <w:color w:val="auto"/>
                <w:vertAlign w:val="superscript"/>
              </w:rPr>
              <w:t>i</w:t>
            </w:r>
            <w:r>
              <w:rPr>
                <w:rFonts w:ascii="Arial" w:cs="Arial" w:eastAsia="Arial" w:hAnsi="Arial"/>
                <w:sz w:val="13"/>
                <w:szCs w:val="13"/>
                <w:i w:val="1"/>
                <w:iCs w:val="1"/>
                <w:color w:val="auto"/>
              </w:rPr>
              <w:t>cof</w:t>
            </w:r>
          </w:p>
        </w:tc>
        <w:tc>
          <w:tcPr>
            <w:tcW w:w="0" w:type="dxa"/>
            <w:vAlign w:val="bottom"/>
          </w:tcPr>
          <w:p>
            <w:pPr>
              <w:spacing w:after="0"/>
              <w:rPr>
                <w:sz w:val="1"/>
                <w:szCs w:val="1"/>
                <w:color w:val="auto"/>
              </w:rPr>
            </w:pPr>
          </w:p>
        </w:tc>
      </w:tr>
      <w:tr>
        <w:trPr>
          <w:trHeight w:val="497"/>
        </w:trPr>
        <w:tc>
          <w:tcPr>
            <w:tcW w:w="58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2480" w:type="dxa"/>
            <w:vAlign w:val="bottom"/>
            <w:gridSpan w:val="5"/>
          </w:tcPr>
          <w:p>
            <w:pPr>
              <w:jc w:val="right"/>
              <w:ind w:right="1220"/>
              <w:spacing w:after="0" w:line="357" w:lineRule="exact"/>
              <w:rPr>
                <w:sz w:val="20"/>
                <w:szCs w:val="20"/>
                <w:color w:val="auto"/>
              </w:rPr>
            </w:pPr>
            <w:r>
              <w:rPr>
                <w:rFonts w:ascii="Arial" w:cs="Arial" w:eastAsia="Arial" w:hAnsi="Arial"/>
                <w:sz w:val="24"/>
                <w:szCs w:val="24"/>
                <w:i w:val="1"/>
                <w:iCs w:val="1"/>
                <w:color w:val="auto"/>
              </w:rPr>
              <w:t>R</w:t>
            </w:r>
            <w:r>
              <w:rPr>
                <w:rFonts w:ascii="Arial" w:cs="Arial" w:eastAsia="Arial" w:hAnsi="Arial"/>
                <w:sz w:val="24"/>
                <w:szCs w:val="24"/>
                <w:color w:val="auto"/>
              </w:rPr>
              <w:t xml:space="preserve"> = </w:t>
            </w:r>
            <w:r>
              <w:rPr>
                <w:rFonts w:ascii="Arial" w:cs="Arial" w:eastAsia="Arial" w:hAnsi="Arial"/>
                <w:sz w:val="24"/>
                <w:szCs w:val="24"/>
                <w:i w:val="1"/>
                <w:iCs w:val="1"/>
                <w:color w:val="auto"/>
              </w:rPr>
              <w:t>E</w:t>
            </w:r>
            <w:r>
              <w:rPr>
                <w:rFonts w:ascii="Arial Unicode MS" w:cs="Arial Unicode MS" w:eastAsia="Arial Unicode MS" w:hAnsi="Arial Unicode MS"/>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jr</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3104515</wp:posOffset>
                </wp:positionH>
                <wp:positionV relativeFrom="paragraph">
                  <wp:posOffset>-732790</wp:posOffset>
                </wp:positionV>
                <wp:extent cx="1078865"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788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45pt,-57.6999pt" to="329.4pt,-57.6999pt" o:allowincell="f" strokecolor="#000000" strokeweight="0.398pt"/>
            </w:pict>
          </mc:Fallback>
        </mc:AlternateContent>
      </w:r>
    </w:p>
    <w:p>
      <w:pPr>
        <w:spacing w:after="0" w:line="212" w:lineRule="exact"/>
        <w:rPr>
          <w:sz w:val="20"/>
          <w:szCs w:val="20"/>
          <w:color w:val="auto"/>
        </w:rPr>
      </w:pPr>
    </w:p>
    <w:p>
      <w:pPr>
        <w:jc w:val="both"/>
        <w:ind w:left="260" w:firstLine="850"/>
        <w:spacing w:after="0" w:line="355" w:lineRule="auto"/>
        <w:rPr>
          <w:sz w:val="20"/>
          <w:szCs w:val="20"/>
          <w:color w:val="auto"/>
        </w:rPr>
      </w:pPr>
      <w:r>
        <w:rPr>
          <w:rFonts w:ascii="Arial" w:cs="Arial" w:eastAsia="Arial" w:hAnsi="Arial"/>
          <w:sz w:val="23"/>
          <w:szCs w:val="23"/>
          <w:color w:val="auto"/>
        </w:rPr>
        <w:t>Assumindo que as receitas de operações de créditos (</w:t>
      </w:r>
      <w:r>
        <w:rPr>
          <w:rFonts w:ascii="Arial" w:cs="Arial" w:eastAsia="Arial" w:hAnsi="Arial"/>
          <w:sz w:val="23"/>
          <w:szCs w:val="23"/>
          <w:i w:val="1"/>
          <w:iCs w:val="1"/>
          <w:color w:val="auto"/>
        </w:rPr>
        <w:t>E</w:t>
      </w:r>
      <w:r>
        <w:rPr>
          <w:rFonts w:ascii="Arial" w:cs="Arial" w:eastAsia="Arial" w:hAnsi="Arial"/>
          <w:sz w:val="23"/>
          <w:szCs w:val="23"/>
          <w:color w:val="auto"/>
        </w:rPr>
        <w:t>) podem ser decom-postas de acordo com a origem: capital próprio (</w:t>
      </w:r>
      <w:r>
        <w:rPr>
          <w:rFonts w:ascii="Arial" w:cs="Arial" w:eastAsia="Arial" w:hAnsi="Arial"/>
          <w:sz w:val="23"/>
          <w:szCs w:val="23"/>
          <w:i w:val="1"/>
          <w:iCs w:val="1"/>
          <w:color w:val="auto"/>
        </w:rPr>
        <w:t>E</w:t>
      </w:r>
      <w:r>
        <w:rPr>
          <w:rFonts w:ascii="Arial" w:cs="Arial" w:eastAsia="Arial" w:hAnsi="Arial"/>
          <w:sz w:val="30"/>
          <w:szCs w:val="30"/>
          <w:i w:val="1"/>
          <w:iCs w:val="1"/>
          <w:color w:val="auto"/>
          <w:vertAlign w:val="subscript"/>
        </w:rPr>
        <w:t>P r</w:t>
      </w:r>
      <w:r>
        <w:rPr>
          <w:rFonts w:ascii="Arial" w:cs="Arial" w:eastAsia="Arial" w:hAnsi="Arial"/>
          <w:sz w:val="23"/>
          <w:szCs w:val="23"/>
          <w:color w:val="auto"/>
        </w:rPr>
        <w:t>) e depósitos a vista (</w:t>
      </w:r>
      <w:r>
        <w:rPr>
          <w:rFonts w:ascii="Arial" w:cs="Arial" w:eastAsia="Arial" w:hAnsi="Arial"/>
          <w:sz w:val="23"/>
          <w:szCs w:val="23"/>
          <w:i w:val="1"/>
          <w:iCs w:val="1"/>
          <w:color w:val="auto"/>
        </w:rPr>
        <w:t>E</w:t>
      </w:r>
      <w:r>
        <w:rPr>
          <w:rFonts w:ascii="Arial" w:cs="Arial" w:eastAsia="Arial" w:hAnsi="Arial"/>
          <w:sz w:val="30"/>
          <w:szCs w:val="30"/>
          <w:i w:val="1"/>
          <w:iCs w:val="1"/>
          <w:color w:val="auto"/>
          <w:vertAlign w:val="subscript"/>
        </w:rPr>
        <w:t>dav</w:t>
      </w:r>
      <w:r>
        <w:rPr>
          <w:rFonts w:ascii="Arial" w:cs="Arial" w:eastAsia="Arial" w:hAnsi="Arial"/>
          <w:sz w:val="23"/>
          <w:szCs w:val="23"/>
          <w:color w:val="auto"/>
        </w:rPr>
        <w:t>), remu-nerados a um custo de oportunidade (</w:t>
      </w:r>
      <w:r>
        <w:rPr>
          <w:rFonts w:ascii="Arial" w:cs="Arial" w:eastAsia="Arial" w:hAnsi="Arial"/>
          <w:sz w:val="23"/>
          <w:szCs w:val="23"/>
          <w:i w:val="1"/>
          <w:iCs w:val="1"/>
          <w:color w:val="auto"/>
        </w:rPr>
        <w:t>i</w:t>
      </w:r>
      <w:r>
        <w:rPr>
          <w:rFonts w:ascii="Arial" w:cs="Arial" w:eastAsia="Arial" w:hAnsi="Arial"/>
          <w:sz w:val="30"/>
          <w:szCs w:val="30"/>
          <w:i w:val="1"/>
          <w:iCs w:val="1"/>
          <w:color w:val="auto"/>
          <w:vertAlign w:val="subscript"/>
        </w:rPr>
        <w:t>copr</w:t>
      </w:r>
      <w:r>
        <w:rPr>
          <w:rFonts w:ascii="Arial" w:cs="Arial" w:eastAsia="Arial" w:hAnsi="Arial"/>
          <w:sz w:val="23"/>
          <w:szCs w:val="23"/>
          <w:color w:val="auto"/>
        </w:rPr>
        <w:t xml:space="preserve"> e </w:t>
      </w:r>
      <w:r>
        <w:rPr>
          <w:rFonts w:ascii="Arial" w:cs="Arial" w:eastAsia="Arial" w:hAnsi="Arial"/>
          <w:sz w:val="23"/>
          <w:szCs w:val="23"/>
          <w:i w:val="1"/>
          <w:iCs w:val="1"/>
          <w:color w:val="auto"/>
        </w:rPr>
        <w:t>i</w:t>
      </w:r>
      <w:r>
        <w:rPr>
          <w:rFonts w:ascii="Arial" w:cs="Arial" w:eastAsia="Arial" w:hAnsi="Arial"/>
          <w:sz w:val="30"/>
          <w:szCs w:val="30"/>
          <w:i w:val="1"/>
          <w:iCs w:val="1"/>
          <w:color w:val="auto"/>
          <w:vertAlign w:val="subscript"/>
        </w:rPr>
        <w:t>coav</w:t>
      </w:r>
      <w:r>
        <w:rPr>
          <w:rFonts w:ascii="Arial" w:cs="Arial" w:eastAsia="Arial" w:hAnsi="Arial"/>
          <w:sz w:val="23"/>
          <w:szCs w:val="23"/>
          <w:color w:val="auto"/>
        </w:rPr>
        <w:t>) — já que não são remunerados —</w:t>
      </w:r>
    </w:p>
    <w:p>
      <w:pPr>
        <w:ind w:left="260" w:right="40"/>
        <w:spacing w:after="0" w:line="381" w:lineRule="auto"/>
        <w:rPr>
          <w:sz w:val="20"/>
          <w:szCs w:val="20"/>
          <w:color w:val="auto"/>
        </w:rPr>
      </w:pPr>
      <w:r>
        <w:rPr>
          <w:rFonts w:ascii="Arial" w:cs="Arial" w:eastAsia="Arial" w:hAnsi="Arial"/>
          <w:sz w:val="24"/>
          <w:szCs w:val="24"/>
          <w:color w:val="auto"/>
        </w:rPr>
        <w:t>e depósitos a prazo (</w:t>
      </w:r>
      <w:r>
        <w:rPr>
          <w:rFonts w:ascii="Arial" w:cs="Arial" w:eastAsia="Arial" w:hAnsi="Arial"/>
          <w:sz w:val="24"/>
          <w:szCs w:val="24"/>
          <w:i w:val="1"/>
          <w:iCs w:val="1"/>
          <w:color w:val="auto"/>
        </w:rPr>
        <w:t>dap</w:t>
      </w:r>
      <w:r>
        <w:rPr>
          <w:rFonts w:ascii="Arial" w:cs="Arial" w:eastAsia="Arial" w:hAnsi="Arial"/>
          <w:sz w:val="24"/>
          <w:szCs w:val="24"/>
          <w:color w:val="auto"/>
        </w:rPr>
        <w:t>) remunerados à uma taxa de captação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Cap</w:t>
      </w:r>
      <w:r>
        <w:rPr>
          <w:rFonts w:ascii="Arial" w:cs="Arial" w:eastAsia="Arial" w:hAnsi="Arial"/>
          <w:sz w:val="24"/>
          <w:szCs w:val="24"/>
          <w:color w:val="auto"/>
        </w:rPr>
        <w:t>), a receita das operações de crédito podem ser obtidas pelo somatório das equações abaixo.</w:t>
      </w:r>
    </w:p>
    <w:p>
      <w:pPr>
        <w:spacing w:after="0" w:line="243" w:lineRule="exact"/>
        <w:rPr>
          <w:sz w:val="20"/>
          <w:szCs w:val="20"/>
          <w:color w:val="auto"/>
        </w:rPr>
      </w:pPr>
    </w:p>
    <w:tbl>
      <w:tblPr>
        <w:tblLayout w:type="fixed"/>
        <w:tblInd w:w="2360" w:type="dxa"/>
        <w:tblCellMar>
          <w:top w:w="0" w:type="dxa"/>
          <w:left w:w="0" w:type="dxa"/>
          <w:bottom w:w="0" w:type="dxa"/>
          <w:right w:w="0" w:type="dxa"/>
        </w:tblCellMar>
      </w:tblPr>
      <w:tr>
        <w:trPr>
          <w:trHeight w:val="175"/>
        </w:trPr>
        <w:tc>
          <w:tcPr>
            <w:tcW w:w="780" w:type="dxa"/>
            <w:vAlign w:val="bottom"/>
            <w:vMerge w:val="restart"/>
          </w:tcPr>
          <w:p>
            <w:pPr>
              <w:spacing w:after="0"/>
              <w:rPr>
                <w:sz w:val="15"/>
                <w:szCs w:val="15"/>
                <w:color w:val="auto"/>
              </w:rPr>
            </w:pPr>
          </w:p>
        </w:tc>
        <w:tc>
          <w:tcPr>
            <w:tcW w:w="760" w:type="dxa"/>
            <w:vAlign w:val="bottom"/>
            <w:gridSpan w:val="2"/>
            <w:vMerge w:val="restart"/>
          </w:tcPr>
          <w:p>
            <w:pPr>
              <w:ind w:left="60"/>
              <w:spacing w:after="0"/>
              <w:rPr>
                <w:sz w:val="20"/>
                <w:szCs w:val="20"/>
                <w:color w:val="auto"/>
              </w:rPr>
            </w:pPr>
            <w:r>
              <w:rPr>
                <w:rFonts w:ascii="Arial" w:cs="Arial" w:eastAsia="Arial" w:hAnsi="Arial"/>
                <w:sz w:val="24"/>
                <w:szCs w:val="24"/>
                <w:i w:val="1"/>
                <w:iCs w:val="1"/>
                <w:color w:val="auto"/>
              </w:rPr>
              <w:t>R</w:t>
            </w:r>
            <w:r>
              <w:rPr>
                <w:rFonts w:ascii="Arial" w:cs="Arial" w:eastAsia="Arial" w:hAnsi="Arial"/>
                <w:sz w:val="31"/>
                <w:szCs w:val="31"/>
                <w:i w:val="1"/>
                <w:iCs w:val="1"/>
                <w:color w:val="auto"/>
                <w:vertAlign w:val="subscript"/>
              </w:rPr>
              <w:t>pr</w:t>
            </w:r>
            <w:r>
              <w:rPr>
                <w:rFonts w:ascii="Arial" w:cs="Arial" w:eastAsia="Arial" w:hAnsi="Arial"/>
                <w:sz w:val="24"/>
                <w:szCs w:val="24"/>
                <w:color w:val="auto"/>
              </w:rPr>
              <w:t xml:space="preserve"> =</w:t>
            </w:r>
          </w:p>
        </w:tc>
        <w:tc>
          <w:tcPr>
            <w:tcW w:w="3060" w:type="dxa"/>
            <w:vAlign w:val="bottom"/>
            <w:gridSpan w:val="10"/>
            <w:vMerge w:val="restart"/>
          </w:tcPr>
          <w:p>
            <w:pPr>
              <w:spacing w:after="0" w:line="552" w:lineRule="exact"/>
              <w:rPr>
                <w:sz w:val="20"/>
                <w:szCs w:val="20"/>
                <w:color w:val="auto"/>
              </w:rPr>
            </w:pPr>
            <w:r>
              <w:rPr>
                <w:rFonts w:ascii="Arial" w:cs="Arial" w:eastAsia="Arial" w:hAnsi="Arial"/>
                <w:sz w:val="48"/>
                <w:szCs w:val="48"/>
                <w:i w:val="1"/>
                <w:iCs w:val="1"/>
                <w:color w:val="auto"/>
                <w:vertAlign w:val="superscript"/>
              </w:rPr>
              <w:t>E</w:t>
            </w:r>
            <w:r>
              <w:rPr>
                <w:rFonts w:ascii="Arial" w:cs="Arial" w:eastAsia="Arial" w:hAnsi="Arial"/>
                <w:sz w:val="15"/>
                <w:szCs w:val="15"/>
                <w:i w:val="1"/>
                <w:iCs w:val="1"/>
                <w:color w:val="auto"/>
              </w:rPr>
              <w:t>pr</w:t>
            </w:r>
            <w:r>
              <w:rPr>
                <w:rFonts w:ascii="Arial Unicode MS" w:cs="Arial Unicode MS" w:eastAsia="Arial Unicode MS" w:hAnsi="Arial Unicode MS"/>
                <w:sz w:val="23"/>
                <w:szCs w:val="23"/>
                <w:color w:val="auto"/>
              </w:rPr>
              <w:t xml:space="preserve"> ∗</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i w:val="1"/>
                <w:iCs w:val="1"/>
                <w:color w:val="auto"/>
                <w:vertAlign w:val="superscript"/>
              </w:rPr>
              <w:t>i</w:t>
            </w:r>
            <w:r>
              <w:rPr>
                <w:rFonts w:ascii="Arial" w:cs="Arial" w:eastAsia="Arial" w:hAnsi="Arial"/>
                <w:sz w:val="15"/>
                <w:szCs w:val="15"/>
                <w:i w:val="1"/>
                <w:iCs w:val="1"/>
                <w:color w:val="auto"/>
              </w:rPr>
              <w:t>adm</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i</w:t>
            </w:r>
            <w:r>
              <w:rPr>
                <w:rFonts w:ascii="Arial" w:cs="Arial" w:eastAsia="Arial" w:hAnsi="Arial"/>
                <w:sz w:val="15"/>
                <w:szCs w:val="15"/>
                <w:i w:val="1"/>
                <w:iCs w:val="1"/>
                <w:color w:val="auto"/>
              </w:rPr>
              <w:t>ind</w:t>
            </w:r>
            <w:r>
              <w:rPr>
                <w:rFonts w:ascii="Arial" w:cs="Arial" w:eastAsia="Arial" w:hAnsi="Arial"/>
                <w:sz w:val="48"/>
                <w:szCs w:val="48"/>
                <w:color w:val="auto"/>
                <w:vertAlign w:val="superscript"/>
              </w:rPr>
              <w:t>]</w:t>
            </w:r>
            <w:r>
              <w:rPr>
                <w:rFonts w:ascii="Arial" w:cs="Arial" w:eastAsia="Arial" w:hAnsi="Arial"/>
                <w:sz w:val="47"/>
                <w:szCs w:val="47"/>
                <w:color w:val="auto"/>
                <w:vertAlign w:val="superscript"/>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i</w:t>
            </w:r>
            <w:r>
              <w:rPr>
                <w:rFonts w:ascii="Arial" w:cs="Arial" w:eastAsia="Arial" w:hAnsi="Arial"/>
                <w:sz w:val="15"/>
                <w:szCs w:val="15"/>
                <w:i w:val="1"/>
                <w:iCs w:val="1"/>
                <w:color w:val="auto"/>
              </w:rPr>
              <w:t>copr</w:t>
            </w:r>
          </w:p>
        </w:tc>
        <w:tc>
          <w:tcPr>
            <w:tcW w:w="6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77"/>
        </w:trPr>
        <w:tc>
          <w:tcPr>
            <w:tcW w:w="780" w:type="dxa"/>
            <w:vAlign w:val="bottom"/>
            <w:vMerge w:val="continue"/>
          </w:tcPr>
          <w:p>
            <w:pPr>
              <w:spacing w:after="0"/>
              <w:rPr>
                <w:sz w:val="24"/>
                <w:szCs w:val="24"/>
                <w:color w:val="auto"/>
              </w:rPr>
            </w:pPr>
          </w:p>
        </w:tc>
        <w:tc>
          <w:tcPr>
            <w:tcW w:w="760" w:type="dxa"/>
            <w:vAlign w:val="bottom"/>
            <w:gridSpan w:val="2"/>
            <w:vMerge w:val="continue"/>
          </w:tcPr>
          <w:p>
            <w:pPr>
              <w:spacing w:after="0"/>
              <w:rPr>
                <w:sz w:val="24"/>
                <w:szCs w:val="24"/>
                <w:color w:val="auto"/>
              </w:rPr>
            </w:pPr>
          </w:p>
        </w:tc>
        <w:tc>
          <w:tcPr>
            <w:tcW w:w="3060" w:type="dxa"/>
            <w:vAlign w:val="bottom"/>
            <w:gridSpan w:val="10"/>
            <w:vMerge w:val="continue"/>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4"/>
        </w:trPr>
        <w:tc>
          <w:tcPr>
            <w:tcW w:w="780" w:type="dxa"/>
            <w:vAlign w:val="bottom"/>
          </w:tcPr>
          <w:p>
            <w:pPr>
              <w:spacing w:after="0"/>
              <w:rPr>
                <w:sz w:val="6"/>
                <w:szCs w:val="6"/>
                <w:color w:val="auto"/>
              </w:rPr>
            </w:pPr>
          </w:p>
        </w:tc>
        <w:tc>
          <w:tcPr>
            <w:tcW w:w="80" w:type="dxa"/>
            <w:vAlign w:val="bottom"/>
          </w:tcPr>
          <w:p>
            <w:pPr>
              <w:spacing w:after="0"/>
              <w:rPr>
                <w:sz w:val="6"/>
                <w:szCs w:val="6"/>
                <w:color w:val="auto"/>
              </w:rPr>
            </w:pPr>
          </w:p>
        </w:tc>
        <w:tc>
          <w:tcPr>
            <w:tcW w:w="680" w:type="dxa"/>
            <w:vAlign w:val="bottom"/>
          </w:tcPr>
          <w:p>
            <w:pPr>
              <w:spacing w:after="0"/>
              <w:rPr>
                <w:sz w:val="6"/>
                <w:szCs w:val="6"/>
                <w:color w:val="auto"/>
              </w:rPr>
            </w:pPr>
          </w:p>
        </w:tc>
        <w:tc>
          <w:tcPr>
            <w:tcW w:w="440" w:type="dxa"/>
            <w:vAlign w:val="bottom"/>
            <w:vMerge w:val="restart"/>
          </w:tcPr>
          <w:p>
            <w:pPr>
              <w:spacing w:after="0"/>
              <w:rPr>
                <w:sz w:val="20"/>
                <w:szCs w:val="20"/>
                <w:color w:val="auto"/>
              </w:rPr>
            </w:pPr>
            <w:r>
              <w:rPr>
                <w:rFonts w:ascii="Arial" w:cs="Arial" w:eastAsia="Arial" w:hAnsi="Arial"/>
                <w:sz w:val="24"/>
                <w:szCs w:val="24"/>
                <w:color w:val="auto"/>
              </w:rPr>
              <w:t>1 −</w:t>
            </w: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740" w:type="dxa"/>
            <w:vAlign w:val="bottom"/>
            <w:gridSpan w:val="2"/>
          </w:tcPr>
          <w:p>
            <w:pPr>
              <w:jc w:val="center"/>
              <w:ind w:right="140"/>
              <w:spacing w:after="0" w:line="74" w:lineRule="exact"/>
              <w:rPr>
                <w:sz w:val="20"/>
                <w:szCs w:val="20"/>
                <w:color w:val="auto"/>
              </w:rPr>
            </w:pPr>
            <w:r>
              <w:rPr>
                <w:rFonts w:ascii="Arial" w:cs="Arial" w:eastAsia="Arial" w:hAnsi="Arial"/>
                <w:sz w:val="8"/>
                <w:szCs w:val="8"/>
                <w:i w:val="1"/>
                <w:iCs w:val="1"/>
                <w:color w:val="auto"/>
                <w:vertAlign w:val="superscript"/>
              </w:rPr>
              <w:t>i</w:t>
            </w:r>
            <w:r>
              <w:rPr>
                <w:rFonts w:ascii="Arial" w:cs="Arial" w:eastAsia="Arial" w:hAnsi="Arial"/>
                <w:sz w:val="6"/>
                <w:szCs w:val="6"/>
                <w:i w:val="1"/>
                <w:iCs w:val="1"/>
                <w:color w:val="auto"/>
              </w:rPr>
              <w:t>ll</w:t>
            </w:r>
          </w:p>
        </w:tc>
        <w:tc>
          <w:tcPr>
            <w:tcW w:w="20" w:type="dxa"/>
            <w:vAlign w:val="bottom"/>
          </w:tcPr>
          <w:p>
            <w:pPr>
              <w:spacing w:after="0"/>
              <w:rPr>
                <w:sz w:val="6"/>
                <w:szCs w:val="6"/>
                <w:color w:val="auto"/>
              </w:rPr>
            </w:pPr>
          </w:p>
        </w:tc>
        <w:tc>
          <w:tcPr>
            <w:tcW w:w="1800" w:type="dxa"/>
            <w:vAlign w:val="bottom"/>
            <w:gridSpan w:val="4"/>
            <w:vMerge w:val="restart"/>
          </w:tcPr>
          <w:p>
            <w:pPr>
              <w:spacing w:after="0" w:line="485" w:lineRule="exact"/>
              <w:rPr>
                <w:sz w:val="20"/>
                <w:szCs w:val="20"/>
                <w:color w:val="auto"/>
              </w:rPr>
            </w:pPr>
            <w:r>
              <w:rPr>
                <w:rFonts w:ascii="Arial" w:cs="Arial" w:eastAsia="Arial" w:hAnsi="Arial"/>
                <w:sz w:val="24"/>
                <w:szCs w:val="24"/>
                <w:color w:val="auto"/>
              </w:rPr>
              <w:t>−</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i</w:t>
            </w:r>
            <w:r>
              <w:rPr>
                <w:rFonts w:ascii="Arial" w:cs="Arial" w:eastAsia="Arial" w:hAnsi="Arial"/>
                <w:sz w:val="15"/>
                <w:szCs w:val="15"/>
                <w:i w:val="1"/>
                <w:iCs w:val="1"/>
                <w:color w:val="auto"/>
              </w:rPr>
              <w:t>pis</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i</w:t>
            </w:r>
            <w:r>
              <w:rPr>
                <w:rFonts w:ascii="Arial" w:cs="Arial" w:eastAsia="Arial" w:hAnsi="Arial"/>
                <w:sz w:val="15"/>
                <w:szCs w:val="15"/>
                <w:i w:val="1"/>
                <w:iCs w:val="1"/>
                <w:color w:val="auto"/>
              </w:rPr>
              <w:t>cof</w:t>
            </w:r>
          </w:p>
        </w:tc>
        <w:tc>
          <w:tcPr>
            <w:tcW w:w="60" w:type="dxa"/>
            <w:vAlign w:val="bottom"/>
          </w:tcPr>
          <w:p>
            <w:pPr>
              <w:spacing w:after="0"/>
              <w:rPr>
                <w:sz w:val="6"/>
                <w:szCs w:val="6"/>
                <w:color w:val="auto"/>
              </w:rPr>
            </w:pPr>
          </w:p>
        </w:tc>
        <w:tc>
          <w:tcPr>
            <w:tcW w:w="2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91"/>
        </w:trPr>
        <w:tc>
          <w:tcPr>
            <w:tcW w:w="7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40" w:type="dxa"/>
            <w:vAlign w:val="bottom"/>
            <w:vMerge w:val="continue"/>
          </w:tcPr>
          <w:p>
            <w:pPr>
              <w:spacing w:after="0"/>
              <w:rPr>
                <w:sz w:val="24"/>
                <w:szCs w:val="24"/>
                <w:color w:val="auto"/>
              </w:rPr>
            </w:pPr>
          </w:p>
        </w:tc>
        <w:tc>
          <w:tcPr>
            <w:tcW w:w="740" w:type="dxa"/>
            <w:vAlign w:val="bottom"/>
            <w:tcBorders>
              <w:top w:val="single" w:sz="8" w:color="auto"/>
            </w:tcBorders>
            <w:gridSpan w:val="3"/>
          </w:tcPr>
          <w:p>
            <w:pPr>
              <w:jc w:val="center"/>
              <w:spacing w:after="0"/>
              <w:rPr>
                <w:sz w:val="20"/>
                <w:szCs w:val="20"/>
                <w:color w:val="auto"/>
              </w:rPr>
            </w:pPr>
            <w:r>
              <w:rPr>
                <w:rFonts w:ascii="Arial" w:cs="Arial" w:eastAsia="Arial" w:hAnsi="Arial"/>
                <w:sz w:val="16"/>
                <w:szCs w:val="16"/>
                <w:color w:val="auto"/>
              </w:rPr>
              <w:t>1−</w:t>
            </w:r>
            <w:r>
              <w:rPr>
                <w:rFonts w:ascii="Arial" w:cs="Arial" w:eastAsia="Arial" w:hAnsi="Arial"/>
                <w:sz w:val="16"/>
                <w:szCs w:val="16"/>
                <w:i w:val="1"/>
                <w:iCs w:val="1"/>
                <w:color w:val="auto"/>
              </w:rPr>
              <w:t>i</w:t>
            </w:r>
            <w:r>
              <w:rPr>
                <w:rFonts w:ascii="Arial" w:cs="Arial" w:eastAsia="Arial" w:hAnsi="Arial"/>
                <w:sz w:val="23"/>
                <w:szCs w:val="23"/>
                <w:i w:val="1"/>
                <w:iCs w:val="1"/>
                <w:color w:val="auto"/>
                <w:vertAlign w:val="subscript"/>
              </w:rPr>
              <w:t>ir</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23"/>
                <w:szCs w:val="23"/>
                <w:i w:val="1"/>
                <w:iCs w:val="1"/>
                <w:color w:val="auto"/>
                <w:vertAlign w:val="subscript"/>
              </w:rPr>
              <w:t>cs</w:t>
            </w: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00" w:type="dxa"/>
            <w:vAlign w:val="bottom"/>
            <w:gridSpan w:val="4"/>
            <w:vMerge w:val="continue"/>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0"/>
        </w:trPr>
        <w:tc>
          <w:tcPr>
            <w:tcW w:w="780" w:type="dxa"/>
            <w:vAlign w:val="bottom"/>
            <w:vMerge w:val="restart"/>
          </w:tcPr>
          <w:p>
            <w:pPr>
              <w:spacing w:after="0"/>
              <w:rPr>
                <w:sz w:val="20"/>
                <w:szCs w:val="20"/>
                <w:color w:val="auto"/>
              </w:rPr>
            </w:pPr>
            <w:r>
              <w:rPr>
                <w:rFonts w:ascii="Arial" w:cs="Arial" w:eastAsia="Arial" w:hAnsi="Arial"/>
                <w:sz w:val="48"/>
                <w:szCs w:val="48"/>
                <w:i w:val="1"/>
                <w:iCs w:val="1"/>
                <w:color w:val="auto"/>
                <w:w w:val="94"/>
                <w:vertAlign w:val="superscript"/>
              </w:rPr>
              <w:t>R</w:t>
            </w:r>
            <w:r>
              <w:rPr>
                <w:rFonts w:ascii="Arial" w:cs="Arial" w:eastAsia="Arial" w:hAnsi="Arial"/>
                <w:sz w:val="15"/>
                <w:szCs w:val="15"/>
                <w:i w:val="1"/>
                <w:iCs w:val="1"/>
                <w:color w:val="auto"/>
                <w:w w:val="94"/>
              </w:rPr>
              <w:t>dap</w:t>
            </w:r>
            <w:r>
              <w:rPr>
                <w:rFonts w:ascii="Arial" w:cs="Arial" w:eastAsia="Arial" w:hAnsi="Arial"/>
                <w:sz w:val="48"/>
                <w:szCs w:val="48"/>
                <w:color w:val="auto"/>
                <w:w w:val="94"/>
              </w:rPr>
              <w:t xml:space="preserve"> </w:t>
            </w:r>
            <w:r>
              <w:rPr>
                <w:rFonts w:ascii="Arial" w:cs="Arial" w:eastAsia="Arial" w:hAnsi="Arial"/>
                <w:sz w:val="48"/>
                <w:szCs w:val="48"/>
                <w:color w:val="auto"/>
                <w:w w:val="94"/>
                <w:vertAlign w:val="superscript"/>
              </w:rPr>
              <w:t>=</w:t>
            </w:r>
          </w:p>
        </w:tc>
        <w:tc>
          <w:tcPr>
            <w:tcW w:w="2180" w:type="dxa"/>
            <w:vAlign w:val="bottom"/>
            <w:gridSpan w:val="9"/>
            <w:vMerge w:val="restart"/>
          </w:tcPr>
          <w:p>
            <w:pPr>
              <w:spacing w:after="0" w:line="552" w:lineRule="exact"/>
              <w:rPr>
                <w:sz w:val="20"/>
                <w:szCs w:val="20"/>
                <w:color w:val="auto"/>
              </w:rPr>
            </w:pPr>
            <w:r>
              <w:rPr>
                <w:rFonts w:ascii="Arial" w:cs="Arial" w:eastAsia="Arial" w:hAnsi="Arial"/>
                <w:sz w:val="48"/>
                <w:szCs w:val="48"/>
                <w:i w:val="1"/>
                <w:iCs w:val="1"/>
                <w:color w:val="auto"/>
                <w:w w:val="88"/>
                <w:vertAlign w:val="superscript"/>
              </w:rPr>
              <w:t>E</w:t>
            </w:r>
            <w:r>
              <w:rPr>
                <w:rFonts w:ascii="Arial" w:cs="Arial" w:eastAsia="Arial" w:hAnsi="Arial"/>
                <w:sz w:val="15"/>
                <w:szCs w:val="15"/>
                <w:i w:val="1"/>
                <w:iCs w:val="1"/>
                <w:color w:val="auto"/>
                <w:w w:val="88"/>
              </w:rPr>
              <w:t>dap</w:t>
            </w:r>
            <w:r>
              <w:rPr>
                <w:rFonts w:ascii="Arial Unicode MS" w:cs="Arial Unicode MS" w:eastAsia="Arial Unicode MS" w:hAnsi="Arial Unicode MS"/>
                <w:sz w:val="23"/>
                <w:szCs w:val="23"/>
                <w:color w:val="auto"/>
                <w:w w:val="88"/>
              </w:rPr>
              <w:t xml:space="preserve"> ∗</w:t>
            </w:r>
            <w:r>
              <w:rPr>
                <w:rFonts w:ascii="Arial" w:cs="Arial" w:eastAsia="Arial" w:hAnsi="Arial"/>
                <w:sz w:val="48"/>
                <w:szCs w:val="48"/>
                <w:color w:val="auto"/>
                <w:w w:val="88"/>
              </w:rPr>
              <w:t xml:space="preserve"> </w:t>
            </w:r>
            <w:r>
              <w:rPr>
                <w:rFonts w:ascii="Arial" w:cs="Arial" w:eastAsia="Arial" w:hAnsi="Arial"/>
                <w:sz w:val="48"/>
                <w:szCs w:val="48"/>
                <w:color w:val="auto"/>
                <w:w w:val="88"/>
                <w:vertAlign w:val="superscript"/>
              </w:rPr>
              <w:t>[</w:t>
            </w:r>
            <w:r>
              <w:rPr>
                <w:rFonts w:ascii="Arial" w:cs="Arial" w:eastAsia="Arial" w:hAnsi="Arial"/>
                <w:sz w:val="48"/>
                <w:szCs w:val="48"/>
                <w:i w:val="1"/>
                <w:iCs w:val="1"/>
                <w:color w:val="auto"/>
                <w:w w:val="88"/>
                <w:vertAlign w:val="superscript"/>
              </w:rPr>
              <w:t>i</w:t>
            </w:r>
            <w:r>
              <w:rPr>
                <w:rFonts w:ascii="Arial" w:cs="Arial" w:eastAsia="Arial" w:hAnsi="Arial"/>
                <w:sz w:val="15"/>
                <w:szCs w:val="15"/>
                <w:i w:val="1"/>
                <w:iCs w:val="1"/>
                <w:color w:val="auto"/>
                <w:w w:val="88"/>
              </w:rPr>
              <w:t>adm</w:t>
            </w:r>
            <w:r>
              <w:rPr>
                <w:rFonts w:ascii="Arial" w:cs="Arial" w:eastAsia="Arial" w:hAnsi="Arial"/>
                <w:sz w:val="48"/>
                <w:szCs w:val="48"/>
                <w:color w:val="auto"/>
                <w:w w:val="88"/>
              </w:rPr>
              <w:t xml:space="preserve"> </w:t>
            </w:r>
            <w:r>
              <w:rPr>
                <w:rFonts w:ascii="Arial" w:cs="Arial" w:eastAsia="Arial" w:hAnsi="Arial"/>
                <w:sz w:val="48"/>
                <w:szCs w:val="48"/>
                <w:color w:val="auto"/>
                <w:w w:val="88"/>
                <w:vertAlign w:val="superscript"/>
              </w:rPr>
              <w:t>+</w:t>
            </w:r>
            <w:r>
              <w:rPr>
                <w:rFonts w:ascii="Arial" w:cs="Arial" w:eastAsia="Arial" w:hAnsi="Arial"/>
                <w:sz w:val="48"/>
                <w:szCs w:val="48"/>
                <w:color w:val="auto"/>
                <w:w w:val="88"/>
              </w:rPr>
              <w:t xml:space="preserve"> </w:t>
            </w:r>
            <w:r>
              <w:rPr>
                <w:rFonts w:ascii="Arial" w:cs="Arial" w:eastAsia="Arial" w:hAnsi="Arial"/>
                <w:sz w:val="48"/>
                <w:szCs w:val="48"/>
                <w:i w:val="1"/>
                <w:iCs w:val="1"/>
                <w:color w:val="auto"/>
                <w:w w:val="88"/>
                <w:vertAlign w:val="superscript"/>
              </w:rPr>
              <w:t>i</w:t>
            </w:r>
            <w:r>
              <w:rPr>
                <w:rFonts w:ascii="Arial" w:cs="Arial" w:eastAsia="Arial" w:hAnsi="Arial"/>
                <w:sz w:val="15"/>
                <w:szCs w:val="15"/>
                <w:i w:val="1"/>
                <w:iCs w:val="1"/>
                <w:color w:val="auto"/>
                <w:w w:val="88"/>
              </w:rPr>
              <w:t>ind</w:t>
            </w:r>
            <w:r>
              <w:rPr>
                <w:rFonts w:ascii="Arial" w:cs="Arial" w:eastAsia="Arial" w:hAnsi="Arial"/>
                <w:sz w:val="48"/>
                <w:szCs w:val="48"/>
                <w:color w:val="auto"/>
                <w:w w:val="88"/>
              </w:rPr>
              <w:t xml:space="preserve"> </w:t>
            </w:r>
            <w:r>
              <w:rPr>
                <w:rFonts w:ascii="Arial" w:cs="Arial" w:eastAsia="Arial" w:hAnsi="Arial"/>
                <w:sz w:val="48"/>
                <w:szCs w:val="48"/>
                <w:color w:val="auto"/>
                <w:w w:val="88"/>
                <w:vertAlign w:val="superscript"/>
              </w:rPr>
              <w:t>+</w:t>
            </w:r>
            <w:r>
              <w:rPr>
                <w:rFonts w:ascii="Arial" w:cs="Arial" w:eastAsia="Arial" w:hAnsi="Arial"/>
                <w:sz w:val="47"/>
                <w:szCs w:val="47"/>
                <w:color w:val="auto"/>
                <w:w w:val="88"/>
                <w:vertAlign w:val="superscript"/>
              </w:rPr>
              <w:t xml:space="preserve"> </w:t>
            </w:r>
            <w:r>
              <w:rPr>
                <w:rFonts w:ascii="Arial" w:cs="Arial" w:eastAsia="Arial" w:hAnsi="Arial"/>
                <w:sz w:val="48"/>
                <w:szCs w:val="48"/>
                <w:color w:val="auto"/>
                <w:w w:val="88"/>
                <w:vertAlign w:val="superscript"/>
              </w:rPr>
              <w:t>(</w:t>
            </w:r>
          </w:p>
        </w:tc>
        <w:tc>
          <w:tcPr>
            <w:tcW w:w="1700" w:type="dxa"/>
            <w:vAlign w:val="bottom"/>
            <w:tcBorders>
              <w:bottom w:val="single" w:sz="8" w:color="auto"/>
            </w:tcBorders>
            <w:gridSpan w:val="4"/>
          </w:tcPr>
          <w:p>
            <w:pPr>
              <w:jc w:val="center"/>
              <w:spacing w:after="0" w:line="215" w:lineRule="exact"/>
              <w:rPr>
                <w:sz w:val="20"/>
                <w:szCs w:val="20"/>
                <w:color w:val="auto"/>
              </w:rPr>
            </w:pPr>
            <w:r>
              <w:rPr>
                <w:rFonts w:ascii="Arial" w:cs="Arial" w:eastAsia="Arial" w:hAnsi="Arial"/>
                <w:sz w:val="16"/>
                <w:szCs w:val="16"/>
                <w:i w:val="1"/>
                <w:iCs w:val="1"/>
                <w:color w:val="auto"/>
              </w:rPr>
              <w:t>i</w:t>
            </w:r>
            <w:r>
              <w:rPr>
                <w:rFonts w:ascii="Arial" w:cs="Arial" w:eastAsia="Arial" w:hAnsi="Arial"/>
                <w:sz w:val="11"/>
                <w:szCs w:val="11"/>
                <w:i w:val="1"/>
                <w:iCs w:val="1"/>
                <w:color w:val="auto"/>
              </w:rPr>
              <w:t>cap</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fgc</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comp</w:t>
            </w:r>
            <w:r>
              <w:rPr>
                <w:rFonts w:ascii="Arial Unicode MS" w:cs="Arial Unicode MS" w:eastAsia="Arial Unicode MS" w:hAnsi="Arial Unicode MS"/>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ac</w:t>
            </w:r>
            <w:r>
              <w:rPr>
                <w:rFonts w:ascii="Arial" w:cs="Arial" w:eastAsia="Arial" w:hAnsi="Arial"/>
                <w:sz w:val="16"/>
                <w:szCs w:val="16"/>
                <w:color w:val="auto"/>
              </w:rPr>
              <w:t>)</w:t>
            </w:r>
          </w:p>
        </w:tc>
        <w:tc>
          <w:tcPr>
            <w:tcW w:w="20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202"/>
        </w:trPr>
        <w:tc>
          <w:tcPr>
            <w:tcW w:w="780" w:type="dxa"/>
            <w:vAlign w:val="bottom"/>
            <w:vMerge w:val="continue"/>
          </w:tcPr>
          <w:p>
            <w:pPr>
              <w:spacing w:after="0"/>
              <w:rPr>
                <w:sz w:val="17"/>
                <w:szCs w:val="17"/>
                <w:color w:val="auto"/>
              </w:rPr>
            </w:pPr>
          </w:p>
        </w:tc>
        <w:tc>
          <w:tcPr>
            <w:tcW w:w="2180" w:type="dxa"/>
            <w:vAlign w:val="bottom"/>
            <w:tcBorders>
              <w:bottom w:val="single" w:sz="8" w:color="auto"/>
            </w:tcBorders>
            <w:gridSpan w:val="9"/>
            <w:vMerge w:val="continue"/>
          </w:tcPr>
          <w:p>
            <w:pPr>
              <w:spacing w:after="0"/>
              <w:rPr>
                <w:sz w:val="17"/>
                <w:szCs w:val="17"/>
                <w:color w:val="auto"/>
              </w:rPr>
            </w:pPr>
          </w:p>
        </w:tc>
        <w:tc>
          <w:tcPr>
            <w:tcW w:w="1640" w:type="dxa"/>
            <w:vAlign w:val="bottom"/>
            <w:tcBorders>
              <w:bottom w:val="single" w:sz="8" w:color="auto"/>
            </w:tcBorders>
            <w:gridSpan w:val="3"/>
          </w:tcPr>
          <w:p>
            <w:pPr>
              <w:jc w:val="center"/>
              <w:spacing w:after="0"/>
              <w:rPr>
                <w:sz w:val="20"/>
                <w:szCs w:val="20"/>
                <w:color w:val="auto"/>
              </w:rPr>
            </w:pPr>
            <w:r>
              <w:rPr>
                <w:rFonts w:ascii="Arial" w:cs="Arial" w:eastAsia="Arial" w:hAnsi="Arial"/>
                <w:sz w:val="16"/>
                <w:szCs w:val="16"/>
                <w:color w:val="auto"/>
              </w:rPr>
              <w:t>1−</w:t>
            </w:r>
            <w:r>
              <w:rPr>
                <w:rFonts w:ascii="Arial" w:cs="Arial" w:eastAsia="Arial" w:hAnsi="Arial"/>
                <w:sz w:val="16"/>
                <w:szCs w:val="16"/>
                <w:i w:val="1"/>
                <w:iCs w:val="1"/>
                <w:color w:val="auto"/>
              </w:rPr>
              <w:t>i</w:t>
            </w:r>
            <w:r>
              <w:rPr>
                <w:rFonts w:ascii="Arial" w:cs="Arial" w:eastAsia="Arial" w:hAnsi="Arial"/>
                <w:sz w:val="11"/>
                <w:szCs w:val="11"/>
                <w:i w:val="1"/>
                <w:iCs w:val="1"/>
                <w:color w:val="auto"/>
              </w:rPr>
              <w:t>comp</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fgc</w:t>
            </w:r>
          </w:p>
        </w:tc>
        <w:tc>
          <w:tcPr>
            <w:tcW w:w="60" w:type="dxa"/>
            <w:vAlign w:val="bottom"/>
            <w:tcBorders>
              <w:bottom w:val="single" w:sz="8" w:color="auto"/>
            </w:tcBorders>
          </w:tcPr>
          <w:p>
            <w:pPr>
              <w:spacing w:after="0"/>
              <w:rPr>
                <w:sz w:val="17"/>
                <w:szCs w:val="17"/>
                <w:color w:val="auto"/>
              </w:rPr>
            </w:pPr>
          </w:p>
        </w:tc>
        <w:tc>
          <w:tcPr>
            <w:tcW w:w="200" w:type="dxa"/>
            <w:vAlign w:val="bottom"/>
            <w:tcBorders>
              <w:bottom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80"/>
        </w:trPr>
        <w:tc>
          <w:tcPr>
            <w:tcW w:w="780" w:type="dxa"/>
            <w:vAlign w:val="bottom"/>
            <w:vMerge w:val="continue"/>
          </w:tcPr>
          <w:p>
            <w:pPr>
              <w:spacing w:after="0"/>
              <w:rPr>
                <w:sz w:val="6"/>
                <w:szCs w:val="6"/>
                <w:color w:val="auto"/>
              </w:rPr>
            </w:pPr>
          </w:p>
        </w:tc>
        <w:tc>
          <w:tcPr>
            <w:tcW w:w="80" w:type="dxa"/>
            <w:vAlign w:val="bottom"/>
          </w:tcPr>
          <w:p>
            <w:pPr>
              <w:spacing w:after="0"/>
              <w:rPr>
                <w:sz w:val="6"/>
                <w:szCs w:val="6"/>
                <w:color w:val="auto"/>
              </w:rPr>
            </w:pPr>
          </w:p>
        </w:tc>
        <w:tc>
          <w:tcPr>
            <w:tcW w:w="1160" w:type="dxa"/>
            <w:vAlign w:val="bottom"/>
            <w:gridSpan w:val="3"/>
          </w:tcPr>
          <w:p>
            <w:pPr>
              <w:spacing w:after="0"/>
              <w:rPr>
                <w:sz w:val="6"/>
                <w:szCs w:val="6"/>
                <w:color w:val="auto"/>
              </w:rPr>
            </w:pPr>
          </w:p>
        </w:tc>
        <w:tc>
          <w:tcPr>
            <w:tcW w:w="20" w:type="dxa"/>
            <w:vAlign w:val="bottom"/>
          </w:tcPr>
          <w:p>
            <w:pPr>
              <w:spacing w:after="0"/>
              <w:rPr>
                <w:sz w:val="6"/>
                <w:szCs w:val="6"/>
                <w:color w:val="auto"/>
              </w:rPr>
            </w:pPr>
          </w:p>
        </w:tc>
        <w:tc>
          <w:tcPr>
            <w:tcW w:w="760" w:type="dxa"/>
            <w:vAlign w:val="bottom"/>
            <w:gridSpan w:val="3"/>
          </w:tcPr>
          <w:p>
            <w:pPr>
              <w:spacing w:after="0"/>
              <w:rPr>
                <w:sz w:val="6"/>
                <w:szCs w:val="6"/>
                <w:color w:val="auto"/>
              </w:rPr>
            </w:pPr>
          </w:p>
        </w:tc>
        <w:tc>
          <w:tcPr>
            <w:tcW w:w="160" w:type="dxa"/>
            <w:vAlign w:val="bottom"/>
          </w:tcPr>
          <w:p>
            <w:pPr>
              <w:spacing w:after="0"/>
              <w:rPr>
                <w:sz w:val="6"/>
                <w:szCs w:val="6"/>
                <w:color w:val="auto"/>
              </w:rPr>
            </w:pPr>
          </w:p>
        </w:tc>
        <w:tc>
          <w:tcPr>
            <w:tcW w:w="800" w:type="dxa"/>
            <w:vAlign w:val="bottom"/>
            <w:gridSpan w:val="2"/>
          </w:tcPr>
          <w:p>
            <w:pPr>
              <w:spacing w:after="0"/>
              <w:rPr>
                <w:sz w:val="6"/>
                <w:szCs w:val="6"/>
                <w:color w:val="auto"/>
              </w:rPr>
            </w:pPr>
          </w:p>
        </w:tc>
        <w:tc>
          <w:tcPr>
            <w:tcW w:w="840" w:type="dxa"/>
            <w:vAlign w:val="bottom"/>
          </w:tcPr>
          <w:p>
            <w:pPr>
              <w:spacing w:after="0"/>
              <w:rPr>
                <w:sz w:val="6"/>
                <w:szCs w:val="6"/>
                <w:color w:val="auto"/>
              </w:rPr>
            </w:pPr>
          </w:p>
        </w:tc>
        <w:tc>
          <w:tcPr>
            <w:tcW w:w="60" w:type="dxa"/>
            <w:vAlign w:val="bottom"/>
          </w:tcPr>
          <w:p>
            <w:pPr>
              <w:spacing w:after="0"/>
              <w:rPr>
                <w:sz w:val="6"/>
                <w:szCs w:val="6"/>
                <w:color w:val="auto"/>
              </w:rPr>
            </w:pPr>
          </w:p>
        </w:tc>
        <w:tc>
          <w:tcPr>
            <w:tcW w:w="2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4"/>
        </w:trPr>
        <w:tc>
          <w:tcPr>
            <w:tcW w:w="780" w:type="dxa"/>
            <w:vAlign w:val="bottom"/>
          </w:tcPr>
          <w:p>
            <w:pPr>
              <w:spacing w:after="0"/>
              <w:rPr>
                <w:sz w:val="6"/>
                <w:szCs w:val="6"/>
                <w:color w:val="auto"/>
              </w:rPr>
            </w:pPr>
          </w:p>
        </w:tc>
        <w:tc>
          <w:tcPr>
            <w:tcW w:w="80" w:type="dxa"/>
            <w:vAlign w:val="bottom"/>
          </w:tcPr>
          <w:p>
            <w:pPr>
              <w:spacing w:after="0"/>
              <w:rPr>
                <w:sz w:val="6"/>
                <w:szCs w:val="6"/>
                <w:color w:val="auto"/>
              </w:rPr>
            </w:pPr>
          </w:p>
        </w:tc>
        <w:tc>
          <w:tcPr>
            <w:tcW w:w="680" w:type="dxa"/>
            <w:vAlign w:val="bottom"/>
          </w:tcPr>
          <w:p>
            <w:pPr>
              <w:spacing w:after="0"/>
              <w:rPr>
                <w:sz w:val="6"/>
                <w:szCs w:val="6"/>
                <w:color w:val="auto"/>
              </w:rPr>
            </w:pPr>
          </w:p>
        </w:tc>
        <w:tc>
          <w:tcPr>
            <w:tcW w:w="440" w:type="dxa"/>
            <w:vAlign w:val="bottom"/>
            <w:vMerge w:val="restart"/>
          </w:tcPr>
          <w:p>
            <w:pPr>
              <w:ind w:left="60"/>
              <w:spacing w:after="0"/>
              <w:rPr>
                <w:sz w:val="20"/>
                <w:szCs w:val="20"/>
                <w:color w:val="auto"/>
              </w:rPr>
            </w:pPr>
            <w:r>
              <w:rPr>
                <w:rFonts w:ascii="Arial" w:cs="Arial" w:eastAsia="Arial" w:hAnsi="Arial"/>
                <w:sz w:val="24"/>
                <w:szCs w:val="24"/>
                <w:color w:val="auto"/>
              </w:rPr>
              <w:t>1 −</w:t>
            </w:r>
          </w:p>
        </w:tc>
        <w:tc>
          <w:tcPr>
            <w:tcW w:w="40" w:type="dxa"/>
            <w:vAlign w:val="bottom"/>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740" w:type="dxa"/>
            <w:vAlign w:val="bottom"/>
            <w:tcBorders>
              <w:bottom w:val="single" w:sz="8" w:color="auto"/>
            </w:tcBorders>
            <w:gridSpan w:val="2"/>
          </w:tcPr>
          <w:p>
            <w:pPr>
              <w:jc w:val="center"/>
              <w:ind w:right="20"/>
              <w:spacing w:after="0" w:line="74" w:lineRule="exact"/>
              <w:rPr>
                <w:sz w:val="20"/>
                <w:szCs w:val="20"/>
                <w:color w:val="auto"/>
              </w:rPr>
            </w:pPr>
            <w:r>
              <w:rPr>
                <w:rFonts w:ascii="Arial" w:cs="Arial" w:eastAsia="Arial" w:hAnsi="Arial"/>
                <w:sz w:val="8"/>
                <w:szCs w:val="8"/>
                <w:i w:val="1"/>
                <w:iCs w:val="1"/>
                <w:color w:val="auto"/>
                <w:vertAlign w:val="superscript"/>
              </w:rPr>
              <w:t>i</w:t>
            </w:r>
            <w:r>
              <w:rPr>
                <w:rFonts w:ascii="Arial" w:cs="Arial" w:eastAsia="Arial" w:hAnsi="Arial"/>
                <w:sz w:val="6"/>
                <w:szCs w:val="6"/>
                <w:i w:val="1"/>
                <w:iCs w:val="1"/>
                <w:color w:val="auto"/>
              </w:rPr>
              <w:t>ll</w:t>
            </w:r>
          </w:p>
        </w:tc>
        <w:tc>
          <w:tcPr>
            <w:tcW w:w="20" w:type="dxa"/>
            <w:vAlign w:val="bottom"/>
          </w:tcPr>
          <w:p>
            <w:pPr>
              <w:spacing w:after="0"/>
              <w:rPr>
                <w:sz w:val="6"/>
                <w:szCs w:val="6"/>
                <w:color w:val="auto"/>
              </w:rPr>
            </w:pPr>
          </w:p>
        </w:tc>
        <w:tc>
          <w:tcPr>
            <w:tcW w:w="1800" w:type="dxa"/>
            <w:vAlign w:val="bottom"/>
            <w:gridSpan w:val="4"/>
            <w:vMerge w:val="restart"/>
          </w:tcPr>
          <w:p>
            <w:pPr>
              <w:ind w:left="60"/>
              <w:spacing w:after="0" w:line="485" w:lineRule="exact"/>
              <w:rPr>
                <w:sz w:val="20"/>
                <w:szCs w:val="20"/>
                <w:color w:val="auto"/>
              </w:rPr>
            </w:pPr>
            <w:r>
              <w:rPr>
                <w:rFonts w:ascii="Arial" w:cs="Arial" w:eastAsia="Arial" w:hAnsi="Arial"/>
                <w:sz w:val="24"/>
                <w:szCs w:val="24"/>
                <w:color w:val="auto"/>
              </w:rPr>
              <w:t>−</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i</w:t>
            </w:r>
            <w:r>
              <w:rPr>
                <w:rFonts w:ascii="Arial" w:cs="Arial" w:eastAsia="Arial" w:hAnsi="Arial"/>
                <w:sz w:val="15"/>
                <w:szCs w:val="15"/>
                <w:i w:val="1"/>
                <w:iCs w:val="1"/>
                <w:color w:val="auto"/>
              </w:rPr>
              <w:t>pis</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i</w:t>
            </w:r>
            <w:r>
              <w:rPr>
                <w:rFonts w:ascii="Arial" w:cs="Arial" w:eastAsia="Arial" w:hAnsi="Arial"/>
                <w:sz w:val="15"/>
                <w:szCs w:val="15"/>
                <w:i w:val="1"/>
                <w:iCs w:val="1"/>
                <w:color w:val="auto"/>
              </w:rPr>
              <w:t>cof</w:t>
            </w:r>
          </w:p>
        </w:tc>
        <w:tc>
          <w:tcPr>
            <w:tcW w:w="60" w:type="dxa"/>
            <w:vAlign w:val="bottom"/>
          </w:tcPr>
          <w:p>
            <w:pPr>
              <w:spacing w:after="0"/>
              <w:rPr>
                <w:sz w:val="6"/>
                <w:szCs w:val="6"/>
                <w:color w:val="auto"/>
              </w:rPr>
            </w:pPr>
          </w:p>
        </w:tc>
        <w:tc>
          <w:tcPr>
            <w:tcW w:w="2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91"/>
        </w:trPr>
        <w:tc>
          <w:tcPr>
            <w:tcW w:w="7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40" w:type="dxa"/>
            <w:vAlign w:val="bottom"/>
            <w:vMerge w:val="continue"/>
          </w:tcPr>
          <w:p>
            <w:pPr>
              <w:spacing w:after="0"/>
              <w:rPr>
                <w:sz w:val="24"/>
                <w:szCs w:val="24"/>
                <w:color w:val="auto"/>
              </w:rPr>
            </w:pPr>
          </w:p>
        </w:tc>
        <w:tc>
          <w:tcPr>
            <w:tcW w:w="40" w:type="dxa"/>
            <w:vAlign w:val="bottom"/>
          </w:tcPr>
          <w:p>
            <w:pPr>
              <w:spacing w:after="0"/>
              <w:rPr>
                <w:sz w:val="24"/>
                <w:szCs w:val="24"/>
                <w:color w:val="auto"/>
              </w:rPr>
            </w:pPr>
          </w:p>
        </w:tc>
        <w:tc>
          <w:tcPr>
            <w:tcW w:w="760" w:type="dxa"/>
            <w:vAlign w:val="bottom"/>
            <w:gridSpan w:val="3"/>
          </w:tcPr>
          <w:p>
            <w:pPr>
              <w:jc w:val="center"/>
              <w:ind w:right="20"/>
              <w:spacing w:after="0"/>
              <w:rPr>
                <w:sz w:val="20"/>
                <w:szCs w:val="20"/>
                <w:color w:val="auto"/>
              </w:rPr>
            </w:pPr>
            <w:r>
              <w:rPr>
                <w:rFonts w:ascii="Arial" w:cs="Arial" w:eastAsia="Arial" w:hAnsi="Arial"/>
                <w:sz w:val="16"/>
                <w:szCs w:val="16"/>
                <w:color w:val="auto"/>
              </w:rPr>
              <w:t>1−</w:t>
            </w:r>
            <w:r>
              <w:rPr>
                <w:rFonts w:ascii="Arial" w:cs="Arial" w:eastAsia="Arial" w:hAnsi="Arial"/>
                <w:sz w:val="16"/>
                <w:szCs w:val="16"/>
                <w:i w:val="1"/>
                <w:iCs w:val="1"/>
                <w:color w:val="auto"/>
              </w:rPr>
              <w:t>i</w:t>
            </w:r>
            <w:r>
              <w:rPr>
                <w:rFonts w:ascii="Arial" w:cs="Arial" w:eastAsia="Arial" w:hAnsi="Arial"/>
                <w:sz w:val="23"/>
                <w:szCs w:val="23"/>
                <w:i w:val="1"/>
                <w:iCs w:val="1"/>
                <w:color w:val="auto"/>
                <w:vertAlign w:val="subscript"/>
              </w:rPr>
              <w:t>ir</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23"/>
                <w:szCs w:val="23"/>
                <w:i w:val="1"/>
                <w:iCs w:val="1"/>
                <w:color w:val="auto"/>
                <w:vertAlign w:val="subscript"/>
              </w:rPr>
              <w:t>cs</w:t>
            </w:r>
          </w:p>
        </w:tc>
        <w:tc>
          <w:tcPr>
            <w:tcW w:w="20" w:type="dxa"/>
            <w:vAlign w:val="bottom"/>
          </w:tcPr>
          <w:p>
            <w:pPr>
              <w:spacing w:after="0"/>
              <w:rPr>
                <w:sz w:val="24"/>
                <w:szCs w:val="24"/>
                <w:color w:val="auto"/>
              </w:rPr>
            </w:pPr>
          </w:p>
        </w:tc>
        <w:tc>
          <w:tcPr>
            <w:tcW w:w="1800" w:type="dxa"/>
            <w:vAlign w:val="bottom"/>
            <w:gridSpan w:val="4"/>
            <w:vMerge w:val="continue"/>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8"/>
        </w:trPr>
        <w:tc>
          <w:tcPr>
            <w:tcW w:w="860" w:type="dxa"/>
            <w:vAlign w:val="bottom"/>
            <w:gridSpan w:val="2"/>
            <w:vMerge w:val="restart"/>
          </w:tcPr>
          <w:p>
            <w:pPr>
              <w:ind w:left="60"/>
              <w:spacing w:after="0"/>
              <w:rPr>
                <w:sz w:val="20"/>
                <w:szCs w:val="20"/>
                <w:color w:val="auto"/>
              </w:rPr>
            </w:pPr>
            <w:r>
              <w:rPr>
                <w:rFonts w:ascii="Arial" w:cs="Arial" w:eastAsia="Arial" w:hAnsi="Arial"/>
                <w:sz w:val="48"/>
                <w:szCs w:val="48"/>
                <w:i w:val="1"/>
                <w:iCs w:val="1"/>
                <w:color w:val="auto"/>
                <w:w w:val="98"/>
                <w:vertAlign w:val="superscript"/>
              </w:rPr>
              <w:t>R</w:t>
            </w:r>
            <w:r>
              <w:rPr>
                <w:rFonts w:ascii="Arial" w:cs="Arial" w:eastAsia="Arial" w:hAnsi="Arial"/>
                <w:sz w:val="15"/>
                <w:szCs w:val="15"/>
                <w:i w:val="1"/>
                <w:iCs w:val="1"/>
                <w:color w:val="auto"/>
                <w:w w:val="98"/>
              </w:rPr>
              <w:t>dav</w:t>
            </w:r>
            <w:r>
              <w:rPr>
                <w:rFonts w:ascii="Arial" w:cs="Arial" w:eastAsia="Arial" w:hAnsi="Arial"/>
                <w:sz w:val="48"/>
                <w:szCs w:val="48"/>
                <w:color w:val="auto"/>
                <w:w w:val="98"/>
              </w:rPr>
              <w:t xml:space="preserve"> </w:t>
            </w:r>
            <w:r>
              <w:rPr>
                <w:rFonts w:ascii="Arial" w:cs="Arial" w:eastAsia="Arial" w:hAnsi="Arial"/>
                <w:sz w:val="48"/>
                <w:szCs w:val="48"/>
                <w:color w:val="auto"/>
                <w:w w:val="98"/>
                <w:vertAlign w:val="superscript"/>
              </w:rPr>
              <w:t>=</w:t>
            </w:r>
          </w:p>
        </w:tc>
        <w:tc>
          <w:tcPr>
            <w:tcW w:w="2880" w:type="dxa"/>
            <w:vAlign w:val="bottom"/>
            <w:gridSpan w:val="9"/>
            <w:vMerge w:val="restart"/>
          </w:tcPr>
          <w:p>
            <w:pPr>
              <w:spacing w:after="0" w:line="552" w:lineRule="exact"/>
              <w:rPr>
                <w:sz w:val="20"/>
                <w:szCs w:val="20"/>
                <w:color w:val="auto"/>
              </w:rPr>
            </w:pPr>
            <w:r>
              <w:rPr>
                <w:rFonts w:ascii="Arial" w:cs="Arial" w:eastAsia="Arial" w:hAnsi="Arial"/>
                <w:sz w:val="48"/>
                <w:szCs w:val="48"/>
                <w:i w:val="1"/>
                <w:iCs w:val="1"/>
                <w:color w:val="auto"/>
                <w:w w:val="89"/>
                <w:vertAlign w:val="superscript"/>
              </w:rPr>
              <w:t>E</w:t>
            </w:r>
            <w:r>
              <w:rPr>
                <w:rFonts w:ascii="Arial" w:cs="Arial" w:eastAsia="Arial" w:hAnsi="Arial"/>
                <w:sz w:val="15"/>
                <w:szCs w:val="15"/>
                <w:i w:val="1"/>
                <w:iCs w:val="1"/>
                <w:color w:val="auto"/>
                <w:w w:val="89"/>
              </w:rPr>
              <w:t>dav</w:t>
            </w:r>
            <w:r>
              <w:rPr>
                <w:rFonts w:ascii="Arial Unicode MS" w:cs="Arial Unicode MS" w:eastAsia="Arial Unicode MS" w:hAnsi="Arial Unicode MS"/>
                <w:sz w:val="23"/>
                <w:szCs w:val="23"/>
                <w:color w:val="auto"/>
                <w:w w:val="89"/>
              </w:rPr>
              <w:t xml:space="preserve"> ∗</w:t>
            </w:r>
            <w:r>
              <w:rPr>
                <w:rFonts w:ascii="Arial" w:cs="Arial" w:eastAsia="Arial" w:hAnsi="Arial"/>
                <w:sz w:val="48"/>
                <w:szCs w:val="48"/>
                <w:color w:val="auto"/>
                <w:w w:val="89"/>
              </w:rPr>
              <w:t xml:space="preserve"> </w:t>
            </w:r>
            <w:r>
              <w:rPr>
                <w:rFonts w:ascii="Arial" w:cs="Arial" w:eastAsia="Arial" w:hAnsi="Arial"/>
                <w:sz w:val="48"/>
                <w:szCs w:val="48"/>
                <w:color w:val="auto"/>
                <w:w w:val="89"/>
                <w:vertAlign w:val="superscript"/>
              </w:rPr>
              <w:t>[</w:t>
            </w:r>
            <w:r>
              <w:rPr>
                <w:rFonts w:ascii="Arial" w:cs="Arial" w:eastAsia="Arial" w:hAnsi="Arial"/>
                <w:sz w:val="48"/>
                <w:szCs w:val="48"/>
                <w:i w:val="1"/>
                <w:iCs w:val="1"/>
                <w:color w:val="auto"/>
                <w:w w:val="89"/>
                <w:vertAlign w:val="superscript"/>
              </w:rPr>
              <w:t>i</w:t>
            </w:r>
            <w:r>
              <w:rPr>
                <w:rFonts w:ascii="Arial" w:cs="Arial" w:eastAsia="Arial" w:hAnsi="Arial"/>
                <w:sz w:val="15"/>
                <w:szCs w:val="15"/>
                <w:i w:val="1"/>
                <w:iCs w:val="1"/>
                <w:color w:val="auto"/>
                <w:w w:val="89"/>
              </w:rPr>
              <w:t>adm</w:t>
            </w:r>
            <w:r>
              <w:rPr>
                <w:rFonts w:ascii="Arial" w:cs="Arial" w:eastAsia="Arial" w:hAnsi="Arial"/>
                <w:sz w:val="48"/>
                <w:szCs w:val="48"/>
                <w:color w:val="auto"/>
                <w:w w:val="89"/>
              </w:rPr>
              <w:t xml:space="preserve"> </w:t>
            </w:r>
            <w:r>
              <w:rPr>
                <w:rFonts w:ascii="Arial" w:cs="Arial" w:eastAsia="Arial" w:hAnsi="Arial"/>
                <w:sz w:val="48"/>
                <w:szCs w:val="48"/>
                <w:color w:val="auto"/>
                <w:w w:val="89"/>
                <w:vertAlign w:val="superscript"/>
              </w:rPr>
              <w:t>+</w:t>
            </w:r>
            <w:r>
              <w:rPr>
                <w:rFonts w:ascii="Arial" w:cs="Arial" w:eastAsia="Arial" w:hAnsi="Arial"/>
                <w:sz w:val="48"/>
                <w:szCs w:val="48"/>
                <w:color w:val="auto"/>
                <w:w w:val="89"/>
              </w:rPr>
              <w:t xml:space="preserve"> </w:t>
            </w:r>
            <w:r>
              <w:rPr>
                <w:rFonts w:ascii="Arial" w:cs="Arial" w:eastAsia="Arial" w:hAnsi="Arial"/>
                <w:sz w:val="48"/>
                <w:szCs w:val="48"/>
                <w:i w:val="1"/>
                <w:iCs w:val="1"/>
                <w:color w:val="auto"/>
                <w:w w:val="89"/>
                <w:vertAlign w:val="superscript"/>
              </w:rPr>
              <w:t>i</w:t>
            </w:r>
            <w:r>
              <w:rPr>
                <w:rFonts w:ascii="Arial" w:cs="Arial" w:eastAsia="Arial" w:hAnsi="Arial"/>
                <w:sz w:val="15"/>
                <w:szCs w:val="15"/>
                <w:i w:val="1"/>
                <w:iCs w:val="1"/>
                <w:color w:val="auto"/>
                <w:w w:val="89"/>
              </w:rPr>
              <w:t>ind</w:t>
            </w:r>
            <w:r>
              <w:rPr>
                <w:rFonts w:ascii="Arial" w:cs="Arial" w:eastAsia="Arial" w:hAnsi="Arial"/>
                <w:sz w:val="48"/>
                <w:szCs w:val="48"/>
                <w:color w:val="auto"/>
                <w:w w:val="89"/>
              </w:rPr>
              <w:t xml:space="preserve"> </w:t>
            </w:r>
            <w:r>
              <w:rPr>
                <w:rFonts w:ascii="Arial" w:cs="Arial" w:eastAsia="Arial" w:hAnsi="Arial"/>
                <w:sz w:val="48"/>
                <w:szCs w:val="48"/>
                <w:color w:val="auto"/>
                <w:w w:val="89"/>
                <w:vertAlign w:val="superscript"/>
              </w:rPr>
              <w:t>+</w:t>
            </w:r>
            <w:r>
              <w:rPr>
                <w:rFonts w:ascii="Arial" w:cs="Arial" w:eastAsia="Arial" w:hAnsi="Arial"/>
                <w:sz w:val="48"/>
                <w:szCs w:val="48"/>
                <w:color w:val="auto"/>
                <w:w w:val="89"/>
              </w:rPr>
              <w:t xml:space="preserve"> </w:t>
            </w:r>
            <w:r>
              <w:rPr>
                <w:rFonts w:ascii="Arial" w:cs="Arial" w:eastAsia="Arial" w:hAnsi="Arial"/>
                <w:sz w:val="48"/>
                <w:szCs w:val="48"/>
                <w:i w:val="1"/>
                <w:iCs w:val="1"/>
                <w:color w:val="auto"/>
                <w:w w:val="89"/>
                <w:vertAlign w:val="superscript"/>
              </w:rPr>
              <w:t>i</w:t>
            </w:r>
            <w:r>
              <w:rPr>
                <w:rFonts w:ascii="Arial" w:cs="Arial" w:eastAsia="Arial" w:hAnsi="Arial"/>
                <w:sz w:val="15"/>
                <w:szCs w:val="15"/>
                <w:i w:val="1"/>
                <w:iCs w:val="1"/>
                <w:color w:val="auto"/>
                <w:w w:val="89"/>
              </w:rPr>
              <w:t>coav</w:t>
            </w:r>
            <w:r>
              <w:rPr>
                <w:rFonts w:ascii="Arial" w:cs="Arial" w:eastAsia="Arial" w:hAnsi="Arial"/>
                <w:sz w:val="23"/>
                <w:szCs w:val="23"/>
                <w:color w:val="auto"/>
                <w:w w:val="89"/>
              </w:rPr>
              <w:t xml:space="preserve"> −</w:t>
            </w:r>
            <w:r>
              <w:rPr>
                <w:rFonts w:ascii="Arial" w:cs="Arial" w:eastAsia="Arial" w:hAnsi="Arial"/>
                <w:sz w:val="48"/>
                <w:szCs w:val="48"/>
                <w:color w:val="auto"/>
                <w:w w:val="89"/>
              </w:rPr>
              <w:t xml:space="preserve"> </w:t>
            </w:r>
            <w:r>
              <w:rPr>
                <w:rFonts w:ascii="Arial" w:cs="Arial" w:eastAsia="Arial" w:hAnsi="Arial"/>
                <w:sz w:val="48"/>
                <w:szCs w:val="48"/>
                <w:color w:val="auto"/>
                <w:w w:val="89"/>
                <w:vertAlign w:val="superscript"/>
              </w:rPr>
              <w:t>(</w:t>
            </w:r>
          </w:p>
        </w:tc>
        <w:tc>
          <w:tcPr>
            <w:tcW w:w="860" w:type="dxa"/>
            <w:vAlign w:val="bottom"/>
            <w:gridSpan w:val="2"/>
          </w:tcPr>
          <w:p>
            <w:pPr>
              <w:jc w:val="center"/>
              <w:spacing w:after="0" w:line="215" w:lineRule="exact"/>
              <w:rPr>
                <w:sz w:val="20"/>
                <w:szCs w:val="20"/>
                <w:color w:val="auto"/>
              </w:rPr>
            </w:pP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comp</w:t>
            </w:r>
            <w:r>
              <w:rPr>
                <w:rFonts w:ascii="Arial Unicode MS" w:cs="Arial Unicode MS" w:eastAsia="Arial Unicode MS" w:hAnsi="Arial Unicode MS"/>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ac</w:t>
            </w:r>
            <w:r>
              <w:rPr>
                <w:rFonts w:ascii="Arial" w:cs="Arial" w:eastAsia="Arial" w:hAnsi="Arial"/>
                <w:sz w:val="16"/>
                <w:szCs w:val="16"/>
                <w:color w:val="auto"/>
              </w:rPr>
              <w:t>)</w:t>
            </w:r>
          </w:p>
        </w:tc>
        <w:tc>
          <w:tcPr>
            <w:tcW w:w="240" w:type="dxa"/>
            <w:vAlign w:val="bottom"/>
            <w:gridSpan w:val="2"/>
            <w:vMerge w:val="restart"/>
          </w:tcPr>
          <w:p>
            <w:pPr>
              <w:jc w:val="right"/>
              <w:spacing w:after="0"/>
              <w:rPr>
                <w:sz w:val="20"/>
                <w:szCs w:val="20"/>
                <w:color w:val="auto"/>
              </w:rPr>
            </w:pP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201"/>
        </w:trPr>
        <w:tc>
          <w:tcPr>
            <w:tcW w:w="860" w:type="dxa"/>
            <w:vAlign w:val="bottom"/>
            <w:gridSpan w:val="2"/>
            <w:vMerge w:val="continue"/>
          </w:tcPr>
          <w:p>
            <w:pPr>
              <w:spacing w:after="0"/>
              <w:rPr>
                <w:sz w:val="17"/>
                <w:szCs w:val="17"/>
                <w:color w:val="auto"/>
              </w:rPr>
            </w:pPr>
          </w:p>
        </w:tc>
        <w:tc>
          <w:tcPr>
            <w:tcW w:w="2880" w:type="dxa"/>
            <w:vAlign w:val="bottom"/>
            <w:gridSpan w:val="9"/>
            <w:vMerge w:val="continue"/>
          </w:tcPr>
          <w:p>
            <w:pPr>
              <w:spacing w:after="0"/>
              <w:rPr>
                <w:sz w:val="17"/>
                <w:szCs w:val="17"/>
                <w:color w:val="auto"/>
              </w:rPr>
            </w:pPr>
          </w:p>
        </w:tc>
        <w:tc>
          <w:tcPr>
            <w:tcW w:w="20" w:type="dxa"/>
            <w:vAlign w:val="bottom"/>
          </w:tcPr>
          <w:p>
            <w:pPr>
              <w:spacing w:after="0"/>
              <w:rPr>
                <w:sz w:val="17"/>
                <w:szCs w:val="17"/>
                <w:color w:val="auto"/>
              </w:rPr>
            </w:pPr>
          </w:p>
        </w:tc>
        <w:tc>
          <w:tcPr>
            <w:tcW w:w="840" w:type="dxa"/>
            <w:vAlign w:val="bottom"/>
            <w:tcBorders>
              <w:top w:val="single" w:sz="8" w:color="auto"/>
            </w:tcBorders>
            <w:vMerge w:val="restart"/>
          </w:tcPr>
          <w:p>
            <w:pPr>
              <w:jc w:val="center"/>
              <w:spacing w:after="0"/>
              <w:rPr>
                <w:sz w:val="20"/>
                <w:szCs w:val="20"/>
                <w:color w:val="auto"/>
              </w:rPr>
            </w:pPr>
            <w:r>
              <w:rPr>
                <w:rFonts w:ascii="Arial" w:cs="Arial" w:eastAsia="Arial" w:hAnsi="Arial"/>
                <w:sz w:val="16"/>
                <w:szCs w:val="16"/>
                <w:color w:val="auto"/>
              </w:rPr>
              <w:t>1−</w:t>
            </w:r>
            <w:r>
              <w:rPr>
                <w:rFonts w:ascii="Arial" w:cs="Arial" w:eastAsia="Arial" w:hAnsi="Arial"/>
                <w:sz w:val="16"/>
                <w:szCs w:val="16"/>
                <w:i w:val="1"/>
                <w:iCs w:val="1"/>
                <w:color w:val="auto"/>
              </w:rPr>
              <w:t>i</w:t>
            </w:r>
            <w:r>
              <w:rPr>
                <w:rFonts w:ascii="Arial" w:cs="Arial" w:eastAsia="Arial" w:hAnsi="Arial"/>
                <w:sz w:val="11"/>
                <w:szCs w:val="11"/>
                <w:i w:val="1"/>
                <w:iCs w:val="1"/>
                <w:color w:val="auto"/>
              </w:rPr>
              <w:t>comp</w:t>
            </w:r>
          </w:p>
        </w:tc>
        <w:tc>
          <w:tcPr>
            <w:tcW w:w="240" w:type="dxa"/>
            <w:vAlign w:val="bottom"/>
            <w:gridSpan w:val="2"/>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92"/>
        </w:trPr>
        <w:tc>
          <w:tcPr>
            <w:tcW w:w="860" w:type="dxa"/>
            <w:vAlign w:val="bottom"/>
            <w:gridSpan w:val="2"/>
            <w:vMerge w:val="continue"/>
          </w:tcPr>
          <w:p>
            <w:pPr>
              <w:spacing w:after="0"/>
              <w:rPr>
                <w:sz w:val="7"/>
                <w:szCs w:val="7"/>
                <w:color w:val="auto"/>
              </w:rPr>
            </w:pPr>
          </w:p>
        </w:tc>
        <w:tc>
          <w:tcPr>
            <w:tcW w:w="1180" w:type="dxa"/>
            <w:vAlign w:val="bottom"/>
            <w:gridSpan w:val="4"/>
          </w:tcPr>
          <w:p>
            <w:pPr>
              <w:spacing w:after="0"/>
              <w:rPr>
                <w:sz w:val="7"/>
                <w:szCs w:val="7"/>
                <w:color w:val="auto"/>
              </w:rPr>
            </w:pPr>
          </w:p>
        </w:tc>
        <w:tc>
          <w:tcPr>
            <w:tcW w:w="760" w:type="dxa"/>
            <w:vAlign w:val="bottom"/>
            <w:gridSpan w:val="3"/>
          </w:tcPr>
          <w:p>
            <w:pPr>
              <w:spacing w:after="0"/>
              <w:rPr>
                <w:sz w:val="7"/>
                <w:szCs w:val="7"/>
                <w:color w:val="auto"/>
              </w:rPr>
            </w:pPr>
          </w:p>
        </w:tc>
        <w:tc>
          <w:tcPr>
            <w:tcW w:w="940" w:type="dxa"/>
            <w:vAlign w:val="bottom"/>
            <w:gridSpan w:val="2"/>
          </w:tcPr>
          <w:p>
            <w:pPr>
              <w:spacing w:after="0"/>
              <w:rPr>
                <w:sz w:val="7"/>
                <w:szCs w:val="7"/>
                <w:color w:val="auto"/>
              </w:rPr>
            </w:pPr>
          </w:p>
        </w:tc>
        <w:tc>
          <w:tcPr>
            <w:tcW w:w="20" w:type="dxa"/>
            <w:vAlign w:val="bottom"/>
          </w:tcPr>
          <w:p>
            <w:pPr>
              <w:spacing w:after="0"/>
              <w:rPr>
                <w:sz w:val="7"/>
                <w:szCs w:val="7"/>
                <w:color w:val="auto"/>
              </w:rPr>
            </w:pPr>
          </w:p>
        </w:tc>
        <w:tc>
          <w:tcPr>
            <w:tcW w:w="840" w:type="dxa"/>
            <w:vAlign w:val="bottom"/>
            <w:vMerge w:val="continue"/>
          </w:tcPr>
          <w:p>
            <w:pPr>
              <w:spacing w:after="0"/>
              <w:rPr>
                <w:sz w:val="7"/>
                <w:szCs w:val="7"/>
                <w:color w:val="auto"/>
              </w:rPr>
            </w:pPr>
          </w:p>
        </w:tc>
        <w:tc>
          <w:tcPr>
            <w:tcW w:w="60" w:type="dxa"/>
            <w:vAlign w:val="bottom"/>
          </w:tcPr>
          <w:p>
            <w:pPr>
              <w:spacing w:after="0"/>
              <w:rPr>
                <w:sz w:val="7"/>
                <w:szCs w:val="7"/>
                <w:color w:val="auto"/>
              </w:rPr>
            </w:pPr>
          </w:p>
        </w:tc>
        <w:tc>
          <w:tcPr>
            <w:tcW w:w="2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74"/>
        </w:trPr>
        <w:tc>
          <w:tcPr>
            <w:tcW w:w="780" w:type="dxa"/>
            <w:vAlign w:val="bottom"/>
          </w:tcPr>
          <w:p>
            <w:pPr>
              <w:spacing w:after="0"/>
              <w:rPr>
                <w:sz w:val="6"/>
                <w:szCs w:val="6"/>
                <w:color w:val="auto"/>
              </w:rPr>
            </w:pPr>
          </w:p>
        </w:tc>
        <w:tc>
          <w:tcPr>
            <w:tcW w:w="80" w:type="dxa"/>
            <w:vAlign w:val="bottom"/>
          </w:tcPr>
          <w:p>
            <w:pPr>
              <w:spacing w:after="0"/>
              <w:rPr>
                <w:sz w:val="6"/>
                <w:szCs w:val="6"/>
                <w:color w:val="auto"/>
              </w:rPr>
            </w:pPr>
          </w:p>
        </w:tc>
        <w:tc>
          <w:tcPr>
            <w:tcW w:w="680" w:type="dxa"/>
            <w:vAlign w:val="bottom"/>
          </w:tcPr>
          <w:p>
            <w:pPr>
              <w:spacing w:after="0"/>
              <w:rPr>
                <w:sz w:val="6"/>
                <w:szCs w:val="6"/>
                <w:color w:val="auto"/>
              </w:rPr>
            </w:pPr>
          </w:p>
        </w:tc>
        <w:tc>
          <w:tcPr>
            <w:tcW w:w="440" w:type="dxa"/>
            <w:vAlign w:val="bottom"/>
            <w:vMerge w:val="restart"/>
          </w:tcPr>
          <w:p>
            <w:pPr>
              <w:ind w:left="60"/>
              <w:spacing w:after="0"/>
              <w:rPr>
                <w:sz w:val="20"/>
                <w:szCs w:val="20"/>
                <w:color w:val="auto"/>
              </w:rPr>
            </w:pPr>
            <w:r>
              <w:rPr>
                <w:rFonts w:ascii="Arial" w:cs="Arial" w:eastAsia="Arial" w:hAnsi="Arial"/>
                <w:sz w:val="24"/>
                <w:szCs w:val="24"/>
                <w:color w:val="auto"/>
              </w:rPr>
              <w:t>1 −</w:t>
            </w:r>
          </w:p>
        </w:tc>
        <w:tc>
          <w:tcPr>
            <w:tcW w:w="40" w:type="dxa"/>
            <w:vAlign w:val="bottom"/>
          </w:tcPr>
          <w:p>
            <w:pPr>
              <w:spacing w:after="0"/>
              <w:rPr>
                <w:sz w:val="6"/>
                <w:szCs w:val="6"/>
                <w:color w:val="auto"/>
              </w:rPr>
            </w:pPr>
          </w:p>
        </w:tc>
        <w:tc>
          <w:tcPr>
            <w:tcW w:w="20" w:type="dxa"/>
            <w:vAlign w:val="bottom"/>
          </w:tcPr>
          <w:p>
            <w:pPr>
              <w:spacing w:after="0"/>
              <w:rPr>
                <w:sz w:val="6"/>
                <w:szCs w:val="6"/>
                <w:color w:val="auto"/>
              </w:rPr>
            </w:pPr>
          </w:p>
        </w:tc>
        <w:tc>
          <w:tcPr>
            <w:tcW w:w="740" w:type="dxa"/>
            <w:vAlign w:val="bottom"/>
            <w:tcBorders>
              <w:bottom w:val="single" w:sz="8" w:color="auto"/>
            </w:tcBorders>
            <w:gridSpan w:val="2"/>
          </w:tcPr>
          <w:p>
            <w:pPr>
              <w:jc w:val="center"/>
              <w:ind w:right="20"/>
              <w:spacing w:after="0" w:line="74" w:lineRule="exact"/>
              <w:rPr>
                <w:sz w:val="20"/>
                <w:szCs w:val="20"/>
                <w:color w:val="auto"/>
              </w:rPr>
            </w:pPr>
            <w:r>
              <w:rPr>
                <w:rFonts w:ascii="Arial" w:cs="Arial" w:eastAsia="Arial" w:hAnsi="Arial"/>
                <w:sz w:val="8"/>
                <w:szCs w:val="8"/>
                <w:i w:val="1"/>
                <w:iCs w:val="1"/>
                <w:color w:val="auto"/>
                <w:vertAlign w:val="superscript"/>
              </w:rPr>
              <w:t>i</w:t>
            </w:r>
            <w:r>
              <w:rPr>
                <w:rFonts w:ascii="Arial" w:cs="Arial" w:eastAsia="Arial" w:hAnsi="Arial"/>
                <w:sz w:val="6"/>
                <w:szCs w:val="6"/>
                <w:i w:val="1"/>
                <w:iCs w:val="1"/>
                <w:color w:val="auto"/>
              </w:rPr>
              <w:t>ll</w:t>
            </w:r>
          </w:p>
        </w:tc>
        <w:tc>
          <w:tcPr>
            <w:tcW w:w="20" w:type="dxa"/>
            <w:vAlign w:val="bottom"/>
            <w:tcBorders>
              <w:bottom w:val="single" w:sz="8" w:color="auto"/>
            </w:tcBorders>
          </w:tcPr>
          <w:p>
            <w:pPr>
              <w:spacing w:after="0"/>
              <w:rPr>
                <w:sz w:val="6"/>
                <w:szCs w:val="6"/>
                <w:color w:val="auto"/>
              </w:rPr>
            </w:pPr>
          </w:p>
        </w:tc>
        <w:tc>
          <w:tcPr>
            <w:tcW w:w="1800" w:type="dxa"/>
            <w:vAlign w:val="bottom"/>
            <w:gridSpan w:val="4"/>
            <w:vMerge w:val="restart"/>
          </w:tcPr>
          <w:p>
            <w:pPr>
              <w:ind w:left="60"/>
              <w:spacing w:after="0" w:line="485" w:lineRule="exact"/>
              <w:rPr>
                <w:sz w:val="20"/>
                <w:szCs w:val="20"/>
                <w:color w:val="auto"/>
              </w:rPr>
            </w:pPr>
            <w:r>
              <w:rPr>
                <w:rFonts w:ascii="Arial" w:cs="Arial" w:eastAsia="Arial" w:hAnsi="Arial"/>
                <w:sz w:val="24"/>
                <w:szCs w:val="24"/>
                <w:color w:val="auto"/>
              </w:rPr>
              <w:t>−</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i</w:t>
            </w:r>
            <w:r>
              <w:rPr>
                <w:rFonts w:ascii="Arial" w:cs="Arial" w:eastAsia="Arial" w:hAnsi="Arial"/>
                <w:sz w:val="15"/>
                <w:szCs w:val="15"/>
                <w:i w:val="1"/>
                <w:iCs w:val="1"/>
                <w:color w:val="auto"/>
              </w:rPr>
              <w:t>pis</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i</w:t>
            </w:r>
            <w:r>
              <w:rPr>
                <w:rFonts w:ascii="Arial" w:cs="Arial" w:eastAsia="Arial" w:hAnsi="Arial"/>
                <w:sz w:val="15"/>
                <w:szCs w:val="15"/>
                <w:i w:val="1"/>
                <w:iCs w:val="1"/>
                <w:color w:val="auto"/>
              </w:rPr>
              <w:t>cof</w:t>
            </w:r>
          </w:p>
        </w:tc>
        <w:tc>
          <w:tcPr>
            <w:tcW w:w="60" w:type="dxa"/>
            <w:vAlign w:val="bottom"/>
          </w:tcPr>
          <w:p>
            <w:pPr>
              <w:spacing w:after="0"/>
              <w:rPr>
                <w:sz w:val="6"/>
                <w:szCs w:val="6"/>
                <w:color w:val="auto"/>
              </w:rPr>
            </w:pPr>
          </w:p>
        </w:tc>
        <w:tc>
          <w:tcPr>
            <w:tcW w:w="2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91"/>
        </w:trPr>
        <w:tc>
          <w:tcPr>
            <w:tcW w:w="7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440" w:type="dxa"/>
            <w:vAlign w:val="bottom"/>
            <w:vMerge w:val="continue"/>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740" w:type="dxa"/>
            <w:vAlign w:val="bottom"/>
            <w:gridSpan w:val="2"/>
          </w:tcPr>
          <w:p>
            <w:pPr>
              <w:jc w:val="center"/>
              <w:ind w:right="20"/>
              <w:spacing w:after="0"/>
              <w:rPr>
                <w:sz w:val="20"/>
                <w:szCs w:val="20"/>
                <w:color w:val="auto"/>
              </w:rPr>
            </w:pPr>
            <w:r>
              <w:rPr>
                <w:rFonts w:ascii="Arial" w:cs="Arial" w:eastAsia="Arial" w:hAnsi="Arial"/>
                <w:sz w:val="16"/>
                <w:szCs w:val="16"/>
                <w:color w:val="auto"/>
              </w:rPr>
              <w:t>1−</w:t>
            </w:r>
            <w:r>
              <w:rPr>
                <w:rFonts w:ascii="Arial" w:cs="Arial" w:eastAsia="Arial" w:hAnsi="Arial"/>
                <w:sz w:val="16"/>
                <w:szCs w:val="16"/>
                <w:i w:val="1"/>
                <w:iCs w:val="1"/>
                <w:color w:val="auto"/>
              </w:rPr>
              <w:t>i</w:t>
            </w:r>
            <w:r>
              <w:rPr>
                <w:rFonts w:ascii="Arial" w:cs="Arial" w:eastAsia="Arial" w:hAnsi="Arial"/>
                <w:sz w:val="23"/>
                <w:szCs w:val="23"/>
                <w:i w:val="1"/>
                <w:iCs w:val="1"/>
                <w:color w:val="auto"/>
                <w:vertAlign w:val="subscript"/>
              </w:rPr>
              <w:t>ir</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23"/>
                <w:szCs w:val="23"/>
                <w:i w:val="1"/>
                <w:iCs w:val="1"/>
                <w:color w:val="auto"/>
                <w:vertAlign w:val="subscript"/>
              </w:rPr>
              <w:t>cs</w:t>
            </w:r>
          </w:p>
        </w:tc>
        <w:tc>
          <w:tcPr>
            <w:tcW w:w="20" w:type="dxa"/>
            <w:vAlign w:val="bottom"/>
          </w:tcPr>
          <w:p>
            <w:pPr>
              <w:spacing w:after="0"/>
              <w:rPr>
                <w:sz w:val="24"/>
                <w:szCs w:val="24"/>
                <w:color w:val="auto"/>
              </w:rPr>
            </w:pPr>
          </w:p>
        </w:tc>
        <w:tc>
          <w:tcPr>
            <w:tcW w:w="1800" w:type="dxa"/>
            <w:vAlign w:val="bottom"/>
            <w:gridSpan w:val="4"/>
            <w:vMerge w:val="continue"/>
          </w:tcPr>
          <w:p>
            <w:pPr>
              <w:spacing w:after="0"/>
              <w:rPr>
                <w:sz w:val="24"/>
                <w:szCs w:val="24"/>
                <w:color w:val="auto"/>
              </w:rPr>
            </w:pPr>
          </w:p>
        </w:tc>
        <w:tc>
          <w:tcPr>
            <w:tcW w:w="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2477770</wp:posOffset>
                </wp:positionH>
                <wp:positionV relativeFrom="paragraph">
                  <wp:posOffset>-1880870</wp:posOffset>
                </wp:positionV>
                <wp:extent cx="1555115"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551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1pt,-148.0999pt" to="317.55pt,-148.0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2038985</wp:posOffset>
                </wp:positionH>
                <wp:positionV relativeFrom="paragraph">
                  <wp:posOffset>-368300</wp:posOffset>
                </wp:positionV>
                <wp:extent cx="2494915"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949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0.55pt,-29pt" to="357pt,-29pt" o:allowincell="f" strokecolor="#000000" strokeweight="0.398pt"/>
            </w:pict>
          </mc:Fallback>
        </mc:AlternateContent>
      </w:r>
    </w:p>
    <w:p>
      <w:pPr>
        <w:spacing w:after="0" w:line="330" w:lineRule="exact"/>
        <w:rPr>
          <w:sz w:val="20"/>
          <w:szCs w:val="20"/>
          <w:color w:val="auto"/>
        </w:rPr>
      </w:pPr>
    </w:p>
    <w:p>
      <w:pPr>
        <w:ind w:left="3480" w:hanging="240"/>
        <w:spacing w:after="0" w:line="552" w:lineRule="exact"/>
        <w:tabs>
          <w:tab w:leader="none" w:pos="3480" w:val="left"/>
        </w:tabs>
        <w:numPr>
          <w:ilvl w:val="0"/>
          <w:numId w:val="27"/>
        </w:numPr>
        <w:rPr>
          <w:rFonts w:ascii="Arial" w:cs="Arial" w:eastAsia="Arial" w:hAnsi="Arial"/>
          <w:sz w:val="48"/>
          <w:szCs w:val="48"/>
          <w:i w:val="1"/>
          <w:iCs w:val="1"/>
          <w:color w:val="auto"/>
          <w:vertAlign w:val="superscript"/>
        </w:rPr>
      </w:pPr>
      <w:r>
        <w:rPr>
          <w:rFonts w:ascii="Arial" w:cs="Arial" w:eastAsia="Arial" w:hAnsi="Arial"/>
          <w:sz w:val="48"/>
          <w:szCs w:val="48"/>
          <w:color w:val="auto"/>
          <w:vertAlign w:val="superscript"/>
        </w:rPr>
        <w:t>=</w:t>
      </w:r>
      <w:r>
        <w:rPr>
          <w:rFonts w:ascii="Arial" w:cs="Arial" w:eastAsia="Arial" w:hAnsi="Arial"/>
          <w:sz w:val="47"/>
          <w:szCs w:val="47"/>
          <w:color w:val="auto"/>
          <w:vertAlign w:val="superscript"/>
        </w:rPr>
        <w:t xml:space="preserve"> </w:t>
      </w:r>
      <w:r>
        <w:rPr>
          <w:rFonts w:ascii="Arial" w:cs="Arial" w:eastAsia="Arial" w:hAnsi="Arial"/>
          <w:sz w:val="48"/>
          <w:szCs w:val="48"/>
          <w:color w:val="auto"/>
          <w:vertAlign w:val="superscript"/>
        </w:rPr>
        <w:t>(</w:t>
      </w:r>
      <w:r>
        <w:rPr>
          <w:rFonts w:ascii="Arial" w:cs="Arial" w:eastAsia="Arial" w:hAnsi="Arial"/>
          <w:sz w:val="47"/>
          <w:szCs w:val="47"/>
          <w:i w:val="1"/>
          <w:iCs w:val="1"/>
          <w:color w:val="auto"/>
          <w:vertAlign w:val="superscript"/>
        </w:rPr>
        <w:t>D</w:t>
      </w:r>
      <w:r>
        <w:rPr>
          <w:rFonts w:ascii="Arial" w:cs="Arial" w:eastAsia="Arial" w:hAnsi="Arial"/>
          <w:sz w:val="15"/>
          <w:szCs w:val="15"/>
          <w:i w:val="1"/>
          <w:iCs w:val="1"/>
          <w:color w:val="auto"/>
        </w:rPr>
        <w:t>pr</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D</w:t>
      </w:r>
      <w:r>
        <w:rPr>
          <w:rFonts w:ascii="Arial" w:cs="Arial" w:eastAsia="Arial" w:hAnsi="Arial"/>
          <w:sz w:val="15"/>
          <w:szCs w:val="15"/>
          <w:i w:val="1"/>
          <w:iCs w:val="1"/>
          <w:color w:val="auto"/>
        </w:rPr>
        <w:t>dav</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D</w:t>
      </w:r>
      <w:r>
        <w:rPr>
          <w:rFonts w:ascii="Arial" w:cs="Arial" w:eastAsia="Arial" w:hAnsi="Arial"/>
          <w:sz w:val="15"/>
          <w:szCs w:val="15"/>
          <w:i w:val="1"/>
          <w:iCs w:val="1"/>
          <w:color w:val="auto"/>
        </w:rPr>
        <w:t>dap</w:t>
      </w:r>
      <w:r>
        <w:rPr>
          <w:rFonts w:ascii="Arial" w:cs="Arial" w:eastAsia="Arial" w:hAnsi="Arial"/>
          <w:sz w:val="48"/>
          <w:szCs w:val="48"/>
          <w:color w:val="auto"/>
          <w:vertAlign w:val="superscript"/>
        </w:rPr>
        <w:t>)</w:t>
      </w:r>
      <w:r>
        <w:rPr>
          <w:rFonts w:ascii="Arial Unicode MS" w:cs="Arial Unicode MS" w:eastAsia="Arial Unicode MS" w:hAnsi="Arial Unicode MS"/>
          <w:sz w:val="23"/>
          <w:szCs w:val="23"/>
          <w:color w:val="auto"/>
        </w:rPr>
        <w:t xml:space="preserve"> ∗</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i</w:t>
      </w:r>
      <w:r>
        <w:rPr>
          <w:rFonts w:ascii="Arial" w:cs="Arial" w:eastAsia="Arial" w:hAnsi="Arial"/>
          <w:sz w:val="15"/>
          <w:szCs w:val="15"/>
          <w:i w:val="1"/>
          <w:iCs w:val="1"/>
          <w:color w:val="auto"/>
        </w:rPr>
        <w:t>apl</w:t>
      </w:r>
    </w:p>
    <w:p>
      <w:pPr>
        <w:spacing w:after="0" w:line="177" w:lineRule="exact"/>
        <w:rPr>
          <w:sz w:val="20"/>
          <w:szCs w:val="20"/>
          <w:color w:val="auto"/>
        </w:rPr>
      </w:pPr>
    </w:p>
    <w:p>
      <w:pPr>
        <w:ind w:left="260" w:right="40" w:firstLine="850"/>
        <w:spacing w:after="0" w:line="389" w:lineRule="auto"/>
        <w:rPr>
          <w:sz w:val="20"/>
          <w:szCs w:val="20"/>
          <w:color w:val="auto"/>
        </w:rPr>
      </w:pPr>
      <w:r>
        <w:rPr>
          <w:rFonts w:ascii="Arial" w:cs="Arial" w:eastAsia="Arial" w:hAnsi="Arial"/>
          <w:sz w:val="23"/>
          <w:szCs w:val="23"/>
          <w:color w:val="auto"/>
        </w:rPr>
        <w:t>Dessa forma o spread ex-post, nas formas de precificação e aplicação de juros assumem as formas abaixo, na ótica de captação e empréstimo, respectivamente.</w:t>
      </w:r>
    </w:p>
    <w:p>
      <w:pPr>
        <w:jc w:val="center"/>
        <w:ind w:right="-19"/>
        <w:spacing w:after="0" w:line="518" w:lineRule="exact"/>
        <w:rPr>
          <w:sz w:val="20"/>
          <w:szCs w:val="20"/>
          <w:color w:val="auto"/>
        </w:rPr>
      </w:pPr>
      <w:r>
        <w:rPr>
          <w:rFonts w:ascii="Arial" w:cs="Arial" w:eastAsia="Arial" w:hAnsi="Arial"/>
          <w:sz w:val="48"/>
          <w:szCs w:val="48"/>
          <w:i w:val="1"/>
          <w:iCs w:val="1"/>
          <w:color w:val="auto"/>
          <w:vertAlign w:val="subscript"/>
        </w:rPr>
        <w:t>SprEp</w:t>
      </w:r>
      <w:r>
        <w:rPr>
          <w:rFonts w:ascii="Arial" w:cs="Arial" w:eastAsia="Arial" w:hAnsi="Arial"/>
          <w:sz w:val="47"/>
          <w:szCs w:val="47"/>
          <w:color w:val="auto"/>
          <w:vertAlign w:val="subscript"/>
        </w:rPr>
        <w:t xml:space="preserve"> = </w:t>
      </w:r>
      <w:r>
        <w:rPr>
          <w:rFonts w:ascii="Arial" w:cs="Arial" w:eastAsia="Arial" w:hAnsi="Arial"/>
          <w:sz w:val="47"/>
          <w:szCs w:val="47"/>
          <w:color w:val="auto"/>
          <w:vertAlign w:val="superscript"/>
        </w:rPr>
        <w:t>(</w:t>
      </w:r>
      <w:r>
        <w:rPr>
          <w:rFonts w:ascii="Arial" w:cs="Arial" w:eastAsia="Arial" w:hAnsi="Arial"/>
          <w:sz w:val="48"/>
          <w:szCs w:val="48"/>
          <w:i w:val="1"/>
          <w:iCs w:val="1"/>
          <w:color w:val="auto"/>
          <w:vertAlign w:val="superscript"/>
        </w:rPr>
        <w:t>D</w:t>
      </w:r>
      <w:r>
        <w:rPr>
          <w:rFonts w:ascii="Arial" w:cs="Arial" w:eastAsia="Arial" w:hAnsi="Arial"/>
          <w:sz w:val="15"/>
          <w:szCs w:val="15"/>
          <w:i w:val="1"/>
          <w:iCs w:val="1"/>
          <w:color w:val="auto"/>
        </w:rPr>
        <w:t>pr</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D</w:t>
      </w:r>
      <w:r>
        <w:rPr>
          <w:rFonts w:ascii="Arial" w:cs="Arial" w:eastAsia="Arial" w:hAnsi="Arial"/>
          <w:sz w:val="15"/>
          <w:szCs w:val="15"/>
          <w:i w:val="1"/>
          <w:iCs w:val="1"/>
          <w:color w:val="auto"/>
        </w:rPr>
        <w:t>dav</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D</w:t>
      </w:r>
      <w:r>
        <w:rPr>
          <w:rFonts w:ascii="Arial" w:cs="Arial" w:eastAsia="Arial" w:hAnsi="Arial"/>
          <w:sz w:val="15"/>
          <w:szCs w:val="15"/>
          <w:i w:val="1"/>
          <w:iCs w:val="1"/>
          <w:color w:val="auto"/>
        </w:rPr>
        <w:t>dap</w:t>
      </w:r>
      <w:r>
        <w:rPr>
          <w:rFonts w:ascii="Arial" w:cs="Arial" w:eastAsia="Arial" w:hAnsi="Arial"/>
          <w:sz w:val="48"/>
          <w:szCs w:val="48"/>
          <w:color w:val="auto"/>
          <w:vertAlign w:val="superscript"/>
        </w:rPr>
        <w:t>)</w:t>
      </w:r>
      <w:r>
        <w:rPr>
          <w:rFonts w:ascii="Arial Unicode MS" w:cs="Arial Unicode MS" w:eastAsia="Arial Unicode MS" w:hAnsi="Arial Unicode MS"/>
          <w:sz w:val="23"/>
          <w:szCs w:val="23"/>
          <w:color w:val="auto"/>
        </w:rPr>
        <w:t xml:space="preserve"> ∗</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i</w:t>
      </w:r>
      <w:r>
        <w:rPr>
          <w:rFonts w:ascii="Arial" w:cs="Arial" w:eastAsia="Arial" w:hAnsi="Arial"/>
          <w:sz w:val="15"/>
          <w:szCs w:val="15"/>
          <w:i w:val="1"/>
          <w:iCs w:val="1"/>
          <w:color w:val="auto"/>
        </w:rPr>
        <w:t>apl</w:t>
      </w:r>
      <w:r>
        <w:rPr>
          <w:rFonts w:ascii="Arial" w:cs="Arial" w:eastAsia="Arial" w:hAnsi="Arial"/>
          <w:sz w:val="48"/>
          <w:szCs w:val="48"/>
          <w:color w:val="auto"/>
        </w:rPr>
        <w:t xml:space="preserve"> </w:t>
      </w:r>
      <w:r>
        <w:rPr>
          <w:rFonts w:ascii="Arial" w:cs="Arial" w:eastAsia="Arial" w:hAnsi="Arial"/>
          <w:sz w:val="48"/>
          <w:szCs w:val="48"/>
          <w:color w:val="auto"/>
          <w:vertAlign w:val="subscript"/>
        </w:rPr>
        <w:t>−</w:t>
      </w:r>
      <w:r>
        <w:rPr>
          <w:rFonts w:ascii="Arial" w:cs="Arial" w:eastAsia="Arial" w:hAnsi="Arial"/>
          <w:sz w:val="48"/>
          <w:szCs w:val="48"/>
          <w:color w:val="auto"/>
        </w:rPr>
        <w:t xml:space="preserve"> </w:t>
      </w:r>
      <w:r>
        <w:rPr>
          <w:rFonts w:ascii="Arial" w:cs="Arial" w:eastAsia="Arial" w:hAnsi="Arial"/>
          <w:sz w:val="48"/>
          <w:szCs w:val="48"/>
          <w:color w:val="auto"/>
          <w:vertAlign w:val="subscript"/>
        </w:rPr>
        <w:t>(</w:t>
      </w:r>
      <w:r>
        <w:rPr>
          <w:rFonts w:ascii="Arial" w:cs="Arial" w:eastAsia="Arial" w:hAnsi="Arial"/>
          <w:sz w:val="48"/>
          <w:szCs w:val="48"/>
          <w:i w:val="1"/>
          <w:iCs w:val="1"/>
          <w:color w:val="auto"/>
          <w:vertAlign w:val="superscript"/>
        </w:rPr>
        <w:t>D</w:t>
      </w:r>
      <w:r>
        <w:rPr>
          <w:rFonts w:ascii="Arial" w:cs="Arial" w:eastAsia="Arial" w:hAnsi="Arial"/>
          <w:sz w:val="15"/>
          <w:szCs w:val="15"/>
          <w:i w:val="1"/>
          <w:iCs w:val="1"/>
          <w:color w:val="auto"/>
        </w:rPr>
        <w:t>cap</w:t>
      </w:r>
      <w:r>
        <w:rPr>
          <w:rFonts w:ascii="Arial" w:cs="Arial" w:eastAsia="Arial" w:hAnsi="Arial"/>
          <w:sz w:val="48"/>
          <w:szCs w:val="48"/>
          <w:color w:val="auto"/>
        </w:rPr>
        <w:t xml:space="preserve"> </w:t>
      </w:r>
      <w:r>
        <w:rPr>
          <w:rFonts w:ascii="Arial" w:cs="Arial" w:eastAsia="Arial" w:hAnsi="Arial"/>
          <w:sz w:val="48"/>
          <w:szCs w:val="48"/>
          <w:color w:val="auto"/>
          <w:vertAlign w:val="sub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2160905</wp:posOffset>
                </wp:positionH>
                <wp:positionV relativeFrom="paragraph">
                  <wp:posOffset>-34925</wp:posOffset>
                </wp:positionV>
                <wp:extent cx="1657350"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573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15pt,-2.7499pt" to="300.65pt,-2.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4091940</wp:posOffset>
                </wp:positionH>
                <wp:positionV relativeFrom="paragraph">
                  <wp:posOffset>-34925</wp:posOffset>
                </wp:positionV>
                <wp:extent cx="287655"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76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2pt,-2.7499pt" to="344.85pt,-2.7499pt" o:allowincell="f" strokecolor="#000000" strokeweight="0.398pt"/>
            </w:pict>
          </mc:Fallback>
        </mc:AlternateContent>
      </w:r>
    </w:p>
    <w:p>
      <w:pPr>
        <w:ind w:left="4620"/>
        <w:spacing w:after="0" w:line="196" w:lineRule="auto"/>
        <w:tabs>
          <w:tab w:leader="none" w:pos="6560" w:val="left"/>
        </w:tabs>
        <w:rPr>
          <w:sz w:val="20"/>
          <w:szCs w:val="20"/>
          <w:color w:val="auto"/>
        </w:rPr>
      </w:pPr>
      <w:r>
        <w:rPr>
          <w:rFonts w:ascii="Arial" w:cs="Arial" w:eastAsia="Arial" w:hAnsi="Arial"/>
          <w:sz w:val="24"/>
          <w:szCs w:val="24"/>
          <w:i w:val="1"/>
          <w:iCs w:val="1"/>
          <w:color w:val="auto"/>
        </w:rPr>
        <w:t>E</w:t>
      </w:r>
      <w:r>
        <w:rPr>
          <w:sz w:val="20"/>
          <w:szCs w:val="20"/>
          <w:color w:val="auto"/>
        </w:rPr>
        <w:tab/>
      </w:r>
      <w:r>
        <w:rPr>
          <w:rFonts w:ascii="Arial" w:cs="Arial" w:eastAsia="Arial" w:hAnsi="Arial"/>
          <w:sz w:val="24"/>
          <w:szCs w:val="24"/>
          <w:i w:val="1"/>
          <w:iCs w:val="1"/>
          <w:color w:val="auto"/>
        </w:rPr>
        <w:t>C</w:t>
      </w:r>
    </w:p>
    <w:p>
      <w:pPr>
        <w:spacing w:after="0" w:line="200" w:lineRule="exact"/>
        <w:rPr>
          <w:sz w:val="20"/>
          <w:szCs w:val="20"/>
          <w:color w:val="auto"/>
        </w:rPr>
      </w:pPr>
    </w:p>
    <w:p>
      <w:pPr>
        <w:spacing w:after="0" w:line="258" w:lineRule="exact"/>
        <w:rPr>
          <w:sz w:val="20"/>
          <w:szCs w:val="20"/>
          <w:color w:val="auto"/>
        </w:rPr>
      </w:pPr>
    </w:p>
    <w:p>
      <w:pPr>
        <w:jc w:val="center"/>
        <w:ind w:right="-19"/>
        <w:spacing w:after="0" w:line="552" w:lineRule="exact"/>
        <w:rPr>
          <w:sz w:val="20"/>
          <w:szCs w:val="20"/>
          <w:color w:val="auto"/>
        </w:rPr>
      </w:pPr>
      <w:r>
        <w:rPr>
          <w:rFonts w:ascii="Arial" w:cs="Arial" w:eastAsia="Arial" w:hAnsi="Arial"/>
          <w:sz w:val="48"/>
          <w:szCs w:val="48"/>
          <w:i w:val="1"/>
          <w:iCs w:val="1"/>
          <w:color w:val="auto"/>
          <w:vertAlign w:val="subscript"/>
        </w:rPr>
        <w:t>SprEp</w:t>
      </w:r>
      <w:r>
        <w:rPr>
          <w:rFonts w:ascii="Arial" w:cs="Arial" w:eastAsia="Arial" w:hAnsi="Arial"/>
          <w:sz w:val="47"/>
          <w:szCs w:val="47"/>
          <w:color w:val="auto"/>
          <w:vertAlign w:val="subscript"/>
        </w:rPr>
        <w:t xml:space="preserve"> = </w:t>
      </w:r>
      <w:r>
        <w:rPr>
          <w:rFonts w:ascii="Arial" w:cs="Arial" w:eastAsia="Arial" w:hAnsi="Arial"/>
          <w:sz w:val="47"/>
          <w:szCs w:val="47"/>
          <w:color w:val="auto"/>
          <w:vertAlign w:val="superscript"/>
        </w:rPr>
        <w:t>(</w:t>
      </w:r>
      <w:r>
        <w:rPr>
          <w:rFonts w:ascii="Arial" w:cs="Arial" w:eastAsia="Arial" w:hAnsi="Arial"/>
          <w:sz w:val="48"/>
          <w:szCs w:val="48"/>
          <w:i w:val="1"/>
          <w:iCs w:val="1"/>
          <w:color w:val="auto"/>
          <w:vertAlign w:val="superscript"/>
        </w:rPr>
        <w:t>E</w:t>
      </w:r>
      <w:r>
        <w:rPr>
          <w:rFonts w:ascii="Arial Unicode MS" w:cs="Arial Unicode MS" w:eastAsia="Arial Unicode MS" w:hAnsi="Arial Unicode MS"/>
          <w:sz w:val="23"/>
          <w:szCs w:val="23"/>
          <w:color w:val="auto"/>
        </w:rPr>
        <w:t xml:space="preserve"> ∗</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i</w:t>
      </w:r>
      <w:r>
        <w:rPr>
          <w:rFonts w:ascii="Arial" w:cs="Arial" w:eastAsia="Arial" w:hAnsi="Arial"/>
          <w:sz w:val="15"/>
          <w:szCs w:val="15"/>
          <w:i w:val="1"/>
          <w:iCs w:val="1"/>
          <w:color w:val="auto"/>
        </w:rPr>
        <w:t>jrpr</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E</w:t>
      </w:r>
      <w:r>
        <w:rPr>
          <w:rFonts w:ascii="Arial Unicode MS" w:cs="Arial Unicode MS" w:eastAsia="Arial Unicode MS" w:hAnsi="Arial Unicode MS"/>
          <w:sz w:val="23"/>
          <w:szCs w:val="23"/>
          <w:color w:val="auto"/>
        </w:rPr>
        <w:t xml:space="preserve"> ∗</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i</w:t>
      </w:r>
      <w:r>
        <w:rPr>
          <w:rFonts w:ascii="Arial" w:cs="Arial" w:eastAsia="Arial" w:hAnsi="Arial"/>
          <w:sz w:val="15"/>
          <w:szCs w:val="15"/>
          <w:i w:val="1"/>
          <w:iCs w:val="1"/>
          <w:color w:val="auto"/>
        </w:rPr>
        <w:t>jrdav</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E</w:t>
      </w:r>
      <w:r>
        <w:rPr>
          <w:rFonts w:ascii="Arial Unicode MS" w:cs="Arial Unicode MS" w:eastAsia="Arial Unicode MS" w:hAnsi="Arial Unicode MS"/>
          <w:sz w:val="23"/>
          <w:szCs w:val="23"/>
          <w:color w:val="auto"/>
        </w:rPr>
        <w:t xml:space="preserve"> ∗</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i</w:t>
      </w:r>
      <w:r>
        <w:rPr>
          <w:rFonts w:ascii="Arial" w:cs="Arial" w:eastAsia="Arial" w:hAnsi="Arial"/>
          <w:sz w:val="15"/>
          <w:szCs w:val="15"/>
          <w:i w:val="1"/>
          <w:iCs w:val="1"/>
          <w:color w:val="auto"/>
        </w:rPr>
        <w:t>jrdap</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color w:val="auto"/>
          <w:vertAlign w:val="subscript"/>
        </w:rPr>
        <w:t>−</w:t>
      </w:r>
      <w:r>
        <w:rPr>
          <w:rFonts w:ascii="Arial" w:cs="Arial" w:eastAsia="Arial" w:hAnsi="Arial"/>
          <w:sz w:val="48"/>
          <w:szCs w:val="48"/>
          <w:color w:val="auto"/>
        </w:rPr>
        <w:t xml:space="preserve"> </w:t>
      </w:r>
      <w:r>
        <w:rPr>
          <w:rFonts w:ascii="Arial" w:cs="Arial" w:eastAsia="Arial" w:hAnsi="Arial"/>
          <w:sz w:val="48"/>
          <w:szCs w:val="48"/>
          <w:color w:val="auto"/>
          <w:vertAlign w:val="subscript"/>
        </w:rPr>
        <w:t>(</w:t>
      </w:r>
      <w:r>
        <w:rPr>
          <w:rFonts w:ascii="Arial" w:cs="Arial" w:eastAsia="Arial" w:hAnsi="Arial"/>
          <w:sz w:val="48"/>
          <w:szCs w:val="48"/>
          <w:i w:val="1"/>
          <w:iCs w:val="1"/>
          <w:color w:val="auto"/>
          <w:vertAlign w:val="superscript"/>
        </w:rPr>
        <w:t>D</w:t>
      </w:r>
      <w:r>
        <w:rPr>
          <w:rFonts w:ascii="Arial" w:cs="Arial" w:eastAsia="Arial" w:hAnsi="Arial"/>
          <w:sz w:val="15"/>
          <w:szCs w:val="15"/>
          <w:i w:val="1"/>
          <w:iCs w:val="1"/>
          <w:color w:val="auto"/>
        </w:rPr>
        <w:t>cap</w:t>
      </w:r>
      <w:r>
        <w:rPr>
          <w:rFonts w:ascii="Arial" w:cs="Arial" w:eastAsia="Arial" w:hAnsi="Arial"/>
          <w:sz w:val="48"/>
          <w:szCs w:val="48"/>
          <w:color w:val="auto"/>
        </w:rPr>
        <w:t xml:space="preserve"> </w:t>
      </w:r>
      <w:r>
        <w:rPr>
          <w:rFonts w:ascii="Arial" w:cs="Arial" w:eastAsia="Arial" w:hAnsi="Arial"/>
          <w:sz w:val="48"/>
          <w:szCs w:val="48"/>
          <w:color w:val="auto"/>
          <w:vertAlign w:val="sub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1898015</wp:posOffset>
                </wp:positionH>
                <wp:positionV relativeFrom="paragraph">
                  <wp:posOffset>-36195</wp:posOffset>
                </wp:positionV>
                <wp:extent cx="2183130"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83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45pt,-2.8499pt" to="321.35pt,-2.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4354830</wp:posOffset>
                </wp:positionH>
                <wp:positionV relativeFrom="paragraph">
                  <wp:posOffset>-36195</wp:posOffset>
                </wp:positionV>
                <wp:extent cx="287655"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76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2.9pt,-2.8499pt" to="365.55pt,-2.8499pt" o:allowincell="f" strokecolor="#000000" strokeweight="0.398pt"/>
            </w:pict>
          </mc:Fallback>
        </mc:AlternateContent>
      </w:r>
    </w:p>
    <w:p>
      <w:pPr>
        <w:ind w:left="4620"/>
        <w:spacing w:after="0" w:line="194" w:lineRule="auto"/>
        <w:tabs>
          <w:tab w:leader="none" w:pos="6980" w:val="left"/>
        </w:tabs>
        <w:rPr>
          <w:sz w:val="20"/>
          <w:szCs w:val="20"/>
          <w:color w:val="auto"/>
        </w:rPr>
      </w:pPr>
      <w:r>
        <w:rPr>
          <w:rFonts w:ascii="Arial" w:cs="Arial" w:eastAsia="Arial" w:hAnsi="Arial"/>
          <w:sz w:val="24"/>
          <w:szCs w:val="24"/>
          <w:i w:val="1"/>
          <w:iCs w:val="1"/>
          <w:color w:val="auto"/>
        </w:rPr>
        <w:t>E</w:t>
      </w:r>
      <w:r>
        <w:rPr>
          <w:sz w:val="20"/>
          <w:szCs w:val="20"/>
          <w:color w:val="auto"/>
        </w:rPr>
        <w:tab/>
      </w:r>
      <w:r>
        <w:rPr>
          <w:rFonts w:ascii="Arial" w:cs="Arial" w:eastAsia="Arial" w:hAnsi="Arial"/>
          <w:sz w:val="24"/>
          <w:szCs w:val="24"/>
          <w:i w:val="1"/>
          <w:iCs w:val="1"/>
          <w:color w:val="auto"/>
        </w:rPr>
        <w:t>C</w:t>
      </w:r>
    </w:p>
    <w:p>
      <w:pPr>
        <w:sectPr>
          <w:pgSz w:w="11900" w:h="16838" w:orient="portrait"/>
          <w:cols w:equalWidth="0" w:num="1">
            <w:col w:w="9360"/>
          </w:cols>
          <w:pgMar w:left="1440" w:top="991" w:right="1106" w:bottom="289" w:gutter="0" w:footer="0" w:header="0"/>
        </w:sectPr>
      </w:pPr>
    </w:p>
    <w:p>
      <w:pPr>
        <w:ind w:left="9060"/>
        <w:spacing w:after="0"/>
        <w:rPr>
          <w:sz w:val="20"/>
          <w:szCs w:val="20"/>
          <w:color w:val="auto"/>
        </w:rPr>
      </w:pPr>
      <w:r>
        <w:rPr>
          <w:rFonts w:ascii="Arial" w:cs="Arial" w:eastAsia="Arial" w:hAnsi="Arial"/>
          <w:sz w:val="24"/>
          <w:szCs w:val="24"/>
          <w:color w:val="auto"/>
        </w:rPr>
        <w:t>52</w:t>
      </w:r>
    </w:p>
    <w:p>
      <w:pPr>
        <w:spacing w:after="0" w:line="200" w:lineRule="exact"/>
        <w:rPr>
          <w:sz w:val="20"/>
          <w:szCs w:val="20"/>
          <w:color w:val="auto"/>
        </w:rPr>
      </w:pPr>
    </w:p>
    <w:p>
      <w:pPr>
        <w:spacing w:after="0" w:line="246" w:lineRule="exact"/>
        <w:rPr>
          <w:sz w:val="20"/>
          <w:szCs w:val="20"/>
          <w:color w:val="auto"/>
        </w:rPr>
      </w:pPr>
    </w:p>
    <w:p>
      <w:pPr>
        <w:jc w:val="both"/>
        <w:ind w:left="260" w:right="20" w:firstLine="850"/>
        <w:spacing w:after="0" w:line="440" w:lineRule="auto"/>
        <w:rPr>
          <w:sz w:val="20"/>
          <w:szCs w:val="20"/>
          <w:color w:val="auto"/>
        </w:rPr>
      </w:pPr>
      <w:r>
        <w:rPr>
          <w:rFonts w:ascii="Arial" w:cs="Arial" w:eastAsia="Arial" w:hAnsi="Arial"/>
          <w:sz w:val="23"/>
          <w:szCs w:val="23"/>
          <w:color w:val="auto"/>
        </w:rPr>
        <w:t>Para a averiguação dos efeitos dos componentes do spread ex-post na ren-tabilidade das instituições bancárias serão utilizados modelos de regressão linear multivariada. Os modelos de regressão múltipla buscam, através de técnicas estatísti-cas e matemáticas, prever o comportamento de uma dada variável dependente, diante um conjunto de variáveis explanatórias (HILL, 2010) (JAMES et al., 2017).</w:t>
      </w:r>
    </w:p>
    <w:p>
      <w:pPr>
        <w:spacing w:after="0" w:line="4" w:lineRule="exact"/>
        <w:rPr>
          <w:sz w:val="20"/>
          <w:szCs w:val="20"/>
          <w:color w:val="auto"/>
        </w:rPr>
      </w:pPr>
    </w:p>
    <w:p>
      <w:pPr>
        <w:jc w:val="center"/>
        <w:ind w:right="-199"/>
        <w:spacing w:after="0"/>
        <w:rPr>
          <w:sz w:val="20"/>
          <w:szCs w:val="20"/>
          <w:color w:val="auto"/>
        </w:rPr>
      </w:pPr>
      <w:r>
        <w:rPr>
          <w:rFonts w:ascii="Arial" w:cs="Arial" w:eastAsia="Arial" w:hAnsi="Arial"/>
          <w:sz w:val="24"/>
          <w:szCs w:val="24"/>
          <w:i w:val="1"/>
          <w:iCs w:val="1"/>
          <w:color w:val="auto"/>
        </w:rPr>
        <w:t>Y</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0</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w:t>
      </w:r>
      <w:r>
        <w:rPr>
          <w:rFonts w:ascii="Arial" w:cs="Arial" w:eastAsia="Arial" w:hAnsi="Arial"/>
          <w:sz w:val="24"/>
          <w:szCs w:val="24"/>
          <w:i w:val="1"/>
          <w:iCs w:val="1"/>
          <w:color w:val="auto"/>
        </w:rPr>
        <w:t>X</w:t>
      </w:r>
      <w:r>
        <w:rPr>
          <w:rFonts w:ascii="Arial" w:cs="Arial" w:eastAsia="Arial" w:hAnsi="Arial"/>
          <w:sz w:val="31"/>
          <w:szCs w:val="31"/>
          <w:color w:val="auto"/>
          <w:vertAlign w:val="subscript"/>
        </w:rPr>
        <w:t>1</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2</w:t>
      </w:r>
      <w:r>
        <w:rPr>
          <w:rFonts w:ascii="Arial" w:cs="Arial" w:eastAsia="Arial" w:hAnsi="Arial"/>
          <w:sz w:val="24"/>
          <w:szCs w:val="24"/>
          <w:i w:val="1"/>
          <w:iCs w:val="1"/>
          <w:color w:val="auto"/>
        </w:rPr>
        <w:t>X</w:t>
      </w:r>
      <w:r>
        <w:rPr>
          <w:rFonts w:ascii="Arial" w:cs="Arial" w:eastAsia="Arial" w:hAnsi="Arial"/>
          <w:sz w:val="31"/>
          <w:szCs w:val="31"/>
          <w:color w:val="auto"/>
          <w:vertAlign w:val="subscript"/>
        </w:rPr>
        <w:t>2</w:t>
      </w:r>
      <w:r>
        <w:rPr>
          <w:rFonts w:ascii="Arial" w:cs="Arial" w:eastAsia="Arial" w:hAnsi="Arial"/>
          <w:sz w:val="24"/>
          <w:szCs w:val="24"/>
          <w:i w:val="1"/>
          <w:iCs w:val="1"/>
          <w:color w:val="auto"/>
        </w:rPr>
        <w:t>...β</w:t>
      </w:r>
      <w:r>
        <w:rPr>
          <w:rFonts w:ascii="Arial" w:cs="Arial" w:eastAsia="Arial" w:hAnsi="Arial"/>
          <w:sz w:val="31"/>
          <w:szCs w:val="31"/>
          <w:i w:val="1"/>
          <w:iCs w:val="1"/>
          <w:color w:val="auto"/>
          <w:vertAlign w:val="subscript"/>
        </w:rPr>
        <w:t>n</w:t>
      </w:r>
      <w:r>
        <w:rPr>
          <w:rFonts w:ascii="Arial" w:cs="Arial" w:eastAsia="Arial" w:hAnsi="Arial"/>
          <w:sz w:val="24"/>
          <w:szCs w:val="24"/>
          <w:i w:val="1"/>
          <w:iCs w:val="1"/>
          <w:color w:val="auto"/>
        </w:rPr>
        <w:t>X</w:t>
      </w:r>
      <w:r>
        <w:rPr>
          <w:rFonts w:ascii="Arial" w:cs="Arial" w:eastAsia="Arial" w:hAnsi="Arial"/>
          <w:sz w:val="31"/>
          <w:szCs w:val="31"/>
          <w:i w:val="1"/>
          <w:iCs w:val="1"/>
          <w:color w:val="auto"/>
          <w:vertAlign w:val="subscript"/>
        </w:rPr>
        <w:t>n</w:t>
      </w:r>
      <w:r>
        <w:rPr>
          <w:rFonts w:ascii="Arial" w:cs="Arial" w:eastAsia="Arial" w:hAnsi="Arial"/>
          <w:sz w:val="24"/>
          <w:szCs w:val="24"/>
          <w:color w:val="auto"/>
        </w:rPr>
        <w:t xml:space="preserve"> +</w:t>
      </w:r>
    </w:p>
    <w:p>
      <w:pPr>
        <w:spacing w:after="0" w:line="200" w:lineRule="exact"/>
        <w:rPr>
          <w:sz w:val="20"/>
          <w:szCs w:val="20"/>
          <w:color w:val="auto"/>
        </w:rPr>
      </w:pPr>
    </w:p>
    <w:p>
      <w:pPr>
        <w:spacing w:after="0" w:line="222"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O modelo econométrico a ser utilizado será o método de dados em painel, denominado Cross Section, que combina séries temporais e dados em corte transversal. Este modelo busca captar diferenças individuais de comportamento, possibilitando combinar os dados para fins de estimação e inferência, posteriormente realizados testes de regressão e estimação (HILL, 2010).</w:t>
      </w:r>
    </w:p>
    <w:p>
      <w:pPr>
        <w:spacing w:after="0" w:line="57" w:lineRule="exact"/>
        <w:rPr>
          <w:sz w:val="20"/>
          <w:szCs w:val="20"/>
          <w:color w:val="auto"/>
        </w:rPr>
      </w:pPr>
    </w:p>
    <w:p>
      <w:pPr>
        <w:jc w:val="center"/>
        <w:ind w:right="-199"/>
        <w:spacing w:after="0"/>
        <w:rPr>
          <w:sz w:val="20"/>
          <w:szCs w:val="20"/>
          <w:color w:val="auto"/>
        </w:rPr>
      </w:pPr>
      <w:r>
        <w:rPr>
          <w:rFonts w:ascii="Arial" w:cs="Arial" w:eastAsia="Arial" w:hAnsi="Arial"/>
          <w:sz w:val="48"/>
          <w:szCs w:val="48"/>
          <w:i w:val="1"/>
          <w:iCs w:val="1"/>
          <w:color w:val="auto"/>
          <w:vertAlign w:val="superscript"/>
        </w:rPr>
        <w:t>y</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1</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2</w:t>
      </w:r>
      <w:r>
        <w:rPr>
          <w:rFonts w:ascii="Arial" w:cs="Arial" w:eastAsia="Arial" w:hAnsi="Arial"/>
          <w:sz w:val="15"/>
          <w:szCs w:val="15"/>
          <w:i w:val="1"/>
          <w:iCs w:val="1"/>
          <w:color w:val="auto"/>
        </w:rPr>
        <w:t>it</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2</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3</w:t>
      </w:r>
      <w:r>
        <w:rPr>
          <w:rFonts w:ascii="Arial" w:cs="Arial" w:eastAsia="Arial" w:hAnsi="Arial"/>
          <w:sz w:val="15"/>
          <w:szCs w:val="15"/>
          <w:i w:val="1"/>
          <w:iCs w:val="1"/>
          <w:color w:val="auto"/>
        </w:rPr>
        <w:t>it</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3</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e</w:t>
      </w:r>
      <w:r>
        <w:rPr>
          <w:rFonts w:ascii="Arial" w:cs="Arial" w:eastAsia="Arial" w:hAnsi="Arial"/>
          <w:sz w:val="15"/>
          <w:szCs w:val="15"/>
          <w:i w:val="1"/>
          <w:iCs w:val="1"/>
          <w:color w:val="auto"/>
        </w:rPr>
        <w:t>it</w:t>
      </w:r>
    </w:p>
    <w:p>
      <w:pPr>
        <w:spacing w:after="0" w:line="189" w:lineRule="exact"/>
        <w:rPr>
          <w:sz w:val="20"/>
          <w:szCs w:val="20"/>
          <w:color w:val="auto"/>
        </w:rPr>
      </w:pPr>
    </w:p>
    <w:p>
      <w:pPr>
        <w:jc w:val="both"/>
        <w:ind w:left="260" w:right="20" w:firstLine="850"/>
        <w:spacing w:after="0" w:line="440" w:lineRule="auto"/>
        <w:rPr>
          <w:sz w:val="20"/>
          <w:szCs w:val="20"/>
          <w:color w:val="auto"/>
        </w:rPr>
      </w:pPr>
      <w:r>
        <w:rPr>
          <w:rFonts w:ascii="Arial" w:cs="Arial" w:eastAsia="Arial" w:hAnsi="Arial"/>
          <w:sz w:val="23"/>
          <w:szCs w:val="23"/>
          <w:color w:val="auto"/>
        </w:rPr>
        <w:t>O método Cross Section pode ser realizado por meio de três modelos de estimação que são: i) Modelo de regressão aparentemente não relacionadas (SUR); ii) Modelo de variável binárias — efeitos fixos — e iii) modelo de componentes estocásti-cos — efeitos aleatórios — (HILL, 2010). Serão testados os três métodos buscando selecionar o mais adequado ao modelo econométrico e ao conjunto de dados.</w:t>
      </w:r>
    </w:p>
    <w:p>
      <w:pPr>
        <w:spacing w:after="0" w:line="69" w:lineRule="exact"/>
        <w:rPr>
          <w:sz w:val="20"/>
          <w:szCs w:val="20"/>
          <w:color w:val="auto"/>
        </w:rPr>
      </w:pPr>
    </w:p>
    <w:p>
      <w:pPr>
        <w:jc w:val="both"/>
        <w:ind w:left="260" w:right="20" w:firstLine="850"/>
        <w:spacing w:after="0" w:line="408" w:lineRule="auto"/>
        <w:rPr>
          <w:sz w:val="20"/>
          <w:szCs w:val="20"/>
          <w:color w:val="auto"/>
        </w:rPr>
      </w:pPr>
      <w:r>
        <w:rPr>
          <w:rFonts w:ascii="Arial" w:cs="Arial" w:eastAsia="Arial" w:hAnsi="Arial"/>
          <w:sz w:val="24"/>
          <w:szCs w:val="24"/>
          <w:color w:val="auto"/>
        </w:rPr>
        <w:t>No modelo de regressão de dados aparentemente não relacionados — SUR —, os parâmetros dos diferentes grupos em corte transversal diferem entre si, porém são constantes ao longo do tempo. Os modelos podem ser estimados com suas funções de forma conjunta ou separada, onde esta última é indicada quando há correlação dos erros (HILL, 2010)</w:t>
      </w:r>
    </w:p>
    <w:p>
      <w:pPr>
        <w:spacing w:after="0" w:line="2" w:lineRule="exact"/>
        <w:rPr>
          <w:sz w:val="20"/>
          <w:szCs w:val="20"/>
          <w:color w:val="auto"/>
        </w:rPr>
      </w:pPr>
    </w:p>
    <w:p>
      <w:pPr>
        <w:jc w:val="center"/>
        <w:ind w:right="-199"/>
        <w:spacing w:after="0"/>
        <w:rPr>
          <w:sz w:val="20"/>
          <w:szCs w:val="20"/>
          <w:color w:val="auto"/>
        </w:rPr>
      </w:pPr>
      <w:r>
        <w:rPr>
          <w:rFonts w:ascii="Arial" w:cs="Arial" w:eastAsia="Arial" w:hAnsi="Arial"/>
          <w:sz w:val="48"/>
          <w:szCs w:val="48"/>
          <w:i w:val="1"/>
          <w:iCs w:val="1"/>
          <w:color w:val="auto"/>
          <w:vertAlign w:val="superscript"/>
        </w:rPr>
        <w:t>y</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1</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2</w:t>
      </w:r>
      <w:r>
        <w:rPr>
          <w:rFonts w:ascii="Arial" w:cs="Arial" w:eastAsia="Arial" w:hAnsi="Arial"/>
          <w:sz w:val="15"/>
          <w:szCs w:val="15"/>
          <w:i w:val="1"/>
          <w:iCs w:val="1"/>
          <w:color w:val="auto"/>
        </w:rPr>
        <w:t>i</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2</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3</w:t>
      </w:r>
      <w:r>
        <w:rPr>
          <w:rFonts w:ascii="Arial" w:cs="Arial" w:eastAsia="Arial" w:hAnsi="Arial"/>
          <w:sz w:val="15"/>
          <w:szCs w:val="15"/>
          <w:i w:val="1"/>
          <w:iCs w:val="1"/>
          <w:color w:val="auto"/>
        </w:rPr>
        <w:t>i</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3</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e</w:t>
      </w:r>
      <w:r>
        <w:rPr>
          <w:rFonts w:ascii="Arial" w:cs="Arial" w:eastAsia="Arial" w:hAnsi="Arial"/>
          <w:sz w:val="15"/>
          <w:szCs w:val="15"/>
          <w:i w:val="1"/>
          <w:iCs w:val="1"/>
          <w:color w:val="auto"/>
        </w:rPr>
        <w:t>it</w:t>
      </w:r>
    </w:p>
    <w:p>
      <w:pPr>
        <w:spacing w:after="0" w:line="149" w:lineRule="exact"/>
        <w:rPr>
          <w:sz w:val="20"/>
          <w:szCs w:val="20"/>
          <w:color w:val="auto"/>
        </w:rPr>
      </w:pPr>
    </w:p>
    <w:p>
      <w:pPr>
        <w:jc w:val="both"/>
        <w:ind w:left="260" w:right="20" w:firstLine="850"/>
        <w:spacing w:after="0" w:line="406" w:lineRule="auto"/>
        <w:rPr>
          <w:sz w:val="20"/>
          <w:szCs w:val="20"/>
          <w:color w:val="auto"/>
        </w:rPr>
      </w:pPr>
      <w:r>
        <w:rPr>
          <w:rFonts w:ascii="Arial" w:cs="Arial" w:eastAsia="Arial" w:hAnsi="Arial"/>
          <w:sz w:val="24"/>
          <w:szCs w:val="24"/>
          <w:color w:val="auto"/>
        </w:rPr>
        <w:t>No modelo de variável binárias — ou efeitos fixos —, o intercepto é abordado como um parâmetro desconhecido e fixo, onde as inferências são aplicadas somente ao cojunto de dados dos grupos do corte transversal do qual está disponível (HILL, 2010).</w:t>
      </w:r>
    </w:p>
    <w:p>
      <w:pPr>
        <w:spacing w:after="0" w:line="2" w:lineRule="exact"/>
        <w:rPr>
          <w:sz w:val="20"/>
          <w:szCs w:val="20"/>
          <w:color w:val="auto"/>
        </w:rPr>
      </w:pPr>
    </w:p>
    <w:p>
      <w:pPr>
        <w:ind w:left="1700"/>
        <w:spacing w:after="0"/>
        <w:rPr>
          <w:sz w:val="20"/>
          <w:szCs w:val="20"/>
          <w:color w:val="auto"/>
        </w:rPr>
      </w:pPr>
      <w:r>
        <w:rPr>
          <w:rFonts w:ascii="Arial" w:cs="Arial" w:eastAsia="Arial" w:hAnsi="Arial"/>
          <w:sz w:val="48"/>
          <w:szCs w:val="48"/>
          <w:i w:val="1"/>
          <w:iCs w:val="1"/>
          <w:color w:val="auto"/>
          <w:vertAlign w:val="superscript"/>
        </w:rPr>
        <w:t>y</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11</w:t>
      </w:r>
      <w:r>
        <w:rPr>
          <w:rFonts w:ascii="Arial" w:cs="Arial" w:eastAsia="Arial" w:hAnsi="Arial"/>
          <w:sz w:val="48"/>
          <w:szCs w:val="48"/>
          <w:i w:val="1"/>
          <w:iCs w:val="1"/>
          <w:color w:val="auto"/>
          <w:vertAlign w:val="superscript"/>
        </w:rPr>
        <w:t>D</w:t>
      </w:r>
      <w:r>
        <w:rPr>
          <w:rFonts w:ascii="Arial" w:cs="Arial" w:eastAsia="Arial" w:hAnsi="Arial"/>
          <w:sz w:val="15"/>
          <w:szCs w:val="15"/>
          <w:color w:val="auto"/>
        </w:rPr>
        <w:t>1</w:t>
      </w:r>
      <w:r>
        <w:rPr>
          <w:rFonts w:ascii="Arial" w:cs="Arial" w:eastAsia="Arial" w:hAnsi="Arial"/>
          <w:sz w:val="15"/>
          <w:szCs w:val="15"/>
          <w:i w:val="1"/>
          <w:iCs w:val="1"/>
          <w:color w:val="auto"/>
        </w:rPr>
        <w:t>i</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12</w:t>
      </w:r>
      <w:r>
        <w:rPr>
          <w:rFonts w:ascii="Arial" w:cs="Arial" w:eastAsia="Arial" w:hAnsi="Arial"/>
          <w:sz w:val="48"/>
          <w:szCs w:val="48"/>
          <w:i w:val="1"/>
          <w:iCs w:val="1"/>
          <w:color w:val="auto"/>
          <w:vertAlign w:val="superscript"/>
        </w:rPr>
        <w:t>D</w:t>
      </w:r>
      <w:r>
        <w:rPr>
          <w:rFonts w:ascii="Arial" w:cs="Arial" w:eastAsia="Arial" w:hAnsi="Arial"/>
          <w:sz w:val="15"/>
          <w:szCs w:val="15"/>
          <w:color w:val="auto"/>
        </w:rPr>
        <w:t>2</w:t>
      </w:r>
      <w:r>
        <w:rPr>
          <w:rFonts w:ascii="Arial" w:cs="Arial" w:eastAsia="Arial" w:hAnsi="Arial"/>
          <w:sz w:val="15"/>
          <w:szCs w:val="15"/>
          <w:i w:val="1"/>
          <w:iCs w:val="1"/>
          <w:color w:val="auto"/>
        </w:rPr>
        <w:t>i</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1</w:t>
      </w:r>
      <w:r>
        <w:rPr>
          <w:rFonts w:ascii="Arial" w:cs="Arial" w:eastAsia="Arial" w:hAnsi="Arial"/>
          <w:sz w:val="15"/>
          <w:szCs w:val="15"/>
          <w:i w:val="1"/>
          <w:iCs w:val="1"/>
          <w:color w:val="auto"/>
        </w:rPr>
        <w:t>,</w:t>
      </w:r>
      <w:r>
        <w:rPr>
          <w:rFonts w:ascii="Arial" w:cs="Arial" w:eastAsia="Arial" w:hAnsi="Arial"/>
          <w:sz w:val="15"/>
          <w:szCs w:val="15"/>
          <w:color w:val="auto"/>
        </w:rPr>
        <w:t>10</w:t>
      </w:r>
      <w:r>
        <w:rPr>
          <w:rFonts w:ascii="Arial" w:cs="Arial" w:eastAsia="Arial" w:hAnsi="Arial"/>
          <w:sz w:val="48"/>
          <w:szCs w:val="48"/>
          <w:i w:val="1"/>
          <w:iCs w:val="1"/>
          <w:color w:val="auto"/>
          <w:vertAlign w:val="superscript"/>
        </w:rPr>
        <w:t>D</w:t>
      </w:r>
      <w:r>
        <w:rPr>
          <w:rFonts w:ascii="Arial" w:cs="Arial" w:eastAsia="Arial" w:hAnsi="Arial"/>
          <w:sz w:val="15"/>
          <w:szCs w:val="15"/>
          <w:color w:val="auto"/>
        </w:rPr>
        <w:t>10</w:t>
      </w:r>
      <w:r>
        <w:rPr>
          <w:rFonts w:ascii="Arial" w:cs="Arial" w:eastAsia="Arial" w:hAnsi="Arial"/>
          <w:sz w:val="15"/>
          <w:szCs w:val="15"/>
          <w:i w:val="1"/>
          <w:iCs w:val="1"/>
          <w:color w:val="auto"/>
        </w:rPr>
        <w:t>i</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2</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2</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3</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3</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e</w:t>
      </w:r>
      <w:r>
        <w:rPr>
          <w:rFonts w:ascii="Arial" w:cs="Arial" w:eastAsia="Arial" w:hAnsi="Arial"/>
          <w:sz w:val="15"/>
          <w:szCs w:val="15"/>
          <w:i w:val="1"/>
          <w:iCs w:val="1"/>
          <w:color w:val="auto"/>
        </w:rPr>
        <w:t>it</w:t>
      </w:r>
    </w:p>
    <w:p>
      <w:pPr>
        <w:sectPr>
          <w:pgSz w:w="11900" w:h="16838" w:orient="portrait"/>
          <w:cols w:equalWidth="0" w:num="1">
            <w:col w:w="9380"/>
          </w:cols>
          <w:pgMar w:left="1440" w:top="991" w:right="1086" w:bottom="183" w:gutter="0" w:footer="0" w:header="0"/>
        </w:sectPr>
      </w:pPr>
    </w:p>
    <w:p>
      <w:pPr>
        <w:ind w:left="9060"/>
        <w:spacing w:after="0"/>
        <w:rPr>
          <w:sz w:val="20"/>
          <w:szCs w:val="20"/>
          <w:color w:val="auto"/>
        </w:rPr>
      </w:pPr>
      <w:r>
        <w:rPr>
          <w:rFonts w:ascii="Arial" w:cs="Arial" w:eastAsia="Arial" w:hAnsi="Arial"/>
          <w:sz w:val="24"/>
          <w:szCs w:val="24"/>
          <w:color w:val="auto"/>
        </w:rPr>
        <w:t>53</w:t>
      </w:r>
    </w:p>
    <w:p>
      <w:pPr>
        <w:spacing w:after="0" w:line="200" w:lineRule="exact"/>
        <w:rPr>
          <w:sz w:val="20"/>
          <w:szCs w:val="20"/>
          <w:color w:val="auto"/>
        </w:rPr>
      </w:pPr>
    </w:p>
    <w:p>
      <w:pPr>
        <w:spacing w:after="0" w:line="246"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O modelo de componentes estocásticos — ou efeitos aleatórios —, considera cada grupo do conjunto de dados como uma amostra aleatória de uma população maior, onde os interceptos são encarrados como resultados aleatórios da distribuição populacional de interceptos de grupos, realizando assim uma inferência da população de grupos (HILL, 2010).</w:t>
      </w:r>
    </w:p>
    <w:p>
      <w:pPr>
        <w:spacing w:after="0" w:line="178" w:lineRule="exact"/>
        <w:rPr>
          <w:sz w:val="20"/>
          <w:szCs w:val="20"/>
          <w:color w:val="auto"/>
        </w:rPr>
      </w:pPr>
    </w:p>
    <w:p>
      <w:pPr>
        <w:jc w:val="center"/>
        <w:ind w:right="-219"/>
        <w:spacing w:after="0"/>
        <w:rPr>
          <w:sz w:val="20"/>
          <w:szCs w:val="20"/>
          <w:color w:val="auto"/>
        </w:rPr>
      </w:pPr>
      <w:r>
        <w:rPr>
          <w:rFonts w:ascii="Arial" w:cs="Arial" w:eastAsia="Arial" w:hAnsi="Arial"/>
          <w:sz w:val="48"/>
          <w:szCs w:val="48"/>
          <w:i w:val="1"/>
          <w:iCs w:val="1"/>
          <w:color w:val="auto"/>
          <w:vertAlign w:val="superscript"/>
        </w:rPr>
        <w:t>y</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1</w:t>
      </w:r>
      <w:r>
        <w:rPr>
          <w:rFonts w:ascii="Arial" w:cs="Arial" w:eastAsia="Arial" w:hAnsi="Arial"/>
          <w:sz w:val="15"/>
          <w:szCs w:val="15"/>
          <w:i w:val="1"/>
          <w:iCs w:val="1"/>
          <w:color w:val="auto"/>
        </w:rPr>
        <w:t>i</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2</w:t>
      </w:r>
      <w:r>
        <w:rPr>
          <w:rFonts w:ascii="Arial" w:cs="Arial" w:eastAsia="Arial" w:hAnsi="Arial"/>
          <w:sz w:val="15"/>
          <w:szCs w:val="15"/>
          <w:i w:val="1"/>
          <w:iCs w:val="1"/>
          <w:color w:val="auto"/>
        </w:rPr>
        <w:t>it</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2</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3</w:t>
      </w:r>
      <w:r>
        <w:rPr>
          <w:rFonts w:ascii="Arial" w:cs="Arial" w:eastAsia="Arial" w:hAnsi="Arial"/>
          <w:sz w:val="15"/>
          <w:szCs w:val="15"/>
          <w:i w:val="1"/>
          <w:iCs w:val="1"/>
          <w:color w:val="auto"/>
        </w:rPr>
        <w:t>it</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3</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e</w:t>
      </w:r>
      <w:r>
        <w:rPr>
          <w:rFonts w:ascii="Arial" w:cs="Arial" w:eastAsia="Arial" w:hAnsi="Arial"/>
          <w:sz w:val="15"/>
          <w:szCs w:val="15"/>
          <w:i w:val="1"/>
          <w:iCs w:val="1"/>
          <w:color w:val="auto"/>
        </w:rPr>
        <w:t>it</w:t>
      </w:r>
    </w:p>
    <w:p>
      <w:pPr>
        <w:spacing w:after="0" w:line="328"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Diante os pressupostos, o primeiro modelo irá verificar a influência das va-riações de variáveis componentes explícitas e implícitas do Spread Ex-post, tendo no primeiro bloco variáveis microeconômicas e o segundo bloco as variáveis macroe-conômicas, selecionando para o segundo modelo final somente as que apresentarem significância estatística.</w:t>
      </w:r>
    </w:p>
    <w:p>
      <w:pPr>
        <w:spacing w:after="0" w:line="108" w:lineRule="exact"/>
        <w:rPr>
          <w:sz w:val="20"/>
          <w:szCs w:val="20"/>
          <w:color w:val="auto"/>
        </w:rPr>
      </w:pPr>
    </w:p>
    <w:p>
      <w:pPr>
        <w:ind w:left="1740"/>
        <w:spacing w:after="0"/>
        <w:rPr>
          <w:sz w:val="20"/>
          <w:szCs w:val="20"/>
          <w:color w:val="auto"/>
        </w:rPr>
      </w:pPr>
      <w:r>
        <w:rPr>
          <w:rFonts w:ascii="Arial" w:cs="Arial" w:eastAsia="Arial" w:hAnsi="Arial"/>
          <w:sz w:val="24"/>
          <w:szCs w:val="24"/>
          <w:i w:val="1"/>
          <w:iCs w:val="1"/>
          <w:color w:val="auto"/>
        </w:rPr>
        <w:t>SprEp</w:t>
      </w:r>
      <w:r>
        <w:rPr>
          <w:rFonts w:ascii="Arial" w:cs="Arial" w:eastAsia="Arial" w:hAnsi="Arial"/>
          <w:sz w:val="24"/>
          <w:szCs w:val="24"/>
          <w:color w:val="auto"/>
        </w:rPr>
        <w:t xml:space="preserve"> =</w:t>
      </w:r>
      <w:r>
        <w:rPr>
          <w:rFonts w:ascii="Arial" w:cs="Arial" w:eastAsia="Arial" w:hAnsi="Arial"/>
          <w:sz w:val="24"/>
          <w:szCs w:val="24"/>
          <w:i w:val="1"/>
          <w:iCs w:val="1"/>
          <w:color w:val="auto"/>
        </w:rPr>
        <w:t>f</w:t>
      </w:r>
      <w:r>
        <w:rPr>
          <w:rFonts w:ascii="Arial" w:cs="Arial" w:eastAsia="Arial" w:hAnsi="Arial"/>
          <w:sz w:val="24"/>
          <w:szCs w:val="24"/>
          <w:color w:val="auto"/>
        </w:rPr>
        <w:t>(</w:t>
      </w:r>
      <w:r>
        <w:rPr>
          <w:rFonts w:ascii="Arial" w:cs="Arial" w:eastAsia="Arial" w:hAnsi="Arial"/>
          <w:sz w:val="24"/>
          <w:szCs w:val="24"/>
          <w:i w:val="1"/>
          <w:iCs w:val="1"/>
          <w:color w:val="auto"/>
        </w:rPr>
        <w:t>EP r, EAv, EAp, Atv, ImpInd, ImpId,</w:t>
      </w:r>
    </w:p>
    <w:p>
      <w:pPr>
        <w:spacing w:after="0" w:line="353" w:lineRule="exact"/>
        <w:rPr>
          <w:sz w:val="20"/>
          <w:szCs w:val="20"/>
          <w:color w:val="auto"/>
        </w:rPr>
      </w:pPr>
    </w:p>
    <w:p>
      <w:pPr>
        <w:ind w:left="2700" w:right="1520"/>
        <w:spacing w:after="0" w:line="469" w:lineRule="auto"/>
        <w:rPr>
          <w:sz w:val="20"/>
          <w:szCs w:val="20"/>
          <w:color w:val="auto"/>
        </w:rPr>
      </w:pPr>
      <w:r>
        <w:rPr>
          <w:rFonts w:ascii="Arial" w:cs="Arial" w:eastAsia="Arial" w:hAnsi="Arial"/>
          <w:sz w:val="23"/>
          <w:szCs w:val="23"/>
          <w:i w:val="1"/>
          <w:iCs w:val="1"/>
          <w:color w:val="auto"/>
        </w:rPr>
        <w:t>Inad, M Lq, DAdm, Jcp, M Sh, HHI, T Ins, OCap, CIns, Sel, Ipca, Comp, M P ag, V M o, SprEa</w:t>
      </w:r>
      <w:r>
        <w:rPr>
          <w:rFonts w:ascii="Arial" w:cs="Arial" w:eastAsia="Arial" w:hAnsi="Arial"/>
          <w:sz w:val="23"/>
          <w:szCs w:val="23"/>
          <w:color w:val="auto"/>
        </w:rPr>
        <w:t>)</w:t>
      </w:r>
    </w:p>
    <w:p>
      <w:pPr>
        <w:spacing w:after="0" w:line="154" w:lineRule="exact"/>
        <w:rPr>
          <w:sz w:val="20"/>
          <w:szCs w:val="20"/>
          <w:color w:val="auto"/>
        </w:rPr>
      </w:pPr>
    </w:p>
    <w:p>
      <w:pPr>
        <w:jc w:val="both"/>
        <w:ind w:left="260" w:right="40" w:firstLine="850"/>
        <w:spacing w:after="0" w:line="447" w:lineRule="auto"/>
        <w:rPr>
          <w:sz w:val="20"/>
          <w:szCs w:val="20"/>
          <w:color w:val="auto"/>
        </w:rPr>
      </w:pPr>
      <w:r>
        <w:rPr>
          <w:rFonts w:ascii="Arial" w:cs="Arial" w:eastAsia="Arial" w:hAnsi="Arial"/>
          <w:sz w:val="23"/>
          <w:szCs w:val="23"/>
          <w:color w:val="auto"/>
        </w:rPr>
        <w:t>Na construção do primeiro modelo econométrico serão adotadas simplificações para variáveis de resultado, eliminando as que possuem caráter constante, as obtidas por meio de resultado e por não possuirem dados, utilizando uma proxy.</w:t>
      </w:r>
    </w:p>
    <w:p>
      <w:pPr>
        <w:spacing w:after="0" w:line="42" w:lineRule="exact"/>
        <w:rPr>
          <w:sz w:val="20"/>
          <w:szCs w:val="20"/>
          <w:color w:val="auto"/>
        </w:rPr>
      </w:pPr>
    </w:p>
    <w:p>
      <w:pPr>
        <w:ind w:left="1020"/>
        <w:spacing w:after="0"/>
        <w:rPr>
          <w:sz w:val="20"/>
          <w:szCs w:val="20"/>
          <w:color w:val="auto"/>
        </w:rPr>
      </w:pPr>
      <w:r>
        <w:rPr>
          <w:rFonts w:ascii="Arial" w:cs="Arial" w:eastAsia="Arial" w:hAnsi="Arial"/>
          <w:sz w:val="24"/>
          <w:szCs w:val="24"/>
          <w:i w:val="1"/>
          <w:iCs w:val="1"/>
          <w:color w:val="auto"/>
        </w:rPr>
        <w:t>SprEp</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0</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EP r</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2</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EAv</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3</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EAp</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w:t>
      </w:r>
    </w:p>
    <w:p>
      <w:pPr>
        <w:spacing w:after="0" w:line="181" w:lineRule="exact"/>
        <w:rPr>
          <w:sz w:val="20"/>
          <w:szCs w:val="20"/>
          <w:color w:val="auto"/>
        </w:rPr>
      </w:pPr>
    </w:p>
    <w:p>
      <w:pPr>
        <w:ind w:left="2080" w:right="800"/>
        <w:spacing w:after="0" w:line="336" w:lineRule="auto"/>
        <w:rPr>
          <w:sz w:val="20"/>
          <w:szCs w:val="20"/>
          <w:color w:val="auto"/>
        </w:rPr>
      </w:pPr>
      <w:r>
        <w:rPr>
          <w:rFonts w:ascii="Arial" w:cs="Arial" w:eastAsia="Arial" w:hAnsi="Arial"/>
          <w:sz w:val="22"/>
          <w:szCs w:val="22"/>
          <w:i w:val="1"/>
          <w:iCs w:val="1"/>
          <w:color w:val="auto"/>
        </w:rPr>
        <w:t>β</w:t>
      </w:r>
      <w:r>
        <w:rPr>
          <w:rFonts w:ascii="Arial" w:cs="Arial" w:eastAsia="Arial" w:hAnsi="Arial"/>
          <w:sz w:val="29"/>
          <w:szCs w:val="29"/>
          <w:color w:val="auto"/>
          <w:vertAlign w:val="subscript"/>
        </w:rPr>
        <w:t>4</w:t>
      </w:r>
      <w:r>
        <w:rPr>
          <w:rFonts w:ascii="Arial" w:cs="Arial" w:eastAsia="Arial" w:hAnsi="Arial"/>
          <w:sz w:val="29"/>
          <w:szCs w:val="29"/>
          <w:i w:val="1"/>
          <w:iCs w:val="1"/>
          <w:color w:val="auto"/>
          <w:vertAlign w:val="subscript"/>
        </w:rPr>
        <w:t>it</w:t>
      </w:r>
      <w:r>
        <w:rPr>
          <w:rFonts w:ascii="Arial" w:cs="Arial" w:eastAsia="Arial" w:hAnsi="Arial"/>
          <w:sz w:val="22"/>
          <w:szCs w:val="22"/>
          <w:i w:val="1"/>
          <w:iCs w:val="1"/>
          <w:color w:val="auto"/>
        </w:rPr>
        <w:t>M Apl</w:t>
      </w:r>
      <w:r>
        <w:rPr>
          <w:rFonts w:ascii="Arial" w:cs="Arial" w:eastAsia="Arial" w:hAnsi="Arial"/>
          <w:sz w:val="29"/>
          <w:szCs w:val="29"/>
          <w:i w:val="1"/>
          <w:iCs w:val="1"/>
          <w:color w:val="auto"/>
          <w:vertAlign w:val="subscript"/>
        </w:rPr>
        <w:t>it</w:t>
      </w:r>
      <w:r>
        <w:rPr>
          <w:rFonts w:ascii="Arial" w:cs="Arial" w:eastAsia="Arial" w:hAnsi="Arial"/>
          <w:sz w:val="22"/>
          <w:szCs w:val="22"/>
          <w:color w:val="auto"/>
        </w:rPr>
        <w:t xml:space="preserve"> +</w:t>
      </w:r>
      <w:r>
        <w:rPr>
          <w:rFonts w:ascii="Arial" w:cs="Arial" w:eastAsia="Arial" w:hAnsi="Arial"/>
          <w:sz w:val="22"/>
          <w:szCs w:val="22"/>
          <w:color w:val="auto"/>
        </w:rPr>
        <w:t xml:space="preserve"> </w:t>
      </w:r>
      <w:r>
        <w:rPr>
          <w:rFonts w:ascii="Arial" w:cs="Arial" w:eastAsia="Arial" w:hAnsi="Arial"/>
          <w:sz w:val="22"/>
          <w:szCs w:val="22"/>
          <w:i w:val="1"/>
          <w:iCs w:val="1"/>
          <w:color w:val="auto"/>
        </w:rPr>
        <w:t>β</w:t>
      </w:r>
      <w:r>
        <w:rPr>
          <w:rFonts w:ascii="Arial" w:cs="Arial" w:eastAsia="Arial" w:hAnsi="Arial"/>
          <w:sz w:val="29"/>
          <w:szCs w:val="29"/>
          <w:color w:val="auto"/>
          <w:vertAlign w:val="subscript"/>
        </w:rPr>
        <w:t>5</w:t>
      </w:r>
      <w:r>
        <w:rPr>
          <w:rFonts w:ascii="Arial" w:cs="Arial" w:eastAsia="Arial" w:hAnsi="Arial"/>
          <w:sz w:val="29"/>
          <w:szCs w:val="29"/>
          <w:i w:val="1"/>
          <w:iCs w:val="1"/>
          <w:color w:val="auto"/>
          <w:vertAlign w:val="subscript"/>
        </w:rPr>
        <w:t>it</w:t>
      </w:r>
      <w:r>
        <w:rPr>
          <w:rFonts w:ascii="Arial" w:cs="Arial" w:eastAsia="Arial" w:hAnsi="Arial"/>
          <w:sz w:val="22"/>
          <w:szCs w:val="22"/>
          <w:i w:val="1"/>
          <w:iCs w:val="1"/>
          <w:color w:val="auto"/>
        </w:rPr>
        <w:t>Jcp</w:t>
      </w:r>
      <w:r>
        <w:rPr>
          <w:rFonts w:ascii="Arial" w:cs="Arial" w:eastAsia="Arial" w:hAnsi="Arial"/>
          <w:sz w:val="29"/>
          <w:szCs w:val="29"/>
          <w:i w:val="1"/>
          <w:iCs w:val="1"/>
          <w:color w:val="auto"/>
          <w:vertAlign w:val="subscript"/>
        </w:rPr>
        <w:t>it</w:t>
      </w:r>
      <w:r>
        <w:rPr>
          <w:rFonts w:ascii="Arial" w:cs="Arial" w:eastAsia="Arial" w:hAnsi="Arial"/>
          <w:sz w:val="22"/>
          <w:szCs w:val="22"/>
          <w:color w:val="auto"/>
        </w:rPr>
        <w:t xml:space="preserve"> +</w:t>
      </w:r>
      <w:r>
        <w:rPr>
          <w:rFonts w:ascii="Arial" w:cs="Arial" w:eastAsia="Arial" w:hAnsi="Arial"/>
          <w:sz w:val="22"/>
          <w:szCs w:val="22"/>
          <w:color w:val="auto"/>
        </w:rPr>
        <w:t xml:space="preserve"> </w:t>
      </w:r>
      <w:r>
        <w:rPr>
          <w:rFonts w:ascii="Arial" w:cs="Arial" w:eastAsia="Arial" w:hAnsi="Arial"/>
          <w:sz w:val="22"/>
          <w:szCs w:val="22"/>
          <w:i w:val="1"/>
          <w:iCs w:val="1"/>
          <w:color w:val="auto"/>
        </w:rPr>
        <w:t>β</w:t>
      </w:r>
      <w:r>
        <w:rPr>
          <w:rFonts w:ascii="Arial" w:cs="Arial" w:eastAsia="Arial" w:hAnsi="Arial"/>
          <w:sz w:val="29"/>
          <w:szCs w:val="29"/>
          <w:color w:val="auto"/>
          <w:vertAlign w:val="subscript"/>
        </w:rPr>
        <w:t>6</w:t>
      </w:r>
      <w:r>
        <w:rPr>
          <w:rFonts w:ascii="Arial" w:cs="Arial" w:eastAsia="Arial" w:hAnsi="Arial"/>
          <w:sz w:val="29"/>
          <w:szCs w:val="29"/>
          <w:i w:val="1"/>
          <w:iCs w:val="1"/>
          <w:color w:val="auto"/>
          <w:vertAlign w:val="subscript"/>
        </w:rPr>
        <w:t>it</w:t>
      </w:r>
      <w:r>
        <w:rPr>
          <w:rFonts w:ascii="Arial" w:cs="Arial" w:eastAsia="Arial" w:hAnsi="Arial"/>
          <w:sz w:val="22"/>
          <w:szCs w:val="22"/>
          <w:i w:val="1"/>
          <w:iCs w:val="1"/>
          <w:color w:val="auto"/>
        </w:rPr>
        <w:t>lnAtv</w:t>
      </w:r>
      <w:r>
        <w:rPr>
          <w:rFonts w:ascii="Arial" w:cs="Arial" w:eastAsia="Arial" w:hAnsi="Arial"/>
          <w:sz w:val="29"/>
          <w:szCs w:val="29"/>
          <w:i w:val="1"/>
          <w:iCs w:val="1"/>
          <w:color w:val="auto"/>
          <w:vertAlign w:val="subscript"/>
        </w:rPr>
        <w:t>it</w:t>
      </w:r>
      <w:r>
        <w:rPr>
          <w:rFonts w:ascii="Arial" w:cs="Arial" w:eastAsia="Arial" w:hAnsi="Arial"/>
          <w:sz w:val="22"/>
          <w:szCs w:val="22"/>
          <w:color w:val="auto"/>
        </w:rPr>
        <w:t xml:space="preserve"> +</w:t>
      </w:r>
      <w:r>
        <w:rPr>
          <w:rFonts w:ascii="Arial" w:cs="Arial" w:eastAsia="Arial" w:hAnsi="Arial"/>
          <w:sz w:val="22"/>
          <w:szCs w:val="22"/>
          <w:color w:val="auto"/>
        </w:rPr>
        <w:t xml:space="preserve"> </w:t>
      </w:r>
      <w:r>
        <w:rPr>
          <w:rFonts w:ascii="Arial" w:cs="Arial" w:eastAsia="Arial" w:hAnsi="Arial"/>
          <w:sz w:val="22"/>
          <w:szCs w:val="22"/>
          <w:i w:val="1"/>
          <w:iCs w:val="1"/>
          <w:color w:val="auto"/>
        </w:rPr>
        <w:t>β</w:t>
      </w:r>
      <w:r>
        <w:rPr>
          <w:rFonts w:ascii="Arial" w:cs="Arial" w:eastAsia="Arial" w:hAnsi="Arial"/>
          <w:sz w:val="29"/>
          <w:szCs w:val="29"/>
          <w:color w:val="auto"/>
          <w:vertAlign w:val="subscript"/>
        </w:rPr>
        <w:t>7</w:t>
      </w:r>
      <w:r>
        <w:rPr>
          <w:rFonts w:ascii="Arial" w:cs="Arial" w:eastAsia="Arial" w:hAnsi="Arial"/>
          <w:sz w:val="29"/>
          <w:szCs w:val="29"/>
          <w:i w:val="1"/>
          <w:iCs w:val="1"/>
          <w:color w:val="auto"/>
          <w:vertAlign w:val="subscript"/>
        </w:rPr>
        <w:t>it</w:t>
      </w:r>
      <w:r>
        <w:rPr>
          <w:rFonts w:ascii="Arial" w:cs="Arial" w:eastAsia="Arial" w:hAnsi="Arial"/>
          <w:sz w:val="22"/>
          <w:szCs w:val="22"/>
          <w:i w:val="1"/>
          <w:iCs w:val="1"/>
          <w:color w:val="auto"/>
        </w:rPr>
        <w:t>M Sh</w:t>
      </w:r>
      <w:r>
        <w:rPr>
          <w:rFonts w:ascii="Arial" w:cs="Arial" w:eastAsia="Arial" w:hAnsi="Arial"/>
          <w:sz w:val="29"/>
          <w:szCs w:val="29"/>
          <w:i w:val="1"/>
          <w:iCs w:val="1"/>
          <w:color w:val="auto"/>
          <w:vertAlign w:val="subscript"/>
        </w:rPr>
        <w:t>it</w:t>
      </w:r>
      <w:r>
        <w:rPr>
          <w:rFonts w:ascii="Arial" w:cs="Arial" w:eastAsia="Arial" w:hAnsi="Arial"/>
          <w:sz w:val="22"/>
          <w:szCs w:val="22"/>
          <w:color w:val="auto"/>
        </w:rPr>
        <w:t xml:space="preserve"> +</w:t>
      </w:r>
      <w:r>
        <w:rPr>
          <w:rFonts w:ascii="Arial" w:cs="Arial" w:eastAsia="Arial" w:hAnsi="Arial"/>
          <w:sz w:val="22"/>
          <w:szCs w:val="22"/>
          <w:color w:val="auto"/>
        </w:rPr>
        <w:t xml:space="preserve"> </w:t>
      </w:r>
      <w:r>
        <w:rPr>
          <w:rFonts w:ascii="Arial" w:cs="Arial" w:eastAsia="Arial" w:hAnsi="Arial"/>
          <w:sz w:val="22"/>
          <w:szCs w:val="22"/>
          <w:i w:val="1"/>
          <w:iCs w:val="1"/>
          <w:color w:val="auto"/>
        </w:rPr>
        <w:t>β</w:t>
      </w:r>
      <w:r>
        <w:rPr>
          <w:rFonts w:ascii="Arial" w:cs="Arial" w:eastAsia="Arial" w:hAnsi="Arial"/>
          <w:sz w:val="29"/>
          <w:szCs w:val="29"/>
          <w:color w:val="auto"/>
          <w:vertAlign w:val="subscript"/>
        </w:rPr>
        <w:t>8</w:t>
      </w:r>
      <w:r>
        <w:rPr>
          <w:rFonts w:ascii="Arial" w:cs="Arial" w:eastAsia="Arial" w:hAnsi="Arial"/>
          <w:sz w:val="29"/>
          <w:szCs w:val="29"/>
          <w:i w:val="1"/>
          <w:iCs w:val="1"/>
          <w:color w:val="auto"/>
          <w:vertAlign w:val="subscript"/>
        </w:rPr>
        <w:t>it</w:t>
      </w:r>
      <w:r>
        <w:rPr>
          <w:rFonts w:ascii="Arial" w:cs="Arial" w:eastAsia="Arial" w:hAnsi="Arial"/>
          <w:sz w:val="22"/>
          <w:szCs w:val="22"/>
          <w:i w:val="1"/>
          <w:iCs w:val="1"/>
          <w:color w:val="auto"/>
        </w:rPr>
        <w:t>HHI</w:t>
      </w:r>
      <w:r>
        <w:rPr>
          <w:rFonts w:ascii="Arial" w:cs="Arial" w:eastAsia="Arial" w:hAnsi="Arial"/>
          <w:sz w:val="29"/>
          <w:szCs w:val="29"/>
          <w:i w:val="1"/>
          <w:iCs w:val="1"/>
          <w:color w:val="auto"/>
          <w:vertAlign w:val="subscript"/>
        </w:rPr>
        <w:t>t</w:t>
      </w:r>
      <w:r>
        <w:rPr>
          <w:rFonts w:ascii="Arial" w:cs="Arial" w:eastAsia="Arial" w:hAnsi="Arial"/>
          <w:sz w:val="22"/>
          <w:szCs w:val="22"/>
          <w:color w:val="auto"/>
        </w:rPr>
        <w:t>+</w:t>
      </w:r>
      <w:r>
        <w:rPr>
          <w:rFonts w:ascii="Arial" w:cs="Arial" w:eastAsia="Arial" w:hAnsi="Arial"/>
          <w:sz w:val="22"/>
          <w:szCs w:val="22"/>
          <w:i w:val="1"/>
          <w:iCs w:val="1"/>
          <w:color w:val="auto"/>
        </w:rPr>
        <w:t xml:space="preserve"> β</w:t>
      </w:r>
      <w:r>
        <w:rPr>
          <w:rFonts w:ascii="Arial" w:cs="Arial" w:eastAsia="Arial" w:hAnsi="Arial"/>
          <w:sz w:val="29"/>
          <w:szCs w:val="29"/>
          <w:color w:val="auto"/>
          <w:vertAlign w:val="subscript"/>
        </w:rPr>
        <w:t>9</w:t>
      </w:r>
      <w:r>
        <w:rPr>
          <w:rFonts w:ascii="Arial" w:cs="Arial" w:eastAsia="Arial" w:hAnsi="Arial"/>
          <w:sz w:val="29"/>
          <w:szCs w:val="29"/>
          <w:i w:val="1"/>
          <w:iCs w:val="1"/>
          <w:color w:val="auto"/>
          <w:vertAlign w:val="subscript"/>
        </w:rPr>
        <w:t>it</w:t>
      </w:r>
      <w:r>
        <w:rPr>
          <w:rFonts w:ascii="Arial" w:cs="Arial" w:eastAsia="Arial" w:hAnsi="Arial"/>
          <w:sz w:val="22"/>
          <w:szCs w:val="22"/>
          <w:i w:val="1"/>
          <w:iCs w:val="1"/>
          <w:color w:val="auto"/>
        </w:rPr>
        <w:t>T Ins</w:t>
      </w:r>
      <w:r>
        <w:rPr>
          <w:rFonts w:ascii="Arial" w:cs="Arial" w:eastAsia="Arial" w:hAnsi="Arial"/>
          <w:sz w:val="22"/>
          <w:szCs w:val="22"/>
          <w:color w:val="auto"/>
        </w:rPr>
        <w:t xml:space="preserve"> +</w:t>
      </w:r>
      <w:r>
        <w:rPr>
          <w:rFonts w:ascii="Arial" w:cs="Arial" w:eastAsia="Arial" w:hAnsi="Arial"/>
          <w:sz w:val="22"/>
          <w:szCs w:val="22"/>
          <w:color w:val="auto"/>
        </w:rPr>
        <w:t xml:space="preserve"> </w:t>
      </w:r>
      <w:r>
        <w:rPr>
          <w:rFonts w:ascii="Arial" w:cs="Arial" w:eastAsia="Arial" w:hAnsi="Arial"/>
          <w:sz w:val="22"/>
          <w:szCs w:val="22"/>
          <w:i w:val="1"/>
          <w:iCs w:val="1"/>
          <w:color w:val="auto"/>
        </w:rPr>
        <w:t>β</w:t>
      </w:r>
      <w:r>
        <w:rPr>
          <w:rFonts w:ascii="Arial" w:cs="Arial" w:eastAsia="Arial" w:hAnsi="Arial"/>
          <w:sz w:val="29"/>
          <w:szCs w:val="29"/>
          <w:color w:val="auto"/>
          <w:vertAlign w:val="subscript"/>
        </w:rPr>
        <w:t>10</w:t>
      </w:r>
      <w:r>
        <w:rPr>
          <w:rFonts w:ascii="Arial" w:cs="Arial" w:eastAsia="Arial" w:hAnsi="Arial"/>
          <w:sz w:val="29"/>
          <w:szCs w:val="29"/>
          <w:i w:val="1"/>
          <w:iCs w:val="1"/>
          <w:color w:val="auto"/>
          <w:vertAlign w:val="subscript"/>
        </w:rPr>
        <w:t>it</w:t>
      </w:r>
      <w:r>
        <w:rPr>
          <w:rFonts w:ascii="Arial" w:cs="Arial" w:eastAsia="Arial" w:hAnsi="Arial"/>
          <w:sz w:val="22"/>
          <w:szCs w:val="22"/>
          <w:i w:val="1"/>
          <w:iCs w:val="1"/>
          <w:color w:val="auto"/>
        </w:rPr>
        <w:t>OCap</w:t>
      </w:r>
      <w:r>
        <w:rPr>
          <w:rFonts w:ascii="Arial" w:cs="Arial" w:eastAsia="Arial" w:hAnsi="Arial"/>
          <w:sz w:val="22"/>
          <w:szCs w:val="22"/>
          <w:color w:val="auto"/>
        </w:rPr>
        <w:t xml:space="preserve"> +</w:t>
      </w:r>
      <w:r>
        <w:rPr>
          <w:rFonts w:ascii="Arial" w:cs="Arial" w:eastAsia="Arial" w:hAnsi="Arial"/>
          <w:sz w:val="22"/>
          <w:szCs w:val="22"/>
          <w:color w:val="auto"/>
        </w:rPr>
        <w:t xml:space="preserve"> </w:t>
      </w:r>
      <w:r>
        <w:rPr>
          <w:rFonts w:ascii="Arial" w:cs="Arial" w:eastAsia="Arial" w:hAnsi="Arial"/>
          <w:sz w:val="22"/>
          <w:szCs w:val="22"/>
          <w:i w:val="1"/>
          <w:iCs w:val="1"/>
          <w:color w:val="auto"/>
        </w:rPr>
        <w:t>β</w:t>
      </w:r>
      <w:r>
        <w:rPr>
          <w:rFonts w:ascii="Arial" w:cs="Arial" w:eastAsia="Arial" w:hAnsi="Arial"/>
          <w:sz w:val="29"/>
          <w:szCs w:val="29"/>
          <w:color w:val="auto"/>
          <w:vertAlign w:val="subscript"/>
        </w:rPr>
        <w:t>11</w:t>
      </w:r>
      <w:r>
        <w:rPr>
          <w:rFonts w:ascii="Arial" w:cs="Arial" w:eastAsia="Arial" w:hAnsi="Arial"/>
          <w:sz w:val="29"/>
          <w:szCs w:val="29"/>
          <w:i w:val="1"/>
          <w:iCs w:val="1"/>
          <w:color w:val="auto"/>
          <w:vertAlign w:val="subscript"/>
        </w:rPr>
        <w:t>it</w:t>
      </w:r>
      <w:r>
        <w:rPr>
          <w:rFonts w:ascii="Arial" w:cs="Arial" w:eastAsia="Arial" w:hAnsi="Arial"/>
          <w:sz w:val="22"/>
          <w:szCs w:val="22"/>
          <w:i w:val="1"/>
          <w:iCs w:val="1"/>
          <w:color w:val="auto"/>
        </w:rPr>
        <w:t>CIns</w:t>
      </w:r>
      <w:r>
        <w:rPr>
          <w:rFonts w:ascii="Arial" w:cs="Arial" w:eastAsia="Arial" w:hAnsi="Arial"/>
          <w:sz w:val="22"/>
          <w:szCs w:val="22"/>
          <w:color w:val="auto"/>
        </w:rPr>
        <w:t xml:space="preserve"> +</w:t>
      </w:r>
      <w:r>
        <w:rPr>
          <w:rFonts w:ascii="Arial" w:cs="Arial" w:eastAsia="Arial" w:hAnsi="Arial"/>
          <w:sz w:val="22"/>
          <w:szCs w:val="22"/>
          <w:color w:val="auto"/>
        </w:rPr>
        <w:t xml:space="preserve"> </w:t>
      </w:r>
      <w:r>
        <w:rPr>
          <w:rFonts w:ascii="Arial" w:cs="Arial" w:eastAsia="Arial" w:hAnsi="Arial"/>
          <w:sz w:val="22"/>
          <w:szCs w:val="22"/>
          <w:i w:val="1"/>
          <w:iCs w:val="1"/>
          <w:color w:val="auto"/>
        </w:rPr>
        <w:t>β</w:t>
      </w:r>
      <w:r>
        <w:rPr>
          <w:rFonts w:ascii="Arial" w:cs="Arial" w:eastAsia="Arial" w:hAnsi="Arial"/>
          <w:sz w:val="29"/>
          <w:szCs w:val="29"/>
          <w:color w:val="auto"/>
          <w:vertAlign w:val="subscript"/>
        </w:rPr>
        <w:t>12</w:t>
      </w:r>
      <w:r>
        <w:rPr>
          <w:rFonts w:ascii="Arial" w:cs="Arial" w:eastAsia="Arial" w:hAnsi="Arial"/>
          <w:sz w:val="29"/>
          <w:szCs w:val="29"/>
          <w:i w:val="1"/>
          <w:iCs w:val="1"/>
          <w:color w:val="auto"/>
          <w:vertAlign w:val="subscript"/>
        </w:rPr>
        <w:t>it</w:t>
      </w:r>
      <w:r>
        <w:rPr>
          <w:rFonts w:ascii="Arial" w:cs="Arial" w:eastAsia="Arial" w:hAnsi="Arial"/>
          <w:sz w:val="22"/>
          <w:szCs w:val="22"/>
          <w:i w:val="1"/>
          <w:iCs w:val="1"/>
          <w:color w:val="auto"/>
        </w:rPr>
        <w:t>Sel</w:t>
      </w:r>
      <w:r>
        <w:rPr>
          <w:rFonts w:ascii="Arial" w:cs="Arial" w:eastAsia="Arial" w:hAnsi="Arial"/>
          <w:sz w:val="29"/>
          <w:szCs w:val="29"/>
          <w:i w:val="1"/>
          <w:iCs w:val="1"/>
          <w:color w:val="auto"/>
          <w:vertAlign w:val="subscript"/>
        </w:rPr>
        <w:t>t</w:t>
      </w:r>
      <w:r>
        <w:rPr>
          <w:rFonts w:ascii="Arial" w:cs="Arial" w:eastAsia="Arial" w:hAnsi="Arial"/>
          <w:sz w:val="29"/>
          <w:szCs w:val="29"/>
          <w:color w:val="auto"/>
          <w:vertAlign w:val="subscript"/>
        </w:rPr>
        <w:t>−1</w:t>
      </w:r>
      <w:r>
        <w:rPr>
          <w:rFonts w:ascii="Arial" w:cs="Arial" w:eastAsia="Arial" w:hAnsi="Arial"/>
          <w:sz w:val="22"/>
          <w:szCs w:val="22"/>
          <w:color w:val="auto"/>
        </w:rPr>
        <w:t xml:space="preserve"> +</w:t>
      </w:r>
      <w:r>
        <w:rPr>
          <w:rFonts w:ascii="Arial" w:cs="Arial" w:eastAsia="Arial" w:hAnsi="Arial"/>
          <w:sz w:val="22"/>
          <w:szCs w:val="22"/>
          <w:color w:val="auto"/>
        </w:rPr>
        <w:t xml:space="preserve"> </w:t>
      </w:r>
      <w:r>
        <w:rPr>
          <w:rFonts w:ascii="Arial" w:cs="Arial" w:eastAsia="Arial" w:hAnsi="Arial"/>
          <w:sz w:val="22"/>
          <w:szCs w:val="22"/>
          <w:i w:val="1"/>
          <w:iCs w:val="1"/>
          <w:color w:val="auto"/>
        </w:rPr>
        <w:t>β</w:t>
      </w:r>
      <w:r>
        <w:rPr>
          <w:rFonts w:ascii="Arial" w:cs="Arial" w:eastAsia="Arial" w:hAnsi="Arial"/>
          <w:sz w:val="29"/>
          <w:szCs w:val="29"/>
          <w:color w:val="auto"/>
          <w:vertAlign w:val="subscript"/>
        </w:rPr>
        <w:t>13</w:t>
      </w:r>
      <w:r>
        <w:rPr>
          <w:rFonts w:ascii="Arial" w:cs="Arial" w:eastAsia="Arial" w:hAnsi="Arial"/>
          <w:sz w:val="29"/>
          <w:szCs w:val="29"/>
          <w:i w:val="1"/>
          <w:iCs w:val="1"/>
          <w:color w:val="auto"/>
          <w:vertAlign w:val="subscript"/>
        </w:rPr>
        <w:t>it</w:t>
      </w:r>
      <w:r>
        <w:rPr>
          <w:rFonts w:ascii="Arial" w:cs="Arial" w:eastAsia="Arial" w:hAnsi="Arial"/>
          <w:sz w:val="22"/>
          <w:szCs w:val="22"/>
          <w:i w:val="1"/>
          <w:iCs w:val="1"/>
          <w:color w:val="auto"/>
        </w:rPr>
        <w:t>Ipca</w:t>
      </w:r>
      <w:r>
        <w:rPr>
          <w:rFonts w:ascii="Arial" w:cs="Arial" w:eastAsia="Arial" w:hAnsi="Arial"/>
          <w:sz w:val="29"/>
          <w:szCs w:val="29"/>
          <w:i w:val="1"/>
          <w:iCs w:val="1"/>
          <w:color w:val="auto"/>
          <w:vertAlign w:val="subscript"/>
        </w:rPr>
        <w:t>t</w:t>
      </w:r>
      <w:r>
        <w:rPr>
          <w:rFonts w:ascii="Arial" w:cs="Arial" w:eastAsia="Arial" w:hAnsi="Arial"/>
          <w:sz w:val="29"/>
          <w:szCs w:val="29"/>
          <w:color w:val="auto"/>
          <w:vertAlign w:val="subscript"/>
        </w:rPr>
        <w:t>−1</w:t>
      </w:r>
      <w:r>
        <w:rPr>
          <w:rFonts w:ascii="Arial" w:cs="Arial" w:eastAsia="Arial" w:hAnsi="Arial"/>
          <w:sz w:val="22"/>
          <w:szCs w:val="22"/>
          <w:color w:val="auto"/>
        </w:rPr>
        <w:t>+</w:t>
      </w:r>
      <w:r>
        <w:rPr>
          <w:rFonts w:ascii="Arial" w:cs="Arial" w:eastAsia="Arial" w:hAnsi="Arial"/>
          <w:sz w:val="43"/>
          <w:szCs w:val="43"/>
          <w:i w:val="1"/>
          <w:iCs w:val="1"/>
          <w:color w:val="auto"/>
        </w:rPr>
        <w:t xml:space="preserve"> </w:t>
      </w:r>
      <w:r>
        <w:rPr>
          <w:rFonts w:ascii="Arial" w:cs="Arial" w:eastAsia="Arial" w:hAnsi="Arial"/>
          <w:sz w:val="43"/>
          <w:szCs w:val="43"/>
          <w:i w:val="1"/>
          <w:iCs w:val="1"/>
          <w:color w:val="auto"/>
          <w:vertAlign w:val="superscript"/>
        </w:rPr>
        <w:t>β</w:t>
      </w:r>
      <w:r>
        <w:rPr>
          <w:rFonts w:ascii="Arial" w:cs="Arial" w:eastAsia="Arial" w:hAnsi="Arial"/>
          <w:sz w:val="14"/>
          <w:szCs w:val="14"/>
          <w:color w:val="auto"/>
        </w:rPr>
        <w:t>14</w:t>
      </w:r>
      <w:r>
        <w:rPr>
          <w:rFonts w:ascii="Arial" w:cs="Arial" w:eastAsia="Arial" w:hAnsi="Arial"/>
          <w:sz w:val="14"/>
          <w:szCs w:val="14"/>
          <w:i w:val="1"/>
          <w:iCs w:val="1"/>
          <w:color w:val="auto"/>
        </w:rPr>
        <w:t>it</w:t>
      </w:r>
      <w:r>
        <w:rPr>
          <w:rFonts w:ascii="Arial" w:cs="Arial" w:eastAsia="Arial" w:hAnsi="Arial"/>
          <w:sz w:val="43"/>
          <w:szCs w:val="43"/>
          <w:i w:val="1"/>
          <w:iCs w:val="1"/>
          <w:color w:val="auto"/>
          <w:vertAlign w:val="superscript"/>
        </w:rPr>
        <w:t>Com</w:t>
      </w:r>
      <w:r>
        <w:rPr>
          <w:rFonts w:ascii="Arial" w:cs="Arial" w:eastAsia="Arial" w:hAnsi="Arial"/>
          <w:sz w:val="14"/>
          <w:szCs w:val="14"/>
          <w:i w:val="1"/>
          <w:iCs w:val="1"/>
          <w:color w:val="auto"/>
        </w:rPr>
        <w:t>t</w:t>
      </w:r>
      <w:r>
        <w:rPr>
          <w:rFonts w:ascii="Arial" w:cs="Arial" w:eastAsia="Arial" w:hAnsi="Arial"/>
          <w:sz w:val="43"/>
          <w:szCs w:val="43"/>
          <w:color w:val="auto"/>
        </w:rPr>
        <w:t xml:space="preserve"> </w:t>
      </w:r>
      <w:r>
        <w:rPr>
          <w:rFonts w:ascii="Arial" w:cs="Arial" w:eastAsia="Arial" w:hAnsi="Arial"/>
          <w:sz w:val="43"/>
          <w:szCs w:val="43"/>
          <w:color w:val="auto"/>
          <w:vertAlign w:val="superscript"/>
        </w:rPr>
        <w:t>+</w:t>
      </w:r>
      <w:r>
        <w:rPr>
          <w:rFonts w:ascii="Arial" w:cs="Arial" w:eastAsia="Arial" w:hAnsi="Arial"/>
          <w:sz w:val="43"/>
          <w:szCs w:val="43"/>
          <w:color w:val="auto"/>
        </w:rPr>
        <w:t xml:space="preserve"> </w:t>
      </w:r>
      <w:r>
        <w:rPr>
          <w:rFonts w:ascii="Arial" w:cs="Arial" w:eastAsia="Arial" w:hAnsi="Arial"/>
          <w:sz w:val="43"/>
          <w:szCs w:val="43"/>
          <w:i w:val="1"/>
          <w:iCs w:val="1"/>
          <w:color w:val="auto"/>
          <w:vertAlign w:val="superscript"/>
        </w:rPr>
        <w:t>β</w:t>
      </w:r>
      <w:r>
        <w:rPr>
          <w:rFonts w:ascii="Arial" w:cs="Arial" w:eastAsia="Arial" w:hAnsi="Arial"/>
          <w:sz w:val="14"/>
          <w:szCs w:val="14"/>
          <w:color w:val="auto"/>
        </w:rPr>
        <w:t>15</w:t>
      </w:r>
      <w:r>
        <w:rPr>
          <w:rFonts w:ascii="Arial" w:cs="Arial" w:eastAsia="Arial" w:hAnsi="Arial"/>
          <w:sz w:val="14"/>
          <w:szCs w:val="14"/>
          <w:i w:val="1"/>
          <w:iCs w:val="1"/>
          <w:color w:val="auto"/>
        </w:rPr>
        <w:t>it</w:t>
      </w:r>
      <w:r>
        <w:rPr>
          <w:rFonts w:ascii="Arial" w:cs="Arial" w:eastAsia="Arial" w:hAnsi="Arial"/>
          <w:sz w:val="43"/>
          <w:szCs w:val="43"/>
          <w:i w:val="1"/>
          <w:iCs w:val="1"/>
          <w:color w:val="auto"/>
          <w:vertAlign w:val="superscript"/>
        </w:rPr>
        <w:t>M pag</w:t>
      </w:r>
      <w:r>
        <w:rPr>
          <w:rFonts w:ascii="Arial" w:cs="Arial" w:eastAsia="Arial" w:hAnsi="Arial"/>
          <w:sz w:val="14"/>
          <w:szCs w:val="14"/>
          <w:i w:val="1"/>
          <w:iCs w:val="1"/>
          <w:color w:val="auto"/>
        </w:rPr>
        <w:t>t</w:t>
      </w:r>
      <w:r>
        <w:rPr>
          <w:rFonts w:ascii="Arial" w:cs="Arial" w:eastAsia="Arial" w:hAnsi="Arial"/>
          <w:sz w:val="14"/>
          <w:szCs w:val="14"/>
          <w:color w:val="auto"/>
        </w:rPr>
        <w:t>−1</w:t>
      </w:r>
      <w:r>
        <w:rPr>
          <w:rFonts w:ascii="Arial" w:cs="Arial" w:eastAsia="Arial" w:hAnsi="Arial"/>
          <w:sz w:val="43"/>
          <w:szCs w:val="43"/>
          <w:color w:val="auto"/>
        </w:rPr>
        <w:t xml:space="preserve"> </w:t>
      </w:r>
      <w:r>
        <w:rPr>
          <w:rFonts w:ascii="Arial" w:cs="Arial" w:eastAsia="Arial" w:hAnsi="Arial"/>
          <w:sz w:val="43"/>
          <w:szCs w:val="43"/>
          <w:color w:val="auto"/>
          <w:vertAlign w:val="superscript"/>
        </w:rPr>
        <w:t>+</w:t>
      </w:r>
      <w:r>
        <w:rPr>
          <w:rFonts w:ascii="Arial" w:cs="Arial" w:eastAsia="Arial" w:hAnsi="Arial"/>
          <w:sz w:val="43"/>
          <w:szCs w:val="43"/>
          <w:color w:val="auto"/>
        </w:rPr>
        <w:t xml:space="preserve"> </w:t>
      </w:r>
      <w:r>
        <w:rPr>
          <w:rFonts w:ascii="Arial" w:cs="Arial" w:eastAsia="Arial" w:hAnsi="Arial"/>
          <w:sz w:val="43"/>
          <w:szCs w:val="43"/>
          <w:i w:val="1"/>
          <w:iCs w:val="1"/>
          <w:color w:val="auto"/>
          <w:vertAlign w:val="superscript"/>
        </w:rPr>
        <w:t>β</w:t>
      </w:r>
      <w:r>
        <w:rPr>
          <w:rFonts w:ascii="Arial" w:cs="Arial" w:eastAsia="Arial" w:hAnsi="Arial"/>
          <w:sz w:val="14"/>
          <w:szCs w:val="14"/>
          <w:color w:val="auto"/>
        </w:rPr>
        <w:t>16</w:t>
      </w:r>
      <w:r>
        <w:rPr>
          <w:rFonts w:ascii="Arial" w:cs="Arial" w:eastAsia="Arial" w:hAnsi="Arial"/>
          <w:sz w:val="14"/>
          <w:szCs w:val="14"/>
          <w:i w:val="1"/>
          <w:iCs w:val="1"/>
          <w:color w:val="auto"/>
        </w:rPr>
        <w:t>it</w:t>
      </w:r>
      <w:r>
        <w:rPr>
          <w:rFonts w:ascii="Arial" w:cs="Arial" w:eastAsia="Arial" w:hAnsi="Arial"/>
          <w:sz w:val="43"/>
          <w:szCs w:val="43"/>
          <w:i w:val="1"/>
          <w:iCs w:val="1"/>
          <w:color w:val="auto"/>
          <w:vertAlign w:val="superscript"/>
        </w:rPr>
        <w:t>V M o</w:t>
      </w:r>
      <w:r>
        <w:rPr>
          <w:rFonts w:ascii="Arial" w:cs="Arial" w:eastAsia="Arial" w:hAnsi="Arial"/>
          <w:sz w:val="14"/>
          <w:szCs w:val="14"/>
          <w:i w:val="1"/>
          <w:iCs w:val="1"/>
          <w:color w:val="auto"/>
        </w:rPr>
        <w:t>t</w:t>
      </w:r>
      <w:r>
        <w:rPr>
          <w:rFonts w:ascii="Arial" w:cs="Arial" w:eastAsia="Arial" w:hAnsi="Arial"/>
          <w:sz w:val="14"/>
          <w:szCs w:val="14"/>
          <w:color w:val="auto"/>
        </w:rPr>
        <w:t>−1</w:t>
      </w:r>
      <w:r>
        <w:rPr>
          <w:rFonts w:ascii="Arial" w:cs="Arial" w:eastAsia="Arial" w:hAnsi="Arial"/>
          <w:sz w:val="43"/>
          <w:szCs w:val="43"/>
          <w:color w:val="auto"/>
        </w:rPr>
        <w:t xml:space="preserve"> </w:t>
      </w:r>
      <w:r>
        <w:rPr>
          <w:rFonts w:ascii="Arial" w:cs="Arial" w:eastAsia="Arial" w:hAnsi="Arial"/>
          <w:sz w:val="43"/>
          <w:szCs w:val="43"/>
          <w:color w:val="auto"/>
          <w:vertAlign w:val="superscript"/>
        </w:rPr>
        <w:t>+</w:t>
      </w:r>
      <w:r>
        <w:rPr>
          <w:rFonts w:ascii="Arial" w:cs="Arial" w:eastAsia="Arial" w:hAnsi="Arial"/>
          <w:sz w:val="43"/>
          <w:szCs w:val="43"/>
          <w:color w:val="auto"/>
        </w:rPr>
        <w:t xml:space="preserve"> </w:t>
      </w:r>
      <w:r>
        <w:rPr>
          <w:rFonts w:ascii="Arial" w:cs="Arial" w:eastAsia="Arial" w:hAnsi="Arial"/>
          <w:sz w:val="43"/>
          <w:szCs w:val="43"/>
          <w:i w:val="1"/>
          <w:iCs w:val="1"/>
          <w:color w:val="auto"/>
          <w:vertAlign w:val="superscript"/>
        </w:rPr>
        <w:t>β</w:t>
      </w:r>
      <w:r>
        <w:rPr>
          <w:rFonts w:ascii="Arial" w:cs="Arial" w:eastAsia="Arial" w:hAnsi="Arial"/>
          <w:sz w:val="14"/>
          <w:szCs w:val="14"/>
          <w:color w:val="auto"/>
        </w:rPr>
        <w:t>17</w:t>
      </w:r>
      <w:r>
        <w:rPr>
          <w:rFonts w:ascii="Arial" w:cs="Arial" w:eastAsia="Arial" w:hAnsi="Arial"/>
          <w:sz w:val="14"/>
          <w:szCs w:val="14"/>
          <w:i w:val="1"/>
          <w:iCs w:val="1"/>
          <w:color w:val="auto"/>
        </w:rPr>
        <w:t>t</w:t>
      </w:r>
      <w:r>
        <w:rPr>
          <w:rFonts w:ascii="Arial" w:cs="Arial" w:eastAsia="Arial" w:hAnsi="Arial"/>
          <w:sz w:val="43"/>
          <w:szCs w:val="43"/>
          <w:i w:val="1"/>
          <w:iCs w:val="1"/>
          <w:color w:val="auto"/>
          <w:vertAlign w:val="superscript"/>
        </w:rPr>
        <w:t>SprEa</w:t>
      </w:r>
      <w:r>
        <w:rPr>
          <w:rFonts w:ascii="Arial" w:cs="Arial" w:eastAsia="Arial" w:hAnsi="Arial"/>
          <w:sz w:val="14"/>
          <w:szCs w:val="14"/>
          <w:i w:val="1"/>
          <w:iCs w:val="1"/>
          <w:color w:val="auto"/>
        </w:rPr>
        <w:t>t</w:t>
      </w:r>
      <w:r>
        <w:rPr>
          <w:rFonts w:ascii="Arial" w:cs="Arial" w:eastAsia="Arial" w:hAnsi="Arial"/>
          <w:sz w:val="14"/>
          <w:szCs w:val="14"/>
          <w:color w:val="auto"/>
        </w:rPr>
        <w:t>−1</w:t>
      </w:r>
    </w:p>
    <w:p>
      <w:pPr>
        <w:spacing w:after="0" w:line="3" w:lineRule="exact"/>
        <w:rPr>
          <w:sz w:val="20"/>
          <w:szCs w:val="20"/>
          <w:color w:val="auto"/>
        </w:rPr>
      </w:pPr>
    </w:p>
    <w:p>
      <w:pPr>
        <w:jc w:val="both"/>
        <w:ind w:left="260" w:right="40" w:firstLine="850"/>
        <w:spacing w:after="0" w:line="447" w:lineRule="auto"/>
        <w:rPr>
          <w:sz w:val="20"/>
          <w:szCs w:val="20"/>
          <w:color w:val="auto"/>
        </w:rPr>
      </w:pPr>
      <w:r>
        <w:rPr>
          <w:rFonts w:ascii="Arial" w:cs="Arial" w:eastAsia="Arial" w:hAnsi="Arial"/>
          <w:sz w:val="23"/>
          <w:szCs w:val="23"/>
          <w:color w:val="auto"/>
        </w:rPr>
        <w:t xml:space="preserve">O segundo modelo econométrico testará as variáveis implícitas e explícitas com significância estatística do primeiro modelo, atuando sobre a rentabilidade bancária </w:t>
      </w:r>
      <w:r>
        <w:rPr>
          <w:rFonts w:ascii="Arial" w:cs="Arial" w:eastAsia="Arial" w:hAnsi="Arial"/>
          <w:sz w:val="23"/>
          <w:szCs w:val="23"/>
          <w:i w:val="1"/>
          <w:iCs w:val="1"/>
          <w:color w:val="auto"/>
        </w:rPr>
        <w:t>Rent</w:t>
      </w:r>
      <w:r>
        <w:rPr>
          <w:rFonts w:ascii="Arial" w:cs="Arial" w:eastAsia="Arial" w:hAnsi="Arial"/>
          <w:sz w:val="23"/>
          <w:szCs w:val="23"/>
          <w:color w:val="auto"/>
        </w:rPr>
        <w:t>, conforme modelos especificados. Para a rentabilidade será considerada a razão</w:t>
      </w:r>
    </w:p>
    <w:p>
      <w:pPr>
        <w:sectPr>
          <w:pgSz w:w="11900" w:h="16838" w:orient="portrait"/>
          <w:cols w:equalWidth="0" w:num="1">
            <w:col w:w="9360"/>
          </w:cols>
          <w:pgMar w:left="1440" w:top="991" w:right="1106" w:bottom="1440" w:gutter="0" w:footer="0" w:header="0"/>
        </w:sectPr>
      </w:pPr>
    </w:p>
    <w:p>
      <w:pPr>
        <w:ind w:left="9060"/>
        <w:spacing w:after="0"/>
        <w:rPr>
          <w:sz w:val="20"/>
          <w:szCs w:val="20"/>
          <w:color w:val="auto"/>
        </w:rPr>
      </w:pPr>
      <w:r>
        <w:rPr>
          <w:rFonts w:ascii="Arial" w:cs="Arial" w:eastAsia="Arial" w:hAnsi="Arial"/>
          <w:sz w:val="24"/>
          <w:szCs w:val="24"/>
          <w:color w:val="auto"/>
        </w:rPr>
        <w:t>54</w:t>
      </w:r>
    </w:p>
    <w:p>
      <w:pPr>
        <w:spacing w:after="0" w:line="200" w:lineRule="exact"/>
        <w:rPr>
          <w:sz w:val="20"/>
          <w:szCs w:val="20"/>
          <w:color w:val="auto"/>
        </w:rPr>
      </w:pPr>
    </w:p>
    <w:p>
      <w:pPr>
        <w:spacing w:after="0" w:line="246" w:lineRule="exact"/>
        <w:rPr>
          <w:sz w:val="20"/>
          <w:szCs w:val="20"/>
          <w:color w:val="auto"/>
        </w:rPr>
      </w:pPr>
    </w:p>
    <w:p>
      <w:pPr>
        <w:ind w:left="260"/>
        <w:spacing w:after="0"/>
        <w:rPr>
          <w:sz w:val="20"/>
          <w:szCs w:val="20"/>
          <w:color w:val="auto"/>
        </w:rPr>
      </w:pPr>
      <w:r>
        <w:rPr>
          <w:rFonts w:ascii="Arial" w:cs="Arial" w:eastAsia="Arial" w:hAnsi="Arial"/>
          <w:sz w:val="24"/>
          <w:szCs w:val="24"/>
          <w:color w:val="auto"/>
        </w:rPr>
        <w:t>entre o lucro líquido (</w:t>
      </w:r>
      <w:r>
        <w:rPr>
          <w:rFonts w:ascii="Arial" w:cs="Arial" w:eastAsia="Arial" w:hAnsi="Arial"/>
          <w:sz w:val="24"/>
          <w:szCs w:val="24"/>
          <w:i w:val="1"/>
          <w:iCs w:val="1"/>
          <w:color w:val="auto"/>
        </w:rPr>
        <w:t>LcrLqd</w:t>
      </w:r>
      <w:r>
        <w:rPr>
          <w:rFonts w:ascii="Arial" w:cs="Arial" w:eastAsia="Arial" w:hAnsi="Arial"/>
          <w:sz w:val="24"/>
          <w:szCs w:val="24"/>
          <w:color w:val="auto"/>
        </w:rPr>
        <w:t>) e a Receita das Operações de crédito (</w:t>
      </w:r>
      <w:r>
        <w:rPr>
          <w:rFonts w:ascii="Arial" w:cs="Arial" w:eastAsia="Arial" w:hAnsi="Arial"/>
          <w:sz w:val="24"/>
          <w:szCs w:val="24"/>
          <w:i w:val="1"/>
          <w:iCs w:val="1"/>
          <w:color w:val="auto"/>
        </w:rPr>
        <w:t>RecOpCr</w:t>
      </w:r>
      <w:r>
        <w:rPr>
          <w:rFonts w:ascii="Arial" w:cs="Arial" w:eastAsia="Arial" w:hAnsi="Arial"/>
          <w:sz w:val="24"/>
          <w:szCs w:val="24"/>
          <w:color w:val="auto"/>
        </w:rPr>
        <w:t>).</w:t>
      </w:r>
    </w:p>
    <w:p>
      <w:pPr>
        <w:spacing w:after="0" w:line="290" w:lineRule="exact"/>
        <w:rPr>
          <w:sz w:val="20"/>
          <w:szCs w:val="20"/>
          <w:color w:val="auto"/>
        </w:rPr>
      </w:pPr>
    </w:p>
    <w:p>
      <w:pPr>
        <w:ind w:left="1100"/>
        <w:spacing w:after="0"/>
        <w:rPr>
          <w:sz w:val="20"/>
          <w:szCs w:val="20"/>
          <w:color w:val="auto"/>
        </w:rPr>
      </w:pPr>
      <w:r>
        <w:rPr>
          <w:rFonts w:ascii="Arial" w:cs="Arial" w:eastAsia="Arial" w:hAnsi="Arial"/>
          <w:sz w:val="24"/>
          <w:szCs w:val="24"/>
          <w:i w:val="1"/>
          <w:iCs w:val="1"/>
          <w:color w:val="auto"/>
        </w:rPr>
        <w:t>Rent</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0</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EP r</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2</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EAv</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3</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EAp</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w:t>
      </w:r>
    </w:p>
    <w:p>
      <w:pPr>
        <w:spacing w:after="0" w:line="181" w:lineRule="exact"/>
        <w:rPr>
          <w:sz w:val="20"/>
          <w:szCs w:val="20"/>
          <w:color w:val="auto"/>
        </w:rPr>
      </w:pPr>
    </w:p>
    <w:p>
      <w:pPr>
        <w:ind w:left="2000" w:right="880"/>
        <w:spacing w:after="0" w:line="336" w:lineRule="auto"/>
        <w:rPr>
          <w:sz w:val="20"/>
          <w:szCs w:val="20"/>
          <w:color w:val="auto"/>
        </w:rPr>
      </w:pPr>
      <w:r>
        <w:rPr>
          <w:rFonts w:ascii="Arial" w:cs="Arial" w:eastAsia="Arial" w:hAnsi="Arial"/>
          <w:sz w:val="22"/>
          <w:szCs w:val="22"/>
          <w:i w:val="1"/>
          <w:iCs w:val="1"/>
          <w:color w:val="auto"/>
        </w:rPr>
        <w:t>β</w:t>
      </w:r>
      <w:r>
        <w:rPr>
          <w:rFonts w:ascii="Arial" w:cs="Arial" w:eastAsia="Arial" w:hAnsi="Arial"/>
          <w:sz w:val="29"/>
          <w:szCs w:val="29"/>
          <w:color w:val="auto"/>
          <w:vertAlign w:val="subscript"/>
        </w:rPr>
        <w:t>4</w:t>
      </w:r>
      <w:r>
        <w:rPr>
          <w:rFonts w:ascii="Arial" w:cs="Arial" w:eastAsia="Arial" w:hAnsi="Arial"/>
          <w:sz w:val="29"/>
          <w:szCs w:val="29"/>
          <w:i w:val="1"/>
          <w:iCs w:val="1"/>
          <w:color w:val="auto"/>
          <w:vertAlign w:val="subscript"/>
        </w:rPr>
        <w:t>it</w:t>
      </w:r>
      <w:r>
        <w:rPr>
          <w:rFonts w:ascii="Arial" w:cs="Arial" w:eastAsia="Arial" w:hAnsi="Arial"/>
          <w:sz w:val="22"/>
          <w:szCs w:val="22"/>
          <w:i w:val="1"/>
          <w:iCs w:val="1"/>
          <w:color w:val="auto"/>
        </w:rPr>
        <w:t>M Apl</w:t>
      </w:r>
      <w:r>
        <w:rPr>
          <w:rFonts w:ascii="Arial" w:cs="Arial" w:eastAsia="Arial" w:hAnsi="Arial"/>
          <w:sz w:val="29"/>
          <w:szCs w:val="29"/>
          <w:i w:val="1"/>
          <w:iCs w:val="1"/>
          <w:color w:val="auto"/>
          <w:vertAlign w:val="subscript"/>
        </w:rPr>
        <w:t>it</w:t>
      </w:r>
      <w:r>
        <w:rPr>
          <w:rFonts w:ascii="Arial" w:cs="Arial" w:eastAsia="Arial" w:hAnsi="Arial"/>
          <w:sz w:val="22"/>
          <w:szCs w:val="22"/>
          <w:color w:val="auto"/>
        </w:rPr>
        <w:t xml:space="preserve"> +</w:t>
      </w:r>
      <w:r>
        <w:rPr>
          <w:rFonts w:ascii="Arial" w:cs="Arial" w:eastAsia="Arial" w:hAnsi="Arial"/>
          <w:sz w:val="22"/>
          <w:szCs w:val="22"/>
          <w:color w:val="auto"/>
        </w:rPr>
        <w:t xml:space="preserve"> </w:t>
      </w:r>
      <w:r>
        <w:rPr>
          <w:rFonts w:ascii="Arial" w:cs="Arial" w:eastAsia="Arial" w:hAnsi="Arial"/>
          <w:sz w:val="22"/>
          <w:szCs w:val="22"/>
          <w:i w:val="1"/>
          <w:iCs w:val="1"/>
          <w:color w:val="auto"/>
        </w:rPr>
        <w:t>β</w:t>
      </w:r>
      <w:r>
        <w:rPr>
          <w:rFonts w:ascii="Arial" w:cs="Arial" w:eastAsia="Arial" w:hAnsi="Arial"/>
          <w:sz w:val="29"/>
          <w:szCs w:val="29"/>
          <w:color w:val="auto"/>
          <w:vertAlign w:val="subscript"/>
        </w:rPr>
        <w:t>5</w:t>
      </w:r>
      <w:r>
        <w:rPr>
          <w:rFonts w:ascii="Arial" w:cs="Arial" w:eastAsia="Arial" w:hAnsi="Arial"/>
          <w:sz w:val="29"/>
          <w:szCs w:val="29"/>
          <w:i w:val="1"/>
          <w:iCs w:val="1"/>
          <w:color w:val="auto"/>
          <w:vertAlign w:val="subscript"/>
        </w:rPr>
        <w:t>it</w:t>
      </w:r>
      <w:r>
        <w:rPr>
          <w:rFonts w:ascii="Arial" w:cs="Arial" w:eastAsia="Arial" w:hAnsi="Arial"/>
          <w:sz w:val="22"/>
          <w:szCs w:val="22"/>
          <w:i w:val="1"/>
          <w:iCs w:val="1"/>
          <w:color w:val="auto"/>
        </w:rPr>
        <w:t>Jcp</w:t>
      </w:r>
      <w:r>
        <w:rPr>
          <w:rFonts w:ascii="Arial" w:cs="Arial" w:eastAsia="Arial" w:hAnsi="Arial"/>
          <w:sz w:val="29"/>
          <w:szCs w:val="29"/>
          <w:i w:val="1"/>
          <w:iCs w:val="1"/>
          <w:color w:val="auto"/>
          <w:vertAlign w:val="subscript"/>
        </w:rPr>
        <w:t>it</w:t>
      </w:r>
      <w:r>
        <w:rPr>
          <w:rFonts w:ascii="Arial" w:cs="Arial" w:eastAsia="Arial" w:hAnsi="Arial"/>
          <w:sz w:val="22"/>
          <w:szCs w:val="22"/>
          <w:color w:val="auto"/>
        </w:rPr>
        <w:t xml:space="preserve"> +</w:t>
      </w:r>
      <w:r>
        <w:rPr>
          <w:rFonts w:ascii="Arial" w:cs="Arial" w:eastAsia="Arial" w:hAnsi="Arial"/>
          <w:sz w:val="22"/>
          <w:szCs w:val="22"/>
          <w:color w:val="auto"/>
        </w:rPr>
        <w:t xml:space="preserve"> </w:t>
      </w:r>
      <w:r>
        <w:rPr>
          <w:rFonts w:ascii="Arial" w:cs="Arial" w:eastAsia="Arial" w:hAnsi="Arial"/>
          <w:sz w:val="22"/>
          <w:szCs w:val="22"/>
          <w:i w:val="1"/>
          <w:iCs w:val="1"/>
          <w:color w:val="auto"/>
        </w:rPr>
        <w:t>β</w:t>
      </w:r>
      <w:r>
        <w:rPr>
          <w:rFonts w:ascii="Arial" w:cs="Arial" w:eastAsia="Arial" w:hAnsi="Arial"/>
          <w:sz w:val="29"/>
          <w:szCs w:val="29"/>
          <w:color w:val="auto"/>
          <w:vertAlign w:val="subscript"/>
        </w:rPr>
        <w:t>6</w:t>
      </w:r>
      <w:r>
        <w:rPr>
          <w:rFonts w:ascii="Arial" w:cs="Arial" w:eastAsia="Arial" w:hAnsi="Arial"/>
          <w:sz w:val="29"/>
          <w:szCs w:val="29"/>
          <w:i w:val="1"/>
          <w:iCs w:val="1"/>
          <w:color w:val="auto"/>
          <w:vertAlign w:val="subscript"/>
        </w:rPr>
        <w:t>it</w:t>
      </w:r>
      <w:r>
        <w:rPr>
          <w:rFonts w:ascii="Arial" w:cs="Arial" w:eastAsia="Arial" w:hAnsi="Arial"/>
          <w:sz w:val="22"/>
          <w:szCs w:val="22"/>
          <w:i w:val="1"/>
          <w:iCs w:val="1"/>
          <w:color w:val="auto"/>
        </w:rPr>
        <w:t>lnAtv</w:t>
      </w:r>
      <w:r>
        <w:rPr>
          <w:rFonts w:ascii="Arial" w:cs="Arial" w:eastAsia="Arial" w:hAnsi="Arial"/>
          <w:sz w:val="29"/>
          <w:szCs w:val="29"/>
          <w:i w:val="1"/>
          <w:iCs w:val="1"/>
          <w:color w:val="auto"/>
          <w:vertAlign w:val="subscript"/>
        </w:rPr>
        <w:t>it</w:t>
      </w:r>
      <w:r>
        <w:rPr>
          <w:rFonts w:ascii="Arial" w:cs="Arial" w:eastAsia="Arial" w:hAnsi="Arial"/>
          <w:sz w:val="22"/>
          <w:szCs w:val="22"/>
          <w:color w:val="auto"/>
        </w:rPr>
        <w:t xml:space="preserve"> +</w:t>
      </w:r>
      <w:r>
        <w:rPr>
          <w:rFonts w:ascii="Arial" w:cs="Arial" w:eastAsia="Arial" w:hAnsi="Arial"/>
          <w:sz w:val="22"/>
          <w:szCs w:val="22"/>
          <w:color w:val="auto"/>
        </w:rPr>
        <w:t xml:space="preserve"> </w:t>
      </w:r>
      <w:r>
        <w:rPr>
          <w:rFonts w:ascii="Arial" w:cs="Arial" w:eastAsia="Arial" w:hAnsi="Arial"/>
          <w:sz w:val="22"/>
          <w:szCs w:val="22"/>
          <w:i w:val="1"/>
          <w:iCs w:val="1"/>
          <w:color w:val="auto"/>
        </w:rPr>
        <w:t>β</w:t>
      </w:r>
      <w:r>
        <w:rPr>
          <w:rFonts w:ascii="Arial" w:cs="Arial" w:eastAsia="Arial" w:hAnsi="Arial"/>
          <w:sz w:val="29"/>
          <w:szCs w:val="29"/>
          <w:color w:val="auto"/>
          <w:vertAlign w:val="subscript"/>
        </w:rPr>
        <w:t>7</w:t>
      </w:r>
      <w:r>
        <w:rPr>
          <w:rFonts w:ascii="Arial" w:cs="Arial" w:eastAsia="Arial" w:hAnsi="Arial"/>
          <w:sz w:val="29"/>
          <w:szCs w:val="29"/>
          <w:i w:val="1"/>
          <w:iCs w:val="1"/>
          <w:color w:val="auto"/>
          <w:vertAlign w:val="subscript"/>
        </w:rPr>
        <w:t>it</w:t>
      </w:r>
      <w:r>
        <w:rPr>
          <w:rFonts w:ascii="Arial" w:cs="Arial" w:eastAsia="Arial" w:hAnsi="Arial"/>
          <w:sz w:val="22"/>
          <w:szCs w:val="22"/>
          <w:i w:val="1"/>
          <w:iCs w:val="1"/>
          <w:color w:val="auto"/>
        </w:rPr>
        <w:t>M Sh</w:t>
      </w:r>
      <w:r>
        <w:rPr>
          <w:rFonts w:ascii="Arial" w:cs="Arial" w:eastAsia="Arial" w:hAnsi="Arial"/>
          <w:sz w:val="29"/>
          <w:szCs w:val="29"/>
          <w:i w:val="1"/>
          <w:iCs w:val="1"/>
          <w:color w:val="auto"/>
          <w:vertAlign w:val="subscript"/>
        </w:rPr>
        <w:t>it</w:t>
      </w:r>
      <w:r>
        <w:rPr>
          <w:rFonts w:ascii="Arial" w:cs="Arial" w:eastAsia="Arial" w:hAnsi="Arial"/>
          <w:sz w:val="22"/>
          <w:szCs w:val="22"/>
          <w:color w:val="auto"/>
        </w:rPr>
        <w:t xml:space="preserve"> +</w:t>
      </w:r>
      <w:r>
        <w:rPr>
          <w:rFonts w:ascii="Arial" w:cs="Arial" w:eastAsia="Arial" w:hAnsi="Arial"/>
          <w:sz w:val="22"/>
          <w:szCs w:val="22"/>
          <w:color w:val="auto"/>
        </w:rPr>
        <w:t xml:space="preserve"> </w:t>
      </w:r>
      <w:r>
        <w:rPr>
          <w:rFonts w:ascii="Arial" w:cs="Arial" w:eastAsia="Arial" w:hAnsi="Arial"/>
          <w:sz w:val="22"/>
          <w:szCs w:val="22"/>
          <w:i w:val="1"/>
          <w:iCs w:val="1"/>
          <w:color w:val="auto"/>
        </w:rPr>
        <w:t>β</w:t>
      </w:r>
      <w:r>
        <w:rPr>
          <w:rFonts w:ascii="Arial" w:cs="Arial" w:eastAsia="Arial" w:hAnsi="Arial"/>
          <w:sz w:val="29"/>
          <w:szCs w:val="29"/>
          <w:color w:val="auto"/>
          <w:vertAlign w:val="subscript"/>
        </w:rPr>
        <w:t>8</w:t>
      </w:r>
      <w:r>
        <w:rPr>
          <w:rFonts w:ascii="Arial" w:cs="Arial" w:eastAsia="Arial" w:hAnsi="Arial"/>
          <w:sz w:val="29"/>
          <w:szCs w:val="29"/>
          <w:i w:val="1"/>
          <w:iCs w:val="1"/>
          <w:color w:val="auto"/>
          <w:vertAlign w:val="subscript"/>
        </w:rPr>
        <w:t>it</w:t>
      </w:r>
      <w:r>
        <w:rPr>
          <w:rFonts w:ascii="Arial" w:cs="Arial" w:eastAsia="Arial" w:hAnsi="Arial"/>
          <w:sz w:val="22"/>
          <w:szCs w:val="22"/>
          <w:i w:val="1"/>
          <w:iCs w:val="1"/>
          <w:color w:val="auto"/>
        </w:rPr>
        <w:t>HHI</w:t>
      </w:r>
      <w:r>
        <w:rPr>
          <w:rFonts w:ascii="Arial" w:cs="Arial" w:eastAsia="Arial" w:hAnsi="Arial"/>
          <w:sz w:val="29"/>
          <w:szCs w:val="29"/>
          <w:i w:val="1"/>
          <w:iCs w:val="1"/>
          <w:color w:val="auto"/>
          <w:vertAlign w:val="subscript"/>
        </w:rPr>
        <w:t>t</w:t>
      </w:r>
      <w:r>
        <w:rPr>
          <w:rFonts w:ascii="Arial" w:cs="Arial" w:eastAsia="Arial" w:hAnsi="Arial"/>
          <w:sz w:val="22"/>
          <w:szCs w:val="22"/>
          <w:color w:val="auto"/>
        </w:rPr>
        <w:t>+</w:t>
      </w:r>
      <w:r>
        <w:rPr>
          <w:rFonts w:ascii="Arial" w:cs="Arial" w:eastAsia="Arial" w:hAnsi="Arial"/>
          <w:sz w:val="22"/>
          <w:szCs w:val="22"/>
          <w:i w:val="1"/>
          <w:iCs w:val="1"/>
          <w:color w:val="auto"/>
        </w:rPr>
        <w:t xml:space="preserve"> β</w:t>
      </w:r>
      <w:r>
        <w:rPr>
          <w:rFonts w:ascii="Arial" w:cs="Arial" w:eastAsia="Arial" w:hAnsi="Arial"/>
          <w:sz w:val="29"/>
          <w:szCs w:val="29"/>
          <w:color w:val="auto"/>
          <w:vertAlign w:val="subscript"/>
        </w:rPr>
        <w:t>9</w:t>
      </w:r>
      <w:r>
        <w:rPr>
          <w:rFonts w:ascii="Arial" w:cs="Arial" w:eastAsia="Arial" w:hAnsi="Arial"/>
          <w:sz w:val="29"/>
          <w:szCs w:val="29"/>
          <w:i w:val="1"/>
          <w:iCs w:val="1"/>
          <w:color w:val="auto"/>
          <w:vertAlign w:val="subscript"/>
        </w:rPr>
        <w:t>it</w:t>
      </w:r>
      <w:r>
        <w:rPr>
          <w:rFonts w:ascii="Arial" w:cs="Arial" w:eastAsia="Arial" w:hAnsi="Arial"/>
          <w:sz w:val="22"/>
          <w:szCs w:val="22"/>
          <w:i w:val="1"/>
          <w:iCs w:val="1"/>
          <w:color w:val="auto"/>
        </w:rPr>
        <w:t>T Ins</w:t>
      </w:r>
      <w:r>
        <w:rPr>
          <w:rFonts w:ascii="Arial" w:cs="Arial" w:eastAsia="Arial" w:hAnsi="Arial"/>
          <w:sz w:val="22"/>
          <w:szCs w:val="22"/>
          <w:color w:val="auto"/>
        </w:rPr>
        <w:t xml:space="preserve"> +</w:t>
      </w:r>
      <w:r>
        <w:rPr>
          <w:rFonts w:ascii="Arial" w:cs="Arial" w:eastAsia="Arial" w:hAnsi="Arial"/>
          <w:sz w:val="22"/>
          <w:szCs w:val="22"/>
          <w:color w:val="auto"/>
        </w:rPr>
        <w:t xml:space="preserve"> </w:t>
      </w:r>
      <w:r>
        <w:rPr>
          <w:rFonts w:ascii="Arial" w:cs="Arial" w:eastAsia="Arial" w:hAnsi="Arial"/>
          <w:sz w:val="22"/>
          <w:szCs w:val="22"/>
          <w:i w:val="1"/>
          <w:iCs w:val="1"/>
          <w:color w:val="auto"/>
        </w:rPr>
        <w:t>β</w:t>
      </w:r>
      <w:r>
        <w:rPr>
          <w:rFonts w:ascii="Arial" w:cs="Arial" w:eastAsia="Arial" w:hAnsi="Arial"/>
          <w:sz w:val="29"/>
          <w:szCs w:val="29"/>
          <w:color w:val="auto"/>
          <w:vertAlign w:val="subscript"/>
        </w:rPr>
        <w:t>10</w:t>
      </w:r>
      <w:r>
        <w:rPr>
          <w:rFonts w:ascii="Arial" w:cs="Arial" w:eastAsia="Arial" w:hAnsi="Arial"/>
          <w:sz w:val="29"/>
          <w:szCs w:val="29"/>
          <w:i w:val="1"/>
          <w:iCs w:val="1"/>
          <w:color w:val="auto"/>
          <w:vertAlign w:val="subscript"/>
        </w:rPr>
        <w:t>it</w:t>
      </w:r>
      <w:r>
        <w:rPr>
          <w:rFonts w:ascii="Arial" w:cs="Arial" w:eastAsia="Arial" w:hAnsi="Arial"/>
          <w:sz w:val="22"/>
          <w:szCs w:val="22"/>
          <w:i w:val="1"/>
          <w:iCs w:val="1"/>
          <w:color w:val="auto"/>
        </w:rPr>
        <w:t>OCap</w:t>
      </w:r>
      <w:r>
        <w:rPr>
          <w:rFonts w:ascii="Arial" w:cs="Arial" w:eastAsia="Arial" w:hAnsi="Arial"/>
          <w:sz w:val="22"/>
          <w:szCs w:val="22"/>
          <w:color w:val="auto"/>
        </w:rPr>
        <w:t xml:space="preserve"> +</w:t>
      </w:r>
      <w:r>
        <w:rPr>
          <w:rFonts w:ascii="Arial" w:cs="Arial" w:eastAsia="Arial" w:hAnsi="Arial"/>
          <w:sz w:val="22"/>
          <w:szCs w:val="22"/>
          <w:color w:val="auto"/>
        </w:rPr>
        <w:t xml:space="preserve"> </w:t>
      </w:r>
      <w:r>
        <w:rPr>
          <w:rFonts w:ascii="Arial" w:cs="Arial" w:eastAsia="Arial" w:hAnsi="Arial"/>
          <w:sz w:val="22"/>
          <w:szCs w:val="22"/>
          <w:i w:val="1"/>
          <w:iCs w:val="1"/>
          <w:color w:val="auto"/>
        </w:rPr>
        <w:t>β</w:t>
      </w:r>
      <w:r>
        <w:rPr>
          <w:rFonts w:ascii="Arial" w:cs="Arial" w:eastAsia="Arial" w:hAnsi="Arial"/>
          <w:sz w:val="29"/>
          <w:szCs w:val="29"/>
          <w:color w:val="auto"/>
          <w:vertAlign w:val="subscript"/>
        </w:rPr>
        <w:t>11</w:t>
      </w:r>
      <w:r>
        <w:rPr>
          <w:rFonts w:ascii="Arial" w:cs="Arial" w:eastAsia="Arial" w:hAnsi="Arial"/>
          <w:sz w:val="29"/>
          <w:szCs w:val="29"/>
          <w:i w:val="1"/>
          <w:iCs w:val="1"/>
          <w:color w:val="auto"/>
          <w:vertAlign w:val="subscript"/>
        </w:rPr>
        <w:t>it</w:t>
      </w:r>
      <w:r>
        <w:rPr>
          <w:rFonts w:ascii="Arial" w:cs="Arial" w:eastAsia="Arial" w:hAnsi="Arial"/>
          <w:sz w:val="22"/>
          <w:szCs w:val="22"/>
          <w:i w:val="1"/>
          <w:iCs w:val="1"/>
          <w:color w:val="auto"/>
        </w:rPr>
        <w:t>CIns</w:t>
      </w:r>
      <w:r>
        <w:rPr>
          <w:rFonts w:ascii="Arial" w:cs="Arial" w:eastAsia="Arial" w:hAnsi="Arial"/>
          <w:sz w:val="22"/>
          <w:szCs w:val="22"/>
          <w:color w:val="auto"/>
        </w:rPr>
        <w:t xml:space="preserve"> +</w:t>
      </w:r>
      <w:r>
        <w:rPr>
          <w:rFonts w:ascii="Arial" w:cs="Arial" w:eastAsia="Arial" w:hAnsi="Arial"/>
          <w:sz w:val="22"/>
          <w:szCs w:val="22"/>
          <w:color w:val="auto"/>
        </w:rPr>
        <w:t xml:space="preserve"> </w:t>
      </w:r>
      <w:r>
        <w:rPr>
          <w:rFonts w:ascii="Arial" w:cs="Arial" w:eastAsia="Arial" w:hAnsi="Arial"/>
          <w:sz w:val="22"/>
          <w:szCs w:val="22"/>
          <w:i w:val="1"/>
          <w:iCs w:val="1"/>
          <w:color w:val="auto"/>
        </w:rPr>
        <w:t>β</w:t>
      </w:r>
      <w:r>
        <w:rPr>
          <w:rFonts w:ascii="Arial" w:cs="Arial" w:eastAsia="Arial" w:hAnsi="Arial"/>
          <w:sz w:val="29"/>
          <w:szCs w:val="29"/>
          <w:color w:val="auto"/>
          <w:vertAlign w:val="subscript"/>
        </w:rPr>
        <w:t>12</w:t>
      </w:r>
      <w:r>
        <w:rPr>
          <w:rFonts w:ascii="Arial" w:cs="Arial" w:eastAsia="Arial" w:hAnsi="Arial"/>
          <w:sz w:val="29"/>
          <w:szCs w:val="29"/>
          <w:i w:val="1"/>
          <w:iCs w:val="1"/>
          <w:color w:val="auto"/>
          <w:vertAlign w:val="subscript"/>
        </w:rPr>
        <w:t>it</w:t>
      </w:r>
      <w:r>
        <w:rPr>
          <w:rFonts w:ascii="Arial" w:cs="Arial" w:eastAsia="Arial" w:hAnsi="Arial"/>
          <w:sz w:val="22"/>
          <w:szCs w:val="22"/>
          <w:i w:val="1"/>
          <w:iCs w:val="1"/>
          <w:color w:val="auto"/>
        </w:rPr>
        <w:t>Sel</w:t>
      </w:r>
      <w:r>
        <w:rPr>
          <w:rFonts w:ascii="Arial" w:cs="Arial" w:eastAsia="Arial" w:hAnsi="Arial"/>
          <w:sz w:val="29"/>
          <w:szCs w:val="29"/>
          <w:i w:val="1"/>
          <w:iCs w:val="1"/>
          <w:color w:val="auto"/>
          <w:vertAlign w:val="subscript"/>
        </w:rPr>
        <w:t>t</w:t>
      </w:r>
      <w:r>
        <w:rPr>
          <w:rFonts w:ascii="Arial" w:cs="Arial" w:eastAsia="Arial" w:hAnsi="Arial"/>
          <w:sz w:val="29"/>
          <w:szCs w:val="29"/>
          <w:color w:val="auto"/>
          <w:vertAlign w:val="subscript"/>
        </w:rPr>
        <w:t>−1</w:t>
      </w:r>
      <w:r>
        <w:rPr>
          <w:rFonts w:ascii="Arial" w:cs="Arial" w:eastAsia="Arial" w:hAnsi="Arial"/>
          <w:sz w:val="22"/>
          <w:szCs w:val="22"/>
          <w:color w:val="auto"/>
        </w:rPr>
        <w:t xml:space="preserve"> +</w:t>
      </w:r>
      <w:r>
        <w:rPr>
          <w:rFonts w:ascii="Arial" w:cs="Arial" w:eastAsia="Arial" w:hAnsi="Arial"/>
          <w:sz w:val="22"/>
          <w:szCs w:val="22"/>
          <w:color w:val="auto"/>
        </w:rPr>
        <w:t xml:space="preserve"> </w:t>
      </w:r>
      <w:r>
        <w:rPr>
          <w:rFonts w:ascii="Arial" w:cs="Arial" w:eastAsia="Arial" w:hAnsi="Arial"/>
          <w:sz w:val="22"/>
          <w:szCs w:val="22"/>
          <w:i w:val="1"/>
          <w:iCs w:val="1"/>
          <w:color w:val="auto"/>
        </w:rPr>
        <w:t>β</w:t>
      </w:r>
      <w:r>
        <w:rPr>
          <w:rFonts w:ascii="Arial" w:cs="Arial" w:eastAsia="Arial" w:hAnsi="Arial"/>
          <w:sz w:val="29"/>
          <w:szCs w:val="29"/>
          <w:color w:val="auto"/>
          <w:vertAlign w:val="subscript"/>
        </w:rPr>
        <w:t>13</w:t>
      </w:r>
      <w:r>
        <w:rPr>
          <w:rFonts w:ascii="Arial" w:cs="Arial" w:eastAsia="Arial" w:hAnsi="Arial"/>
          <w:sz w:val="29"/>
          <w:szCs w:val="29"/>
          <w:i w:val="1"/>
          <w:iCs w:val="1"/>
          <w:color w:val="auto"/>
          <w:vertAlign w:val="subscript"/>
        </w:rPr>
        <w:t>it</w:t>
      </w:r>
      <w:r>
        <w:rPr>
          <w:rFonts w:ascii="Arial" w:cs="Arial" w:eastAsia="Arial" w:hAnsi="Arial"/>
          <w:sz w:val="22"/>
          <w:szCs w:val="22"/>
          <w:i w:val="1"/>
          <w:iCs w:val="1"/>
          <w:color w:val="auto"/>
        </w:rPr>
        <w:t>Ipca</w:t>
      </w:r>
      <w:r>
        <w:rPr>
          <w:rFonts w:ascii="Arial" w:cs="Arial" w:eastAsia="Arial" w:hAnsi="Arial"/>
          <w:sz w:val="29"/>
          <w:szCs w:val="29"/>
          <w:i w:val="1"/>
          <w:iCs w:val="1"/>
          <w:color w:val="auto"/>
          <w:vertAlign w:val="subscript"/>
        </w:rPr>
        <w:t>t</w:t>
      </w:r>
      <w:r>
        <w:rPr>
          <w:rFonts w:ascii="Arial" w:cs="Arial" w:eastAsia="Arial" w:hAnsi="Arial"/>
          <w:sz w:val="29"/>
          <w:szCs w:val="29"/>
          <w:color w:val="auto"/>
          <w:vertAlign w:val="subscript"/>
        </w:rPr>
        <w:t>−1</w:t>
      </w:r>
      <w:r>
        <w:rPr>
          <w:rFonts w:ascii="Arial" w:cs="Arial" w:eastAsia="Arial" w:hAnsi="Arial"/>
          <w:sz w:val="22"/>
          <w:szCs w:val="22"/>
          <w:color w:val="auto"/>
        </w:rPr>
        <w:t>+</w:t>
      </w:r>
      <w:r>
        <w:rPr>
          <w:rFonts w:ascii="Arial" w:cs="Arial" w:eastAsia="Arial" w:hAnsi="Arial"/>
          <w:sz w:val="43"/>
          <w:szCs w:val="43"/>
          <w:i w:val="1"/>
          <w:iCs w:val="1"/>
          <w:color w:val="auto"/>
        </w:rPr>
        <w:t xml:space="preserve"> </w:t>
      </w:r>
      <w:r>
        <w:rPr>
          <w:rFonts w:ascii="Arial" w:cs="Arial" w:eastAsia="Arial" w:hAnsi="Arial"/>
          <w:sz w:val="43"/>
          <w:szCs w:val="43"/>
          <w:i w:val="1"/>
          <w:iCs w:val="1"/>
          <w:color w:val="auto"/>
          <w:vertAlign w:val="superscript"/>
        </w:rPr>
        <w:t>β</w:t>
      </w:r>
      <w:r>
        <w:rPr>
          <w:rFonts w:ascii="Arial" w:cs="Arial" w:eastAsia="Arial" w:hAnsi="Arial"/>
          <w:sz w:val="14"/>
          <w:szCs w:val="14"/>
          <w:color w:val="auto"/>
        </w:rPr>
        <w:t>14</w:t>
      </w:r>
      <w:r>
        <w:rPr>
          <w:rFonts w:ascii="Arial" w:cs="Arial" w:eastAsia="Arial" w:hAnsi="Arial"/>
          <w:sz w:val="14"/>
          <w:szCs w:val="14"/>
          <w:i w:val="1"/>
          <w:iCs w:val="1"/>
          <w:color w:val="auto"/>
        </w:rPr>
        <w:t>it</w:t>
      </w:r>
      <w:r>
        <w:rPr>
          <w:rFonts w:ascii="Arial" w:cs="Arial" w:eastAsia="Arial" w:hAnsi="Arial"/>
          <w:sz w:val="43"/>
          <w:szCs w:val="43"/>
          <w:i w:val="1"/>
          <w:iCs w:val="1"/>
          <w:color w:val="auto"/>
          <w:vertAlign w:val="superscript"/>
        </w:rPr>
        <w:t>Com</w:t>
      </w:r>
      <w:r>
        <w:rPr>
          <w:rFonts w:ascii="Arial" w:cs="Arial" w:eastAsia="Arial" w:hAnsi="Arial"/>
          <w:sz w:val="14"/>
          <w:szCs w:val="14"/>
          <w:i w:val="1"/>
          <w:iCs w:val="1"/>
          <w:color w:val="auto"/>
        </w:rPr>
        <w:t>t</w:t>
      </w:r>
      <w:r>
        <w:rPr>
          <w:rFonts w:ascii="Arial" w:cs="Arial" w:eastAsia="Arial" w:hAnsi="Arial"/>
          <w:sz w:val="43"/>
          <w:szCs w:val="43"/>
          <w:color w:val="auto"/>
        </w:rPr>
        <w:t xml:space="preserve"> </w:t>
      </w:r>
      <w:r>
        <w:rPr>
          <w:rFonts w:ascii="Arial" w:cs="Arial" w:eastAsia="Arial" w:hAnsi="Arial"/>
          <w:sz w:val="43"/>
          <w:szCs w:val="43"/>
          <w:color w:val="auto"/>
          <w:vertAlign w:val="superscript"/>
        </w:rPr>
        <w:t>+</w:t>
      </w:r>
      <w:r>
        <w:rPr>
          <w:rFonts w:ascii="Arial" w:cs="Arial" w:eastAsia="Arial" w:hAnsi="Arial"/>
          <w:sz w:val="43"/>
          <w:szCs w:val="43"/>
          <w:color w:val="auto"/>
        </w:rPr>
        <w:t xml:space="preserve"> </w:t>
      </w:r>
      <w:r>
        <w:rPr>
          <w:rFonts w:ascii="Arial" w:cs="Arial" w:eastAsia="Arial" w:hAnsi="Arial"/>
          <w:sz w:val="43"/>
          <w:szCs w:val="43"/>
          <w:i w:val="1"/>
          <w:iCs w:val="1"/>
          <w:color w:val="auto"/>
          <w:vertAlign w:val="superscript"/>
        </w:rPr>
        <w:t>β</w:t>
      </w:r>
      <w:r>
        <w:rPr>
          <w:rFonts w:ascii="Arial" w:cs="Arial" w:eastAsia="Arial" w:hAnsi="Arial"/>
          <w:sz w:val="14"/>
          <w:szCs w:val="14"/>
          <w:color w:val="auto"/>
        </w:rPr>
        <w:t>15</w:t>
      </w:r>
      <w:r>
        <w:rPr>
          <w:rFonts w:ascii="Arial" w:cs="Arial" w:eastAsia="Arial" w:hAnsi="Arial"/>
          <w:sz w:val="14"/>
          <w:szCs w:val="14"/>
          <w:i w:val="1"/>
          <w:iCs w:val="1"/>
          <w:color w:val="auto"/>
        </w:rPr>
        <w:t>it</w:t>
      </w:r>
      <w:r>
        <w:rPr>
          <w:rFonts w:ascii="Arial" w:cs="Arial" w:eastAsia="Arial" w:hAnsi="Arial"/>
          <w:sz w:val="43"/>
          <w:szCs w:val="43"/>
          <w:i w:val="1"/>
          <w:iCs w:val="1"/>
          <w:color w:val="auto"/>
          <w:vertAlign w:val="superscript"/>
        </w:rPr>
        <w:t>M pag</w:t>
      </w:r>
      <w:r>
        <w:rPr>
          <w:rFonts w:ascii="Arial" w:cs="Arial" w:eastAsia="Arial" w:hAnsi="Arial"/>
          <w:sz w:val="14"/>
          <w:szCs w:val="14"/>
          <w:i w:val="1"/>
          <w:iCs w:val="1"/>
          <w:color w:val="auto"/>
        </w:rPr>
        <w:t>t</w:t>
      </w:r>
      <w:r>
        <w:rPr>
          <w:rFonts w:ascii="Arial" w:cs="Arial" w:eastAsia="Arial" w:hAnsi="Arial"/>
          <w:sz w:val="14"/>
          <w:szCs w:val="14"/>
          <w:color w:val="auto"/>
        </w:rPr>
        <w:t>−1</w:t>
      </w:r>
      <w:r>
        <w:rPr>
          <w:rFonts w:ascii="Arial" w:cs="Arial" w:eastAsia="Arial" w:hAnsi="Arial"/>
          <w:sz w:val="43"/>
          <w:szCs w:val="43"/>
          <w:color w:val="auto"/>
        </w:rPr>
        <w:t xml:space="preserve"> </w:t>
      </w:r>
      <w:r>
        <w:rPr>
          <w:rFonts w:ascii="Arial" w:cs="Arial" w:eastAsia="Arial" w:hAnsi="Arial"/>
          <w:sz w:val="43"/>
          <w:szCs w:val="43"/>
          <w:color w:val="auto"/>
          <w:vertAlign w:val="superscript"/>
        </w:rPr>
        <w:t>+</w:t>
      </w:r>
      <w:r>
        <w:rPr>
          <w:rFonts w:ascii="Arial" w:cs="Arial" w:eastAsia="Arial" w:hAnsi="Arial"/>
          <w:sz w:val="43"/>
          <w:szCs w:val="43"/>
          <w:color w:val="auto"/>
        </w:rPr>
        <w:t xml:space="preserve"> </w:t>
      </w:r>
      <w:r>
        <w:rPr>
          <w:rFonts w:ascii="Arial" w:cs="Arial" w:eastAsia="Arial" w:hAnsi="Arial"/>
          <w:sz w:val="43"/>
          <w:szCs w:val="43"/>
          <w:i w:val="1"/>
          <w:iCs w:val="1"/>
          <w:color w:val="auto"/>
          <w:vertAlign w:val="superscript"/>
        </w:rPr>
        <w:t>β</w:t>
      </w:r>
      <w:r>
        <w:rPr>
          <w:rFonts w:ascii="Arial" w:cs="Arial" w:eastAsia="Arial" w:hAnsi="Arial"/>
          <w:sz w:val="14"/>
          <w:szCs w:val="14"/>
          <w:color w:val="auto"/>
        </w:rPr>
        <w:t>16</w:t>
      </w:r>
      <w:r>
        <w:rPr>
          <w:rFonts w:ascii="Arial" w:cs="Arial" w:eastAsia="Arial" w:hAnsi="Arial"/>
          <w:sz w:val="14"/>
          <w:szCs w:val="14"/>
          <w:i w:val="1"/>
          <w:iCs w:val="1"/>
          <w:color w:val="auto"/>
        </w:rPr>
        <w:t>it</w:t>
      </w:r>
      <w:r>
        <w:rPr>
          <w:rFonts w:ascii="Arial" w:cs="Arial" w:eastAsia="Arial" w:hAnsi="Arial"/>
          <w:sz w:val="43"/>
          <w:szCs w:val="43"/>
          <w:i w:val="1"/>
          <w:iCs w:val="1"/>
          <w:color w:val="auto"/>
          <w:vertAlign w:val="superscript"/>
        </w:rPr>
        <w:t>V M o</w:t>
      </w:r>
      <w:r>
        <w:rPr>
          <w:rFonts w:ascii="Arial" w:cs="Arial" w:eastAsia="Arial" w:hAnsi="Arial"/>
          <w:sz w:val="14"/>
          <w:szCs w:val="14"/>
          <w:i w:val="1"/>
          <w:iCs w:val="1"/>
          <w:color w:val="auto"/>
        </w:rPr>
        <w:t>t</w:t>
      </w:r>
      <w:r>
        <w:rPr>
          <w:rFonts w:ascii="Arial" w:cs="Arial" w:eastAsia="Arial" w:hAnsi="Arial"/>
          <w:sz w:val="14"/>
          <w:szCs w:val="14"/>
          <w:color w:val="auto"/>
        </w:rPr>
        <w:t>−1</w:t>
      </w:r>
      <w:r>
        <w:rPr>
          <w:rFonts w:ascii="Arial" w:cs="Arial" w:eastAsia="Arial" w:hAnsi="Arial"/>
          <w:sz w:val="43"/>
          <w:szCs w:val="43"/>
          <w:color w:val="auto"/>
        </w:rPr>
        <w:t xml:space="preserve"> </w:t>
      </w:r>
      <w:r>
        <w:rPr>
          <w:rFonts w:ascii="Arial" w:cs="Arial" w:eastAsia="Arial" w:hAnsi="Arial"/>
          <w:sz w:val="43"/>
          <w:szCs w:val="43"/>
          <w:color w:val="auto"/>
          <w:vertAlign w:val="superscript"/>
        </w:rPr>
        <w:t>+</w:t>
      </w:r>
      <w:r>
        <w:rPr>
          <w:rFonts w:ascii="Arial" w:cs="Arial" w:eastAsia="Arial" w:hAnsi="Arial"/>
          <w:sz w:val="43"/>
          <w:szCs w:val="43"/>
          <w:color w:val="auto"/>
        </w:rPr>
        <w:t xml:space="preserve"> </w:t>
      </w:r>
      <w:r>
        <w:rPr>
          <w:rFonts w:ascii="Arial" w:cs="Arial" w:eastAsia="Arial" w:hAnsi="Arial"/>
          <w:sz w:val="43"/>
          <w:szCs w:val="43"/>
          <w:i w:val="1"/>
          <w:iCs w:val="1"/>
          <w:color w:val="auto"/>
          <w:vertAlign w:val="superscript"/>
        </w:rPr>
        <w:t>β</w:t>
      </w:r>
      <w:r>
        <w:rPr>
          <w:rFonts w:ascii="Arial" w:cs="Arial" w:eastAsia="Arial" w:hAnsi="Arial"/>
          <w:sz w:val="14"/>
          <w:szCs w:val="14"/>
          <w:color w:val="auto"/>
        </w:rPr>
        <w:t>17</w:t>
      </w:r>
      <w:r>
        <w:rPr>
          <w:rFonts w:ascii="Arial" w:cs="Arial" w:eastAsia="Arial" w:hAnsi="Arial"/>
          <w:sz w:val="14"/>
          <w:szCs w:val="14"/>
          <w:i w:val="1"/>
          <w:iCs w:val="1"/>
          <w:color w:val="auto"/>
        </w:rPr>
        <w:t>t</w:t>
      </w:r>
      <w:r>
        <w:rPr>
          <w:rFonts w:ascii="Arial" w:cs="Arial" w:eastAsia="Arial" w:hAnsi="Arial"/>
          <w:sz w:val="43"/>
          <w:szCs w:val="43"/>
          <w:i w:val="1"/>
          <w:iCs w:val="1"/>
          <w:color w:val="auto"/>
          <w:vertAlign w:val="superscript"/>
        </w:rPr>
        <w:t>SprEa</w:t>
      </w:r>
      <w:r>
        <w:rPr>
          <w:rFonts w:ascii="Arial" w:cs="Arial" w:eastAsia="Arial" w:hAnsi="Arial"/>
          <w:sz w:val="14"/>
          <w:szCs w:val="14"/>
          <w:i w:val="1"/>
          <w:iCs w:val="1"/>
          <w:color w:val="auto"/>
        </w:rPr>
        <w:t>t</w:t>
      </w:r>
      <w:r>
        <w:rPr>
          <w:rFonts w:ascii="Arial" w:cs="Arial" w:eastAsia="Arial" w:hAnsi="Arial"/>
          <w:sz w:val="14"/>
          <w:szCs w:val="14"/>
          <w:color w:val="auto"/>
        </w:rPr>
        <w:t>−1</w:t>
      </w:r>
    </w:p>
    <w:p>
      <w:pPr>
        <w:spacing w:after="0" w:line="3"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Diante a definição dos modelos, seguem abaixo as hipóteses conceituais baseadas em concepções teóricas obtidas na pesquisa bibliográfica e das concepções desenvolvidas durante a pesquisa. O conjunto de hipóteses se apresenta na forma objetiva incluindo as expectativas para cada variável e contemplando os dois modelos construídos, com breve explanação sobre a mesma.</w:t>
      </w:r>
    </w:p>
    <w:p>
      <w:pPr>
        <w:spacing w:after="0" w:line="79" w:lineRule="exact"/>
        <w:rPr>
          <w:sz w:val="20"/>
          <w:szCs w:val="20"/>
          <w:color w:val="auto"/>
        </w:rPr>
      </w:pPr>
    </w:p>
    <w:p>
      <w:pPr>
        <w:jc w:val="both"/>
        <w:ind w:left="260" w:firstLine="857"/>
        <w:spacing w:after="0" w:line="395" w:lineRule="auto"/>
        <w:rPr>
          <w:sz w:val="20"/>
          <w:szCs w:val="20"/>
          <w:color w:val="auto"/>
        </w:rPr>
      </w:pPr>
      <w:r>
        <w:rPr>
          <w:rFonts w:ascii="Arial" w:cs="Arial" w:eastAsia="Arial" w:hAnsi="Arial"/>
          <w:sz w:val="24"/>
          <w:szCs w:val="24"/>
          <w:i w:val="1"/>
          <w:iCs w:val="1"/>
          <w:color w:val="auto"/>
        </w:rPr>
        <w:t>SprEp</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O Spread Ex-post (</w:t>
      </w:r>
      <w:r>
        <w:rPr>
          <w:rFonts w:ascii="Arial" w:cs="Arial" w:eastAsia="Arial" w:hAnsi="Arial"/>
          <w:sz w:val="24"/>
          <w:szCs w:val="24"/>
          <w:i w:val="1"/>
          <w:iCs w:val="1"/>
          <w:color w:val="auto"/>
        </w:rPr>
        <w:t>SprEp</w:t>
      </w:r>
      <w:r>
        <w:rPr>
          <w:rFonts w:ascii="Arial" w:cs="Arial" w:eastAsia="Arial" w:hAnsi="Arial"/>
          <w:sz w:val="24"/>
          <w:szCs w:val="24"/>
          <w:color w:val="auto"/>
        </w:rPr>
        <w:t>) será calculado a partir dos resultados contábeis, resultante da diferença entre a relação de receitas de operações de cré-dito (</w:t>
      </w:r>
      <w:r>
        <w:rPr>
          <w:rFonts w:ascii="Arial" w:cs="Arial" w:eastAsia="Arial" w:hAnsi="Arial"/>
          <w:sz w:val="24"/>
          <w:szCs w:val="24"/>
          <w:i w:val="1"/>
          <w:iCs w:val="1"/>
          <w:color w:val="auto"/>
        </w:rPr>
        <w:t>RcOpCr</w:t>
      </w:r>
      <w:r>
        <w:rPr>
          <w:rFonts w:ascii="Arial" w:cs="Arial" w:eastAsia="Arial" w:hAnsi="Arial"/>
          <w:sz w:val="24"/>
          <w:szCs w:val="24"/>
          <w:color w:val="auto"/>
        </w:rPr>
        <w:t xml:space="preserve"> — Conta 71100001) e operações de crédito média (</w:t>
      </w:r>
      <w:r>
        <w:rPr>
          <w:rFonts w:ascii="Arial" w:cs="Arial" w:eastAsia="Arial" w:hAnsi="Arial"/>
          <w:sz w:val="24"/>
          <w:szCs w:val="24"/>
          <w:i w:val="1"/>
          <w:iCs w:val="1"/>
          <w:color w:val="auto"/>
        </w:rPr>
        <w:t>OpCrM e</w:t>
      </w:r>
      <w:r>
        <w:rPr>
          <w:rFonts w:ascii="Arial" w:cs="Arial" w:eastAsia="Arial" w:hAnsi="Arial"/>
          <w:sz w:val="24"/>
          <w:szCs w:val="24"/>
          <w:color w:val="auto"/>
        </w:rPr>
        <w:t xml:space="preserve"> — Conta 16000001), e a relação de despesas de captação (</w:t>
      </w:r>
      <w:r>
        <w:rPr>
          <w:rFonts w:ascii="Arial" w:cs="Arial" w:eastAsia="Arial" w:hAnsi="Arial"/>
          <w:sz w:val="24"/>
          <w:szCs w:val="24"/>
          <w:i w:val="1"/>
          <w:iCs w:val="1"/>
          <w:color w:val="auto"/>
        </w:rPr>
        <w:t>DesCap</w:t>
      </w:r>
      <w:r>
        <w:rPr>
          <w:rFonts w:ascii="Arial" w:cs="Arial" w:eastAsia="Arial" w:hAnsi="Arial"/>
          <w:sz w:val="24"/>
          <w:szCs w:val="24"/>
          <w:color w:val="auto"/>
        </w:rPr>
        <w:t xml:space="preserve"> — Conta 81100008 ) e depósitos médio (</w:t>
      </w:r>
      <w:r>
        <w:rPr>
          <w:rFonts w:ascii="Arial" w:cs="Arial" w:eastAsia="Arial" w:hAnsi="Arial"/>
          <w:sz w:val="24"/>
          <w:szCs w:val="24"/>
          <w:i w:val="1"/>
          <w:iCs w:val="1"/>
          <w:color w:val="auto"/>
        </w:rPr>
        <w:t>Dep</w:t>
      </w:r>
      <w:r>
        <w:rPr>
          <w:rFonts w:ascii="Arial" w:cs="Arial" w:eastAsia="Arial" w:hAnsi="Arial"/>
          <w:sz w:val="24"/>
          <w:szCs w:val="24"/>
          <w:color w:val="auto"/>
        </w:rPr>
        <w:t xml:space="preserve"> — Conta 41000007).</w:t>
      </w:r>
    </w:p>
    <w:p>
      <w:pPr>
        <w:spacing w:after="0" w:line="392" w:lineRule="exact"/>
        <w:rPr>
          <w:sz w:val="20"/>
          <w:szCs w:val="20"/>
          <w:color w:val="auto"/>
        </w:rPr>
      </w:pPr>
    </w:p>
    <w:p>
      <w:pPr>
        <w:ind w:left="3720"/>
        <w:spacing w:after="0"/>
        <w:tabs>
          <w:tab w:leader="none" w:pos="6160" w:val="left"/>
        </w:tabs>
        <w:rPr>
          <w:sz w:val="20"/>
          <w:szCs w:val="20"/>
          <w:color w:val="auto"/>
        </w:rPr>
      </w:pPr>
      <w:r>
        <w:rPr>
          <w:rFonts w:ascii="Arial" w:cs="Arial" w:eastAsia="Arial" w:hAnsi="Arial"/>
          <w:sz w:val="24"/>
          <w:szCs w:val="24"/>
          <w:i w:val="1"/>
          <w:iCs w:val="1"/>
          <w:color w:val="auto"/>
        </w:rPr>
        <w:t>RcOpCr</w:t>
      </w:r>
      <w:r>
        <w:rPr>
          <w:rFonts w:ascii="Arial" w:cs="Arial" w:eastAsia="Arial" w:hAnsi="Arial"/>
          <w:sz w:val="15"/>
          <w:szCs w:val="15"/>
          <w:i w:val="1"/>
          <w:iCs w:val="1"/>
          <w:color w:val="auto"/>
        </w:rPr>
        <w:t>it</w:t>
      </w:r>
      <w:r>
        <w:rPr>
          <w:sz w:val="20"/>
          <w:szCs w:val="20"/>
          <w:color w:val="auto"/>
        </w:rPr>
        <w:tab/>
      </w:r>
      <w:r>
        <w:rPr>
          <w:rFonts w:ascii="Arial" w:cs="Arial" w:eastAsia="Arial" w:hAnsi="Arial"/>
          <w:sz w:val="24"/>
          <w:szCs w:val="24"/>
          <w:i w:val="1"/>
          <w:iCs w:val="1"/>
          <w:color w:val="auto"/>
        </w:rPr>
        <w:t>DesCap</w:t>
      </w:r>
      <w:r>
        <w:rPr>
          <w:rFonts w:ascii="Arial" w:cs="Arial" w:eastAsia="Arial" w:hAnsi="Arial"/>
          <w:sz w:val="15"/>
          <w:szCs w:val="15"/>
          <w:i w:val="1"/>
          <w:iCs w:val="1"/>
          <w:color w:val="auto"/>
        </w:rPr>
        <w:t>it</w:t>
      </w:r>
    </w:p>
    <w:p>
      <w:pPr>
        <w:ind w:left="1940"/>
        <w:spacing w:after="0"/>
        <w:rPr>
          <w:sz w:val="20"/>
          <w:szCs w:val="20"/>
          <w:color w:val="auto"/>
        </w:rPr>
      </w:pPr>
      <w:r>
        <w:rPr>
          <w:rFonts w:ascii="Arial" w:cs="Arial" w:eastAsia="Arial" w:hAnsi="Arial"/>
          <w:sz w:val="48"/>
          <w:szCs w:val="48"/>
          <w:i w:val="1"/>
          <w:iCs w:val="1"/>
          <w:color w:val="auto"/>
          <w:vertAlign w:val="superscript"/>
        </w:rPr>
        <w:t>SprEp</w:t>
      </w:r>
      <w:r>
        <w:rPr>
          <w:rFonts w:ascii="Arial" w:cs="Arial" w:eastAsia="Arial" w:hAnsi="Arial"/>
          <w:sz w:val="31"/>
          <w:szCs w:val="31"/>
          <w:i w:val="1"/>
          <w:iCs w:val="1"/>
          <w:color w:val="auto"/>
          <w:vertAlign w:val="superscript"/>
        </w:rPr>
        <w:t>it</w:t>
      </w:r>
      <w:r>
        <w:rPr>
          <w:rFonts w:ascii="Arial" w:cs="Arial" w:eastAsia="Arial" w:hAnsi="Arial"/>
          <w:sz w:val="47"/>
          <w:szCs w:val="47"/>
          <w:color w:val="auto"/>
          <w:vertAlign w:val="superscript"/>
        </w:rPr>
        <w:t xml:space="preserve"> =</w:t>
      </w:r>
      <w:r>
        <w:rPr>
          <w:rFonts w:ascii="Arial" w:cs="Arial" w:eastAsia="Arial" w:hAnsi="Arial"/>
          <w:sz w:val="31"/>
          <w:szCs w:val="31"/>
          <w:color w:val="auto"/>
          <w:vertAlign w:val="superscript"/>
        </w:rPr>
        <w:t xml:space="preserve"> </w:t>
      </w:r>
      <w:r>
        <w:rPr>
          <w:rFonts w:ascii="Arial" w:cs="Arial" w:eastAsia="Arial" w:hAnsi="Arial"/>
          <w:sz w:val="31"/>
          <w:szCs w:val="31"/>
          <w:u w:val="single" w:color="auto"/>
          <w:color w:val="auto"/>
          <w:vertAlign w:val="superscript"/>
        </w:rPr>
        <w:t>1</w:t>
      </w:r>
      <w:r>
        <w:rPr>
          <w:rFonts w:ascii="Arial" w:cs="Arial" w:eastAsia="Arial" w:hAnsi="Arial"/>
          <w:sz w:val="31"/>
          <w:szCs w:val="31"/>
          <w:color w:val="auto"/>
          <w:vertAlign w:val="subscript"/>
        </w:rPr>
        <w:t>2</w:t>
      </w:r>
      <w:r>
        <w:rPr>
          <w:rFonts w:ascii="Arial" w:cs="Arial" w:eastAsia="Arial" w:hAnsi="Arial"/>
          <w:sz w:val="23"/>
          <w:szCs w:val="23"/>
          <w:color w:val="auto"/>
        </w:rPr>
        <w:t xml:space="preserve"> (</w:t>
      </w:r>
      <w:r>
        <w:rPr>
          <w:rFonts w:ascii="Arial" w:cs="Arial" w:eastAsia="Arial" w:hAnsi="Arial"/>
          <w:sz w:val="23"/>
          <w:szCs w:val="23"/>
          <w:i w:val="1"/>
          <w:iCs w:val="1"/>
          <w:color w:val="auto"/>
        </w:rPr>
        <w:t>OpCr</w:t>
      </w:r>
      <w:r>
        <w:rPr>
          <w:rFonts w:ascii="Arial" w:cs="Arial" w:eastAsia="Arial" w:hAnsi="Arial"/>
          <w:sz w:val="31"/>
          <w:szCs w:val="31"/>
          <w:i w:val="1"/>
          <w:iCs w:val="1"/>
          <w:color w:val="auto"/>
          <w:vertAlign w:val="subscript"/>
        </w:rPr>
        <w:t>it</w:t>
      </w:r>
      <w:r>
        <w:rPr>
          <w:rFonts w:ascii="Arial" w:cs="Arial" w:eastAsia="Arial" w:hAnsi="Aria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OpCr</w:t>
      </w:r>
      <w:r>
        <w:rPr>
          <w:rFonts w:ascii="Arial" w:cs="Arial" w:eastAsia="Arial" w:hAnsi="Arial"/>
          <w:sz w:val="31"/>
          <w:szCs w:val="31"/>
          <w:i w:val="1"/>
          <w:iCs w:val="1"/>
          <w:color w:val="auto"/>
          <w:vertAlign w:val="subscript"/>
        </w:rPr>
        <w:t>it</w:t>
      </w:r>
      <w:r>
        <w:rPr>
          <w:rFonts w:ascii="Arial" w:cs="Arial" w:eastAsia="Arial" w:hAnsi="Arial"/>
          <w:sz w:val="31"/>
          <w:szCs w:val="31"/>
          <w:color w:val="auto"/>
          <w:vertAlign w:val="subscript"/>
        </w:rPr>
        <w:t>−1</w:t>
      </w:r>
      <w:r>
        <w:rPr>
          <w:rFonts w:ascii="Arial" w:cs="Arial" w:eastAsia="Arial" w:hAnsi="Arial"/>
          <w:sz w:val="23"/>
          <w:szCs w:val="23"/>
          <w:color w:val="auto"/>
        </w:rPr>
        <w: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31"/>
          <w:szCs w:val="31"/>
          <w:color w:val="auto"/>
        </w:rPr>
        <w:t xml:space="preserve"> </w:t>
      </w:r>
      <w:r>
        <w:rPr>
          <w:rFonts w:ascii="Arial" w:cs="Arial" w:eastAsia="Arial" w:hAnsi="Arial"/>
          <w:sz w:val="31"/>
          <w:szCs w:val="31"/>
          <w:u w:val="single" w:color="auto"/>
          <w:color w:val="auto"/>
          <w:vertAlign w:val="superscript"/>
        </w:rPr>
        <w:t>1</w:t>
      </w:r>
      <w:r>
        <w:rPr>
          <w:rFonts w:ascii="Arial" w:cs="Arial" w:eastAsia="Arial" w:hAnsi="Arial"/>
          <w:sz w:val="31"/>
          <w:szCs w:val="31"/>
          <w:color w:val="auto"/>
          <w:vertAlign w:val="subscript"/>
        </w:rPr>
        <w:t>2</w:t>
      </w:r>
      <w:r>
        <w:rPr>
          <w:rFonts w:ascii="Arial" w:cs="Arial" w:eastAsia="Arial" w:hAnsi="Arial"/>
          <w:sz w:val="23"/>
          <w:szCs w:val="23"/>
          <w:color w:val="auto"/>
        </w:rPr>
        <w:t xml:space="preserve"> (</w:t>
      </w:r>
      <w:r>
        <w:rPr>
          <w:rFonts w:ascii="Arial" w:cs="Arial" w:eastAsia="Arial" w:hAnsi="Arial"/>
          <w:sz w:val="23"/>
          <w:szCs w:val="23"/>
          <w:i w:val="1"/>
          <w:iCs w:val="1"/>
          <w:color w:val="auto"/>
        </w:rPr>
        <w:t>Dep</w:t>
      </w:r>
      <w:r>
        <w:rPr>
          <w:rFonts w:ascii="Arial" w:cs="Arial" w:eastAsia="Arial" w:hAnsi="Arial"/>
          <w:sz w:val="31"/>
          <w:szCs w:val="31"/>
          <w:i w:val="1"/>
          <w:iCs w:val="1"/>
          <w:color w:val="auto"/>
          <w:vertAlign w:val="subscript"/>
        </w:rPr>
        <w:t>it</w:t>
      </w:r>
      <w:r>
        <w:rPr>
          <w:rFonts w:ascii="Arial" w:cs="Arial" w:eastAsia="Arial" w:hAnsi="Aria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Dep</w:t>
      </w:r>
      <w:r>
        <w:rPr>
          <w:rFonts w:ascii="Arial" w:cs="Arial" w:eastAsia="Arial" w:hAnsi="Arial"/>
          <w:sz w:val="31"/>
          <w:szCs w:val="31"/>
          <w:i w:val="1"/>
          <w:iCs w:val="1"/>
          <w:color w:val="auto"/>
          <w:vertAlign w:val="subscript"/>
        </w:rPr>
        <w:t>it</w:t>
      </w:r>
      <w:r>
        <w:rPr>
          <w:rFonts w:ascii="Arial" w:cs="Arial" w:eastAsia="Arial" w:hAnsi="Arial"/>
          <w:sz w:val="31"/>
          <w:szCs w:val="31"/>
          <w:color w:val="auto"/>
          <w:vertAlign w:val="subscript"/>
        </w:rPr>
        <w:t>−1</w:t>
      </w:r>
      <w:r>
        <w:rPr>
          <w:rFonts w:ascii="Arial" w:cs="Arial" w:eastAsia="Arial" w:hAnsi="Arial"/>
          <w:sz w:val="23"/>
          <w:szCs w:val="23"/>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1964055</wp:posOffset>
                </wp:positionH>
                <wp:positionV relativeFrom="paragraph">
                  <wp:posOffset>-282575</wp:posOffset>
                </wp:positionV>
                <wp:extent cx="1437005"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370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65pt,-22.2499pt" to="267.8pt,-22.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3616960</wp:posOffset>
                </wp:positionH>
                <wp:positionV relativeFrom="paragraph">
                  <wp:posOffset>-282575</wp:posOffset>
                </wp:positionV>
                <wp:extent cx="1225550"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8pt,-22.2499pt" to="381.3pt,-22.2499pt" o:allowincell="f" strokecolor="#000000" strokeweight="0.398pt"/>
            </w:pict>
          </mc:Fallback>
        </mc:AlternateContent>
      </w:r>
    </w:p>
    <w:p>
      <w:pPr>
        <w:spacing w:after="0" w:line="95" w:lineRule="exact"/>
        <w:rPr>
          <w:sz w:val="20"/>
          <w:szCs w:val="20"/>
          <w:color w:val="auto"/>
        </w:rPr>
      </w:pPr>
    </w:p>
    <w:p>
      <w:pPr>
        <w:jc w:val="both"/>
        <w:ind w:left="260" w:right="40" w:firstLine="850"/>
        <w:spacing w:after="0" w:line="400" w:lineRule="auto"/>
        <w:rPr>
          <w:sz w:val="20"/>
          <w:szCs w:val="20"/>
          <w:color w:val="auto"/>
        </w:rPr>
      </w:pPr>
      <w:r>
        <w:rPr>
          <w:rFonts w:ascii="Arial" w:cs="Arial" w:eastAsia="Arial" w:hAnsi="Arial"/>
          <w:sz w:val="24"/>
          <w:szCs w:val="24"/>
          <w:i w:val="1"/>
          <w:iCs w:val="1"/>
          <w:color w:val="auto"/>
        </w:rPr>
        <w:t>Rent</w:t>
      </w:r>
      <w:r>
        <w:rPr>
          <w:rFonts w:ascii="Arial" w:cs="Arial" w:eastAsia="Arial" w:hAnsi="Arial"/>
          <w:sz w:val="24"/>
          <w:szCs w:val="24"/>
          <w:color w:val="auto"/>
        </w:rPr>
        <w:t>: A rentabilidade bancária será calculada para cada instituição a partir da relação entre o lucro líquido (</w:t>
      </w:r>
      <w:r>
        <w:rPr>
          <w:rFonts w:ascii="Arial" w:cs="Arial" w:eastAsia="Arial" w:hAnsi="Arial"/>
          <w:sz w:val="24"/>
          <w:szCs w:val="24"/>
          <w:i w:val="1"/>
          <w:iCs w:val="1"/>
          <w:color w:val="auto"/>
        </w:rPr>
        <w:t>LLqd</w:t>
      </w:r>
      <w:r>
        <w:rPr>
          <w:rFonts w:ascii="Arial" w:cs="Arial" w:eastAsia="Arial" w:hAnsi="Arial"/>
          <w:sz w:val="24"/>
          <w:szCs w:val="24"/>
          <w:color w:val="auto"/>
        </w:rPr>
        <w:t xml:space="preserve"> — Conta 61800005) e as receitas das operações de crédito (</w:t>
      </w:r>
      <w:r>
        <w:rPr>
          <w:rFonts w:ascii="Arial" w:cs="Arial" w:eastAsia="Arial" w:hAnsi="Arial"/>
          <w:sz w:val="24"/>
          <w:szCs w:val="24"/>
          <w:i w:val="1"/>
          <w:iCs w:val="1"/>
          <w:color w:val="auto"/>
        </w:rPr>
        <w:t>R</w:t>
      </w:r>
      <w:r>
        <w:rPr>
          <w:rFonts w:ascii="Arial" w:cs="Arial" w:eastAsia="Arial" w:hAnsi="Arial"/>
          <w:sz w:val="24"/>
          <w:szCs w:val="24"/>
          <w:color w:val="auto"/>
        </w:rPr>
        <w:t xml:space="preserve"> — Conta 71100001).</w:t>
      </w:r>
    </w:p>
    <w:p>
      <w:pPr>
        <w:jc w:val="center"/>
        <w:ind w:right="-199"/>
        <w:spacing w:after="0" w:line="225" w:lineRule="auto"/>
        <w:rPr>
          <w:sz w:val="20"/>
          <w:szCs w:val="20"/>
          <w:color w:val="auto"/>
        </w:rPr>
      </w:pPr>
      <w:r>
        <w:rPr>
          <w:rFonts w:ascii="Arial" w:cs="Arial" w:eastAsia="Arial" w:hAnsi="Arial"/>
          <w:sz w:val="48"/>
          <w:szCs w:val="48"/>
          <w:i w:val="1"/>
          <w:iCs w:val="1"/>
          <w:color w:val="auto"/>
          <w:vertAlign w:val="subscript"/>
        </w:rPr>
        <w:t>Rent</w:t>
      </w:r>
      <w:r>
        <w:rPr>
          <w:rFonts w:ascii="Arial" w:cs="Arial" w:eastAsia="Arial" w:hAnsi="Arial"/>
          <w:sz w:val="31"/>
          <w:szCs w:val="31"/>
          <w:i w:val="1"/>
          <w:iCs w:val="1"/>
          <w:color w:val="auto"/>
          <w:vertAlign w:val="subscript"/>
        </w:rPr>
        <w:t>it</w:t>
      </w:r>
      <w:r>
        <w:rPr>
          <w:rFonts w:ascii="Arial" w:cs="Arial" w:eastAsia="Arial" w:hAnsi="Arial"/>
          <w:sz w:val="47"/>
          <w:szCs w:val="47"/>
          <w:color w:val="auto"/>
          <w:vertAlign w:val="subscript"/>
        </w:rPr>
        <w:t xml:space="preserve"> =</w:t>
      </w:r>
      <w:r>
        <w:rPr>
          <w:rFonts w:ascii="Arial" w:cs="Arial" w:eastAsia="Arial" w:hAnsi="Arial"/>
          <w:sz w:val="47"/>
          <w:szCs w:val="47"/>
          <w:color w:val="auto"/>
          <w:vertAlign w:val="subscript"/>
        </w:rPr>
        <w:t xml:space="preserve"> </w:t>
      </w:r>
      <w:r>
        <w:rPr>
          <w:rFonts w:ascii="Arial" w:cs="Arial" w:eastAsia="Arial" w:hAnsi="Arial"/>
          <w:sz w:val="47"/>
          <w:szCs w:val="47"/>
          <w:i w:val="1"/>
          <w:iCs w:val="1"/>
          <w:color w:val="auto"/>
          <w:vertAlign w:val="superscript"/>
        </w:rPr>
        <w:t>LLqd</w:t>
      </w:r>
      <w:r>
        <w:rPr>
          <w:rFonts w:ascii="Arial" w:cs="Arial" w:eastAsia="Arial" w:hAnsi="Arial"/>
          <w:sz w:val="15"/>
          <w:szCs w:val="15"/>
          <w:i w:val="1"/>
          <w:iCs w:val="1"/>
          <w:color w:val="auto"/>
        </w:rPr>
        <w:t>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3129915</wp:posOffset>
                </wp:positionH>
                <wp:positionV relativeFrom="paragraph">
                  <wp:posOffset>-36195</wp:posOffset>
                </wp:positionV>
                <wp:extent cx="433070" cy="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30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45pt,-2.8499pt" to="280.55pt,-2.8499pt" o:allowincell="f" strokecolor="#000000" strokeweight="0.398pt"/>
            </w:pict>
          </mc:Fallback>
        </mc:AlternateContent>
      </w:r>
    </w:p>
    <w:p>
      <w:pPr>
        <w:ind w:left="5120"/>
        <w:spacing w:after="0" w:line="205" w:lineRule="auto"/>
        <w:rPr>
          <w:sz w:val="20"/>
          <w:szCs w:val="20"/>
          <w:color w:val="auto"/>
        </w:rPr>
      </w:pPr>
      <w:r>
        <w:rPr>
          <w:rFonts w:ascii="Arial" w:cs="Arial" w:eastAsia="Arial" w:hAnsi="Arial"/>
          <w:sz w:val="48"/>
          <w:szCs w:val="48"/>
          <w:i w:val="1"/>
          <w:iCs w:val="1"/>
          <w:color w:val="auto"/>
          <w:vertAlign w:val="superscript"/>
        </w:rPr>
        <w:t>R</w:t>
      </w:r>
      <w:r>
        <w:rPr>
          <w:rFonts w:ascii="Arial" w:cs="Arial" w:eastAsia="Arial" w:hAnsi="Arial"/>
          <w:sz w:val="15"/>
          <w:szCs w:val="15"/>
          <w:i w:val="1"/>
          <w:iCs w:val="1"/>
          <w:color w:val="auto"/>
        </w:rPr>
        <w:t>it</w:t>
      </w:r>
    </w:p>
    <w:p>
      <w:pPr>
        <w:spacing w:after="0" w:line="61" w:lineRule="exact"/>
        <w:rPr>
          <w:sz w:val="20"/>
          <w:szCs w:val="20"/>
          <w:color w:val="auto"/>
        </w:rPr>
      </w:pPr>
    </w:p>
    <w:p>
      <w:pPr>
        <w:jc w:val="both"/>
        <w:ind w:left="260" w:right="40" w:firstLine="850"/>
        <w:spacing w:after="0" w:line="400"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w:t>
      </w:r>
      <w:r>
        <w:rPr>
          <w:rFonts w:ascii="Arial" w:cs="Arial" w:eastAsia="Arial" w:hAnsi="Arial"/>
          <w:sz w:val="24"/>
          <w:szCs w:val="24"/>
          <w:color w:val="auto"/>
        </w:rPr>
        <w:t>: A proporção das operações de crédito com capital próprio (</w:t>
      </w:r>
      <w:r>
        <w:rPr>
          <w:rFonts w:ascii="Arial" w:cs="Arial" w:eastAsia="Arial" w:hAnsi="Arial"/>
          <w:sz w:val="24"/>
          <w:szCs w:val="24"/>
          <w:i w:val="1"/>
          <w:iCs w:val="1"/>
          <w:color w:val="auto"/>
        </w:rPr>
        <w:t>EP r</w:t>
      </w:r>
      <w:r>
        <w:rPr>
          <w:rFonts w:ascii="Arial" w:cs="Arial" w:eastAsia="Arial" w:hAnsi="Arial"/>
          <w:sz w:val="24"/>
          <w:szCs w:val="24"/>
          <w:color w:val="auto"/>
        </w:rPr>
        <w:t>) em relação as operações de crédito (</w:t>
      </w:r>
      <w:r>
        <w:rPr>
          <w:rFonts w:ascii="Arial" w:cs="Arial" w:eastAsia="Arial" w:hAnsi="Arial"/>
          <w:sz w:val="24"/>
          <w:szCs w:val="24"/>
          <w:i w:val="1"/>
          <w:iCs w:val="1"/>
          <w:color w:val="auto"/>
        </w:rPr>
        <w:t>OpCr</w:t>
      </w:r>
      <w:r>
        <w:rPr>
          <w:rFonts w:ascii="Arial" w:cs="Arial" w:eastAsia="Arial" w:hAnsi="Arial"/>
          <w:sz w:val="24"/>
          <w:szCs w:val="24"/>
          <w:color w:val="auto"/>
        </w:rPr>
        <w:t>) guarda relação direta com o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120" w:lineRule="exact"/>
        <w:rPr>
          <w:sz w:val="20"/>
          <w:szCs w:val="20"/>
          <w:color w:val="auto"/>
        </w:rPr>
      </w:pPr>
    </w:p>
    <w:p>
      <w:pPr>
        <w:jc w:val="both"/>
        <w:ind w:left="260" w:right="40" w:firstLine="850"/>
        <w:spacing w:after="0" w:line="460" w:lineRule="auto"/>
        <w:rPr>
          <w:sz w:val="20"/>
          <w:szCs w:val="20"/>
          <w:color w:val="auto"/>
        </w:rPr>
      </w:pPr>
      <w:r>
        <w:rPr>
          <w:rFonts w:ascii="Arial" w:cs="Arial" w:eastAsia="Arial" w:hAnsi="Arial"/>
          <w:sz w:val="23"/>
          <w:szCs w:val="23"/>
          <w:color w:val="auto"/>
        </w:rPr>
        <w:t>Para a proporção das operações de crédito com capital próprio (</w:t>
      </w:r>
      <w:r>
        <w:rPr>
          <w:rFonts w:ascii="Arial" w:cs="Arial" w:eastAsia="Arial" w:hAnsi="Arial"/>
          <w:sz w:val="23"/>
          <w:szCs w:val="23"/>
          <w:i w:val="1"/>
          <w:iCs w:val="1"/>
          <w:color w:val="auto"/>
        </w:rPr>
        <w:t>Epr</w:t>
      </w:r>
      <w:r>
        <w:rPr>
          <w:rFonts w:ascii="Arial" w:cs="Arial" w:eastAsia="Arial" w:hAnsi="Arial"/>
          <w:sz w:val="23"/>
          <w:szCs w:val="23"/>
          <w:color w:val="auto"/>
        </w:rPr>
        <w:t>) será considerada uma proxy tautológica (</w:t>
      </w:r>
      <w:r>
        <w:rPr>
          <w:rFonts w:ascii="Arial" w:cs="Arial" w:eastAsia="Arial" w:hAnsi="Arial"/>
          <w:sz w:val="23"/>
          <w:szCs w:val="23"/>
          <w:i w:val="1"/>
          <w:iCs w:val="1"/>
          <w:color w:val="auto"/>
        </w:rPr>
        <w:t>OpCr</w:t>
      </w:r>
      <w:r>
        <w:rPr>
          <w:rFonts w:ascii="Arial" w:cs="Arial" w:eastAsia="Arial" w:hAnsi="Aria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CpP r</w:t>
      </w:r>
      <w:r>
        <w:rPr>
          <w:rFonts w:ascii="Arial" w:cs="Arial" w:eastAsia="Arial" w:hAnsi="Aria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Dep</w:t>
      </w:r>
      <w:r>
        <w:rPr>
          <w:rFonts w:ascii="Arial" w:cs="Arial" w:eastAsia="Arial" w:hAnsi="Arial"/>
          <w:sz w:val="23"/>
          <w:szCs w:val="23"/>
          <w:color w:val="auto"/>
        </w:rPr>
        <w:t>) obtida por meio da diferença</w:t>
      </w:r>
    </w:p>
    <w:p>
      <w:pPr>
        <w:sectPr>
          <w:pgSz w:w="11900" w:h="16838" w:orient="portrait"/>
          <w:cols w:equalWidth="0" w:num="1">
            <w:col w:w="9360"/>
          </w:cols>
          <w:pgMar w:left="1440" w:top="991" w:right="1106" w:bottom="297" w:gutter="0" w:footer="0" w:header="0"/>
        </w:sectPr>
      </w:pPr>
    </w:p>
    <w:p>
      <w:pPr>
        <w:ind w:left="9060"/>
        <w:spacing w:after="0"/>
        <w:rPr>
          <w:sz w:val="20"/>
          <w:szCs w:val="20"/>
          <w:color w:val="auto"/>
        </w:rPr>
      </w:pPr>
      <w:r>
        <w:rPr>
          <w:rFonts w:ascii="Arial" w:cs="Arial" w:eastAsia="Arial" w:hAnsi="Arial"/>
          <w:sz w:val="24"/>
          <w:szCs w:val="24"/>
          <w:color w:val="auto"/>
        </w:rPr>
        <w:t>55</w:t>
      </w:r>
    </w:p>
    <w:p>
      <w:pPr>
        <w:spacing w:after="0" w:line="200" w:lineRule="exact"/>
        <w:rPr>
          <w:sz w:val="20"/>
          <w:szCs w:val="20"/>
          <w:color w:val="auto"/>
        </w:rPr>
      </w:pPr>
    </w:p>
    <w:p>
      <w:pPr>
        <w:spacing w:after="0" w:line="246" w:lineRule="exact"/>
        <w:rPr>
          <w:sz w:val="20"/>
          <w:szCs w:val="20"/>
          <w:color w:val="auto"/>
        </w:rPr>
      </w:pPr>
    </w:p>
    <w:p>
      <w:pPr>
        <w:jc w:val="both"/>
        <w:ind w:left="260" w:right="60" w:firstLine="8"/>
        <w:spacing w:after="0" w:line="400" w:lineRule="auto"/>
        <w:rPr>
          <w:sz w:val="20"/>
          <w:szCs w:val="20"/>
          <w:color w:val="auto"/>
        </w:rPr>
      </w:pPr>
      <w:r>
        <w:rPr>
          <w:rFonts w:ascii="Arial" w:cs="Arial" w:eastAsia="Arial" w:hAnsi="Arial"/>
          <w:sz w:val="24"/>
          <w:szCs w:val="24"/>
          <w:color w:val="auto"/>
        </w:rPr>
        <w:t>entre o total das operações de crédito (</w:t>
      </w:r>
      <w:r>
        <w:rPr>
          <w:rFonts w:ascii="Arial" w:cs="Arial" w:eastAsia="Arial" w:hAnsi="Arial"/>
          <w:sz w:val="24"/>
          <w:szCs w:val="24"/>
          <w:i w:val="1"/>
          <w:iCs w:val="1"/>
          <w:color w:val="auto"/>
        </w:rPr>
        <w:t>OpCr</w:t>
      </w:r>
      <w:r>
        <w:rPr>
          <w:rFonts w:ascii="Arial" w:cs="Arial" w:eastAsia="Arial" w:hAnsi="Arial"/>
          <w:sz w:val="24"/>
          <w:szCs w:val="24"/>
          <w:color w:val="auto"/>
        </w:rPr>
        <w:t xml:space="preserve"> — Conta 16000001) e o total dos depósitos (</w:t>
      </w:r>
      <w:r>
        <w:rPr>
          <w:rFonts w:ascii="Arial" w:cs="Arial" w:eastAsia="Arial" w:hAnsi="Arial"/>
          <w:sz w:val="24"/>
          <w:szCs w:val="24"/>
          <w:i w:val="1"/>
          <w:iCs w:val="1"/>
          <w:color w:val="auto"/>
        </w:rPr>
        <w:t>DepT ot</w:t>
      </w:r>
      <w:r>
        <w:rPr>
          <w:rFonts w:ascii="Arial" w:cs="Arial" w:eastAsia="Arial" w:hAnsi="Arial"/>
          <w:sz w:val="24"/>
          <w:szCs w:val="24"/>
          <w:color w:val="auto"/>
        </w:rPr>
        <w:t xml:space="preserve"> — Conta 41000007) </w:t>
      </w:r>
      <w:r>
        <w:rPr>
          <w:rFonts w:ascii="Arial" w:cs="Arial" w:eastAsia="Arial" w:hAnsi="Arial"/>
          <w:sz w:val="24"/>
          <w:szCs w:val="24"/>
          <w:i w:val="1"/>
          <w:iCs w:val="1"/>
          <w:color w:val="auto"/>
        </w:rPr>
        <w:t>CpP r</w:t>
      </w:r>
      <w:r>
        <w:rPr>
          <w:rFonts w:ascii="Arial" w:cs="Arial" w:eastAsia="Arial" w:hAnsi="Arial"/>
          <w:sz w:val="24"/>
          <w:szCs w:val="24"/>
          <w:color w:val="auto"/>
        </w:rPr>
        <w:t xml:space="preserve"> = </w:t>
      </w:r>
      <w:r>
        <w:rPr>
          <w:rFonts w:ascii="Arial" w:cs="Arial" w:eastAsia="Arial" w:hAnsi="Arial"/>
          <w:sz w:val="24"/>
          <w:szCs w:val="24"/>
          <w:i w:val="1"/>
          <w:iCs w:val="1"/>
          <w:color w:val="auto"/>
        </w:rPr>
        <w:t>OpCr</w:t>
      </w:r>
      <w:r>
        <w:rPr>
          <w:rFonts w:ascii="Arial" w:cs="Arial" w:eastAsia="Arial" w:hAnsi="Arial"/>
          <w:sz w:val="24"/>
          <w:szCs w:val="24"/>
          <w:color w:val="auto"/>
        </w:rPr>
        <w:t xml:space="preserve"> − </w:t>
      </w:r>
      <w:r>
        <w:rPr>
          <w:rFonts w:ascii="Arial" w:cs="Arial" w:eastAsia="Arial" w:hAnsi="Arial"/>
          <w:sz w:val="24"/>
          <w:szCs w:val="24"/>
          <w:i w:val="1"/>
          <w:iCs w:val="1"/>
          <w:color w:val="auto"/>
        </w:rPr>
        <w:t>DepT ot</w:t>
      </w:r>
      <w:r>
        <w:rPr>
          <w:rFonts w:ascii="Arial" w:cs="Arial" w:eastAsia="Arial" w:hAnsi="Arial"/>
          <w:sz w:val="24"/>
          <w:szCs w:val="24"/>
          <w:color w:val="auto"/>
        </w:rPr>
        <w:t>, sobre operações de crédito (</w:t>
      </w:r>
      <w:r>
        <w:rPr>
          <w:rFonts w:ascii="Arial" w:cs="Arial" w:eastAsia="Arial" w:hAnsi="Arial"/>
          <w:sz w:val="24"/>
          <w:szCs w:val="24"/>
          <w:i w:val="1"/>
          <w:iCs w:val="1"/>
          <w:color w:val="auto"/>
        </w:rPr>
        <w:t>OpCr</w:t>
      </w:r>
      <w:r>
        <w:rPr>
          <w:rFonts w:ascii="Arial" w:cs="Arial" w:eastAsia="Arial" w:hAnsi="Arial"/>
          <w:sz w:val="24"/>
          <w:szCs w:val="24"/>
          <w:color w:val="auto"/>
        </w:rPr>
        <w:t xml:space="preserve"> — Conta 16000001).</w:t>
      </w:r>
    </w:p>
    <w:p>
      <w:pPr>
        <w:ind w:left="3560"/>
        <w:spacing w:after="0" w:line="225" w:lineRule="auto"/>
        <w:rPr>
          <w:sz w:val="20"/>
          <w:szCs w:val="20"/>
          <w:color w:val="auto"/>
        </w:rPr>
      </w:pPr>
      <w:r>
        <w:rPr>
          <w:rFonts w:ascii="Arial" w:cs="Arial" w:eastAsia="Arial" w:hAnsi="Arial"/>
          <w:sz w:val="48"/>
          <w:szCs w:val="48"/>
          <w:i w:val="1"/>
          <w:iCs w:val="1"/>
          <w:color w:val="auto"/>
          <w:vertAlign w:val="subscript"/>
        </w:rPr>
        <w:t>Epr</w:t>
      </w:r>
      <w:r>
        <w:rPr>
          <w:rFonts w:ascii="Arial" w:cs="Arial" w:eastAsia="Arial" w:hAnsi="Arial"/>
          <w:sz w:val="31"/>
          <w:szCs w:val="31"/>
          <w:i w:val="1"/>
          <w:iCs w:val="1"/>
          <w:color w:val="auto"/>
          <w:vertAlign w:val="subscript"/>
        </w:rPr>
        <w:t>it</w:t>
      </w:r>
      <w:r>
        <w:rPr>
          <w:rFonts w:ascii="Arial" w:cs="Arial" w:eastAsia="Arial" w:hAnsi="Arial"/>
          <w:sz w:val="47"/>
          <w:szCs w:val="47"/>
          <w:color w:val="auto"/>
          <w:vertAlign w:val="subscript"/>
        </w:rPr>
        <w:t xml:space="preserve"> = </w:t>
      </w:r>
      <w:r>
        <w:rPr>
          <w:rFonts w:ascii="Arial" w:cs="Arial" w:eastAsia="Arial" w:hAnsi="Arial"/>
          <w:sz w:val="47"/>
          <w:szCs w:val="47"/>
          <w:i w:val="1"/>
          <w:iCs w:val="1"/>
          <w:color w:val="auto"/>
          <w:vertAlign w:val="superscript"/>
        </w:rPr>
        <w:t>OpCr</w:t>
      </w:r>
      <w:r>
        <w:rPr>
          <w:rFonts w:ascii="Arial" w:cs="Arial" w:eastAsia="Arial" w:hAnsi="Arial"/>
          <w:sz w:val="15"/>
          <w:szCs w:val="15"/>
          <w:i w:val="1"/>
          <w:iCs w:val="1"/>
          <w:color w:val="auto"/>
        </w:rPr>
        <w:t>it</w:t>
      </w:r>
      <w:r>
        <w:rPr>
          <w:rFonts w:ascii="Arial" w:cs="Arial" w:eastAsia="Arial" w:hAnsi="Arial"/>
          <w:sz w:val="23"/>
          <w:szCs w:val="23"/>
          <w:color w:val="auto"/>
        </w:rPr>
        <w:t xml:space="preserve"> −</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Dep</w:t>
      </w:r>
      <w:r>
        <w:rPr>
          <w:rFonts w:ascii="Arial" w:cs="Arial" w:eastAsia="Arial" w:hAnsi="Arial"/>
          <w:sz w:val="15"/>
          <w:szCs w:val="15"/>
          <w:i w:val="1"/>
          <w:iCs w:val="1"/>
          <w:color w:val="auto"/>
        </w:rPr>
        <w:t>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2815590</wp:posOffset>
                </wp:positionH>
                <wp:positionV relativeFrom="paragraph">
                  <wp:posOffset>-36195</wp:posOffset>
                </wp:positionV>
                <wp:extent cx="996315"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963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7pt,-2.8499pt" to="300.15pt,-2.8499pt" o:allowincell="f" strokecolor="#000000" strokeweight="0.398pt"/>
            </w:pict>
          </mc:Fallback>
        </mc:AlternateContent>
      </w:r>
    </w:p>
    <w:p>
      <w:pPr>
        <w:ind w:left="4860"/>
        <w:spacing w:after="0" w:line="185" w:lineRule="auto"/>
        <w:rPr>
          <w:sz w:val="20"/>
          <w:szCs w:val="20"/>
          <w:color w:val="auto"/>
        </w:rPr>
      </w:pPr>
      <w:r>
        <w:rPr>
          <w:rFonts w:ascii="Arial" w:cs="Arial" w:eastAsia="Arial" w:hAnsi="Arial"/>
          <w:sz w:val="21"/>
          <w:szCs w:val="21"/>
          <w:i w:val="1"/>
          <w:iCs w:val="1"/>
          <w:color w:val="auto"/>
        </w:rPr>
        <w:t>OpCr</w:t>
      </w:r>
      <w:r>
        <w:rPr>
          <w:rFonts w:ascii="Arial" w:cs="Arial" w:eastAsia="Arial" w:hAnsi="Arial"/>
          <w:sz w:val="27"/>
          <w:szCs w:val="27"/>
          <w:i w:val="1"/>
          <w:iCs w:val="1"/>
          <w:color w:val="auto"/>
          <w:vertAlign w:val="subscript"/>
        </w:rPr>
        <w:t>it</w:t>
      </w:r>
    </w:p>
    <w:p>
      <w:pPr>
        <w:spacing w:after="0" w:line="374" w:lineRule="exact"/>
        <w:rPr>
          <w:sz w:val="20"/>
          <w:szCs w:val="20"/>
          <w:color w:val="auto"/>
        </w:rPr>
      </w:pPr>
    </w:p>
    <w:p>
      <w:pPr>
        <w:jc w:val="both"/>
        <w:ind w:left="260" w:right="60" w:firstLine="850"/>
        <w:spacing w:after="0" w:line="366" w:lineRule="auto"/>
        <w:rPr>
          <w:sz w:val="20"/>
          <w:szCs w:val="20"/>
          <w:color w:val="auto"/>
        </w:rPr>
      </w:pPr>
      <w:r>
        <w:rPr>
          <w:rFonts w:ascii="Arial" w:cs="Arial" w:eastAsia="Arial" w:hAnsi="Arial"/>
          <w:sz w:val="24"/>
          <w:szCs w:val="24"/>
          <w:color w:val="auto"/>
        </w:rPr>
        <w:t>Para esta relação, presumindo que o capital próprio é limitado e seu custo de oportunidade (</w:t>
      </w:r>
      <w:r>
        <w:rPr>
          <w:rFonts w:ascii="Arial" w:cs="Arial" w:eastAsia="Arial" w:hAnsi="Arial"/>
          <w:sz w:val="24"/>
          <w:szCs w:val="24"/>
          <w:i w:val="1"/>
          <w:iCs w:val="1"/>
          <w:color w:val="auto"/>
        </w:rPr>
        <w:t>CpP R</w:t>
      </w:r>
      <w:r>
        <w:rPr>
          <w:rFonts w:ascii="Arial" w:cs="Arial" w:eastAsia="Arial" w:hAnsi="Arial"/>
          <w:sz w:val="24"/>
          <w:szCs w:val="24"/>
          <w:color w:val="auto"/>
        </w:rPr>
        <w:t>) é maior que a taxa de captação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cap</w:t>
      </w:r>
      <w:r>
        <w:rPr>
          <w:rFonts w:ascii="Arial" w:cs="Arial" w:eastAsia="Arial" w:hAnsi="Arial"/>
          <w:sz w:val="24"/>
          <w:szCs w:val="24"/>
          <w:color w:val="auto"/>
        </w:rPr>
        <w:t>), e não havendo custos de captação, atua com uma relação direta com o spread ex-post. E consequentemente atua de forma direta na rentabilidade</w:t>
      </w:r>
      <w:r>
        <w:rPr>
          <w:rFonts w:ascii="Arial" w:cs="Arial" w:eastAsia="Arial" w:hAnsi="Arial"/>
          <w:sz w:val="31"/>
          <w:szCs w:val="31"/>
          <w:color w:val="auto"/>
          <w:vertAlign w:val="superscript"/>
        </w:rPr>
        <w:t>2</w:t>
      </w:r>
      <w:r>
        <w:rPr>
          <w:rFonts w:ascii="Arial" w:cs="Arial" w:eastAsia="Arial" w:hAnsi="Arial"/>
          <w:sz w:val="24"/>
          <w:szCs w:val="24"/>
          <w:color w:val="auto"/>
        </w:rPr>
        <w:t>.</w:t>
      </w:r>
    </w:p>
    <w:p>
      <w:pPr>
        <w:spacing w:after="0" w:line="23" w:lineRule="exact"/>
        <w:rPr>
          <w:sz w:val="20"/>
          <w:szCs w:val="20"/>
          <w:color w:val="auto"/>
        </w:rPr>
      </w:pPr>
    </w:p>
    <w:p>
      <w:pPr>
        <w:jc w:val="both"/>
        <w:ind w:left="260" w:right="20" w:firstLine="850"/>
        <w:spacing w:after="0" w:line="400"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2</w:t>
      </w:r>
      <w:r>
        <w:rPr>
          <w:rFonts w:ascii="Arial" w:cs="Arial" w:eastAsia="Arial" w:hAnsi="Arial"/>
          <w:sz w:val="24"/>
          <w:szCs w:val="24"/>
          <w:color w:val="auto"/>
        </w:rPr>
        <w:t>: A proporção dos depósitos a vista (</w:t>
      </w:r>
      <w:r>
        <w:rPr>
          <w:rFonts w:ascii="Arial" w:cs="Arial" w:eastAsia="Arial" w:hAnsi="Arial"/>
          <w:sz w:val="24"/>
          <w:szCs w:val="24"/>
          <w:i w:val="1"/>
          <w:iCs w:val="1"/>
          <w:color w:val="auto"/>
        </w:rPr>
        <w:t>EAv</w:t>
      </w:r>
      <w:r>
        <w:rPr>
          <w:rFonts w:ascii="Arial" w:cs="Arial" w:eastAsia="Arial" w:hAnsi="Arial"/>
          <w:sz w:val="24"/>
          <w:szCs w:val="24"/>
          <w:color w:val="auto"/>
        </w:rPr>
        <w:t>) diante as operações de cré-dito (</w:t>
      </w:r>
      <w:r>
        <w:rPr>
          <w:rFonts w:ascii="Arial" w:cs="Arial" w:eastAsia="Arial" w:hAnsi="Arial"/>
          <w:sz w:val="24"/>
          <w:szCs w:val="24"/>
          <w:i w:val="1"/>
          <w:iCs w:val="1"/>
          <w:color w:val="auto"/>
        </w:rPr>
        <w:t>OpCr</w:t>
      </w:r>
      <w:r>
        <w:rPr>
          <w:rFonts w:ascii="Arial" w:cs="Arial" w:eastAsia="Arial" w:hAnsi="Arial"/>
          <w:sz w:val="24"/>
          <w:szCs w:val="24"/>
          <w:color w:val="auto"/>
        </w:rPr>
        <w:t>) mantém uma relação direta com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120" w:lineRule="exact"/>
        <w:rPr>
          <w:sz w:val="20"/>
          <w:szCs w:val="20"/>
          <w:color w:val="auto"/>
        </w:rPr>
      </w:pPr>
    </w:p>
    <w:p>
      <w:pPr>
        <w:jc w:val="both"/>
        <w:ind w:left="260" w:right="60" w:firstLine="850"/>
        <w:spacing w:after="0" w:line="423" w:lineRule="auto"/>
        <w:rPr>
          <w:sz w:val="20"/>
          <w:szCs w:val="20"/>
          <w:color w:val="auto"/>
        </w:rPr>
      </w:pPr>
      <w:r>
        <w:rPr>
          <w:rFonts w:ascii="Arial" w:cs="Arial" w:eastAsia="Arial" w:hAnsi="Arial"/>
          <w:sz w:val="24"/>
          <w:szCs w:val="24"/>
          <w:color w:val="auto"/>
        </w:rPr>
        <w:t>Para a proporção das operações de crédito com depósito a vista (</w:t>
      </w:r>
      <w:r>
        <w:rPr>
          <w:rFonts w:ascii="Arial" w:cs="Arial" w:eastAsia="Arial" w:hAnsi="Arial"/>
          <w:sz w:val="24"/>
          <w:szCs w:val="24"/>
          <w:i w:val="1"/>
          <w:iCs w:val="1"/>
          <w:color w:val="auto"/>
        </w:rPr>
        <w:t>EAv</w:t>
      </w:r>
      <w:r>
        <w:rPr>
          <w:rFonts w:ascii="Arial" w:cs="Arial" w:eastAsia="Arial" w:hAnsi="Arial"/>
          <w:sz w:val="24"/>
          <w:szCs w:val="24"/>
          <w:color w:val="auto"/>
        </w:rPr>
        <w:t>) será utilizada o total dos depósitos a vista (</w:t>
      </w:r>
      <w:r>
        <w:rPr>
          <w:rFonts w:ascii="Arial" w:cs="Arial" w:eastAsia="Arial" w:hAnsi="Arial"/>
          <w:sz w:val="24"/>
          <w:szCs w:val="24"/>
          <w:i w:val="1"/>
          <w:iCs w:val="1"/>
          <w:color w:val="auto"/>
        </w:rPr>
        <w:t>DepAv</w:t>
      </w:r>
      <w:r>
        <w:rPr>
          <w:rFonts w:ascii="Arial" w:cs="Arial" w:eastAsia="Arial" w:hAnsi="Arial"/>
          <w:sz w:val="24"/>
          <w:szCs w:val="24"/>
          <w:color w:val="auto"/>
        </w:rPr>
        <w:t xml:space="preserve"> — Conta 41100000) em relação as operações de crédito (</w:t>
      </w:r>
      <w:r>
        <w:rPr>
          <w:rFonts w:ascii="Arial" w:cs="Arial" w:eastAsia="Arial" w:hAnsi="Arial"/>
          <w:sz w:val="24"/>
          <w:szCs w:val="24"/>
          <w:i w:val="1"/>
          <w:iCs w:val="1"/>
          <w:color w:val="auto"/>
        </w:rPr>
        <w:t>OpCr</w:t>
      </w:r>
      <w:r>
        <w:rPr>
          <w:rFonts w:ascii="Arial" w:cs="Arial" w:eastAsia="Arial" w:hAnsi="Arial"/>
          <w:sz w:val="24"/>
          <w:szCs w:val="24"/>
          <w:color w:val="auto"/>
        </w:rPr>
        <w:t xml:space="preserve"> — Conta 16000001).</w:t>
      </w:r>
    </w:p>
    <w:p>
      <w:pPr>
        <w:jc w:val="right"/>
        <w:ind w:right="3720"/>
        <w:spacing w:after="0" w:line="238" w:lineRule="auto"/>
        <w:rPr>
          <w:sz w:val="20"/>
          <w:szCs w:val="20"/>
          <w:color w:val="auto"/>
        </w:rPr>
      </w:pPr>
      <w:r>
        <w:rPr>
          <w:rFonts w:ascii="Arial" w:cs="Arial" w:eastAsia="Arial" w:hAnsi="Arial"/>
          <w:sz w:val="24"/>
          <w:szCs w:val="24"/>
          <w:i w:val="1"/>
          <w:iCs w:val="1"/>
          <w:color w:val="auto"/>
        </w:rPr>
        <w:t>DepAv</w:t>
      </w:r>
      <w:r>
        <w:rPr>
          <w:rFonts w:ascii="Arial" w:cs="Arial" w:eastAsia="Arial" w:hAnsi="Arial"/>
          <w:sz w:val="15"/>
          <w:szCs w:val="15"/>
          <w:i w:val="1"/>
          <w:iCs w:val="1"/>
          <w:color w:val="auto"/>
        </w:rPr>
        <w:t>it</w:t>
      </w:r>
    </w:p>
    <w:p>
      <w:pPr>
        <w:jc w:val="right"/>
        <w:ind w:right="4640"/>
        <w:spacing w:after="0" w:line="181" w:lineRule="auto"/>
        <w:rPr>
          <w:sz w:val="20"/>
          <w:szCs w:val="20"/>
          <w:color w:val="auto"/>
        </w:rPr>
      </w:pPr>
      <w:r>
        <w:rPr>
          <w:rFonts w:ascii="Arial" w:cs="Arial" w:eastAsia="Arial" w:hAnsi="Arial"/>
          <w:sz w:val="19"/>
          <w:szCs w:val="19"/>
          <w:i w:val="1"/>
          <w:iCs w:val="1"/>
          <w:color w:val="auto"/>
          <w:vertAlign w:val="superscript"/>
        </w:rPr>
        <w:t>EAv</w:t>
      </w:r>
      <w:r>
        <w:rPr>
          <w:rFonts w:ascii="Arial" w:cs="Arial" w:eastAsia="Arial" w:hAnsi="Arial"/>
          <w:sz w:val="11"/>
          <w:szCs w:val="11"/>
          <w:i w:val="1"/>
          <w:iCs w:val="1"/>
          <w:color w:val="auto"/>
        </w:rPr>
        <w:t>it</w:t>
      </w:r>
      <w:r>
        <w:rPr>
          <w:rFonts w:ascii="Arial" w:cs="Arial" w:eastAsia="Arial" w:hAnsi="Arial"/>
          <w:sz w:val="19"/>
          <w:szCs w:val="19"/>
          <w:color w:val="auto"/>
        </w:rPr>
        <w:t xml:space="preserve"> </w:t>
      </w:r>
      <w:r>
        <w:rPr>
          <w:rFonts w:ascii="Arial" w:cs="Arial" w:eastAsia="Arial" w:hAnsi="Arial"/>
          <w:sz w:val="19"/>
          <w:szCs w:val="19"/>
          <w:color w:val="auto"/>
          <w:vertAlign w:val="super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3066415</wp:posOffset>
                </wp:positionH>
                <wp:positionV relativeFrom="paragraph">
                  <wp:posOffset>-36195</wp:posOffset>
                </wp:positionV>
                <wp:extent cx="536575"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65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45pt,-2.8499pt" to="283.7pt,-2.8499pt" o:allowincell="f" strokecolor="#000000" strokeweight="0.398pt"/>
            </w:pict>
          </mc:Fallback>
        </mc:AlternateContent>
      </w:r>
    </w:p>
    <w:p>
      <w:pPr>
        <w:jc w:val="right"/>
        <w:ind w:right="3780"/>
        <w:spacing w:after="0" w:line="185" w:lineRule="auto"/>
        <w:rPr>
          <w:sz w:val="20"/>
          <w:szCs w:val="20"/>
          <w:color w:val="auto"/>
        </w:rPr>
      </w:pPr>
      <w:r>
        <w:rPr>
          <w:rFonts w:ascii="Arial" w:cs="Arial" w:eastAsia="Arial" w:hAnsi="Arial"/>
          <w:sz w:val="27"/>
          <w:szCs w:val="27"/>
          <w:i w:val="1"/>
          <w:iCs w:val="1"/>
          <w:color w:val="auto"/>
          <w:vertAlign w:val="subscript"/>
        </w:rPr>
        <w:t>OpCr</w:t>
      </w:r>
      <w:r>
        <w:rPr>
          <w:rFonts w:ascii="Arial" w:cs="Arial" w:eastAsia="Arial" w:hAnsi="Arial"/>
          <w:sz w:val="19"/>
          <w:szCs w:val="19"/>
          <w:i w:val="1"/>
          <w:iCs w:val="1"/>
          <w:color w:val="auto"/>
          <w:vertAlign w:val="subscript"/>
        </w:rPr>
        <w:t>it</w:t>
      </w:r>
    </w:p>
    <w:p>
      <w:pPr>
        <w:spacing w:after="0" w:line="373" w:lineRule="exact"/>
        <w:rPr>
          <w:sz w:val="20"/>
          <w:szCs w:val="20"/>
          <w:color w:val="auto"/>
        </w:rPr>
      </w:pPr>
    </w:p>
    <w:p>
      <w:pPr>
        <w:jc w:val="both"/>
        <w:ind w:left="260" w:firstLine="850"/>
        <w:spacing w:after="0" w:line="419" w:lineRule="auto"/>
        <w:rPr>
          <w:sz w:val="20"/>
          <w:szCs w:val="20"/>
          <w:color w:val="auto"/>
        </w:rPr>
      </w:pPr>
      <w:r>
        <w:rPr>
          <w:rFonts w:ascii="Arial" w:cs="Arial" w:eastAsia="Arial" w:hAnsi="Arial"/>
          <w:sz w:val="24"/>
          <w:szCs w:val="24"/>
          <w:color w:val="auto"/>
        </w:rPr>
        <w:t>Na relação entre os empréstimos e depósitos a vista e o spread ex-post se espera uma relação direta, uma vez que o percentual de compulsório mais elevado e a maior liquidez para os depositantes, reduzem o multiplicador bancário e aumenta a necessidade de captação, elevando o custo de oportunidade para essa operação. E uma relação direta com a rentabilidade, levando em consideração que o custo de oportunidade será maior devido a um giro menor e não havendo custos de captação.</w:t>
      </w:r>
    </w:p>
    <w:p>
      <w:pPr>
        <w:spacing w:after="0" w:line="17" w:lineRule="exact"/>
        <w:rPr>
          <w:sz w:val="20"/>
          <w:szCs w:val="20"/>
          <w:color w:val="auto"/>
        </w:rPr>
      </w:pPr>
    </w:p>
    <w:p>
      <w:pPr>
        <w:jc w:val="both"/>
        <w:ind w:left="260" w:right="60" w:firstLine="850"/>
        <w:spacing w:after="0" w:line="400"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3</w:t>
      </w:r>
      <w:r>
        <w:rPr>
          <w:rFonts w:ascii="Arial" w:cs="Arial" w:eastAsia="Arial" w:hAnsi="Arial"/>
          <w:sz w:val="24"/>
          <w:szCs w:val="24"/>
          <w:color w:val="auto"/>
        </w:rPr>
        <w:t>: A proporção das operações de crédito com depósitos a prazo (</w:t>
      </w:r>
      <w:r>
        <w:rPr>
          <w:rFonts w:ascii="Arial" w:cs="Arial" w:eastAsia="Arial" w:hAnsi="Arial"/>
          <w:sz w:val="24"/>
          <w:szCs w:val="24"/>
          <w:i w:val="1"/>
          <w:iCs w:val="1"/>
          <w:color w:val="auto"/>
        </w:rPr>
        <w:t>EAp</w:t>
      </w:r>
      <w:r>
        <w:rPr>
          <w:rFonts w:ascii="Arial" w:cs="Arial" w:eastAsia="Arial" w:hAnsi="Arial"/>
          <w:sz w:val="24"/>
          <w:szCs w:val="24"/>
          <w:color w:val="auto"/>
        </w:rPr>
        <w:t>) e as as operações de crédito (</w:t>
      </w:r>
      <w:r>
        <w:rPr>
          <w:rFonts w:ascii="Arial" w:cs="Arial" w:eastAsia="Arial" w:hAnsi="Arial"/>
          <w:sz w:val="24"/>
          <w:szCs w:val="24"/>
          <w:i w:val="1"/>
          <w:iCs w:val="1"/>
          <w:color w:val="auto"/>
        </w:rPr>
        <w:t>OpCr</w:t>
      </w:r>
      <w:r>
        <w:rPr>
          <w:rFonts w:ascii="Arial" w:cs="Arial" w:eastAsia="Arial" w:hAnsi="Arial"/>
          <w:sz w:val="24"/>
          <w:szCs w:val="24"/>
          <w:color w:val="auto"/>
        </w:rPr>
        <w:t>) atuam de forma direta no spread ex-post (</w:t>
      </w:r>
      <w:r>
        <w:rPr>
          <w:rFonts w:ascii="Arial" w:cs="Arial" w:eastAsia="Arial" w:hAnsi="Arial"/>
          <w:sz w:val="24"/>
          <w:szCs w:val="24"/>
          <w:i w:val="1"/>
          <w:iCs w:val="1"/>
          <w:color w:val="auto"/>
        </w:rPr>
        <w:t>SprEp</w:t>
      </w:r>
      <w:r>
        <w:rPr>
          <w:rFonts w:ascii="Arial" w:cs="Arial" w:eastAsia="Arial" w:hAnsi="Arial"/>
          <w:sz w:val="24"/>
          <w:szCs w:val="24"/>
          <w:color w:val="auto"/>
        </w:rPr>
        <w:t>) e inversa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 do período.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165100</wp:posOffset>
                </wp:positionV>
                <wp:extent cx="2302510"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3pt" to="194.25pt,13pt" o:allowincell="f" strokecolor="#000000" strokeweight="0.398pt"/>
            </w:pict>
          </mc:Fallback>
        </mc:AlternateContent>
      </w:r>
    </w:p>
    <w:p>
      <w:pPr>
        <w:sectPr>
          <w:pgSz w:w="11900" w:h="16838" w:orient="portrait"/>
          <w:cols w:equalWidth="0" w:num="1">
            <w:col w:w="9380"/>
          </w:cols>
          <w:pgMar w:left="1440" w:top="991" w:right="1086" w:bottom="750" w:gutter="0" w:footer="0" w:header="0"/>
        </w:sectPr>
      </w:pPr>
    </w:p>
    <w:p>
      <w:pPr>
        <w:spacing w:after="0" w:line="298" w:lineRule="exact"/>
        <w:rPr>
          <w:sz w:val="20"/>
          <w:szCs w:val="20"/>
          <w:color w:val="auto"/>
        </w:rPr>
      </w:pPr>
    </w:p>
    <w:p>
      <w:pPr>
        <w:ind w:left="540" w:right="60" w:hanging="281"/>
        <w:spacing w:after="0" w:line="210" w:lineRule="auto"/>
        <w:tabs>
          <w:tab w:leader="none" w:pos="540" w:val="left"/>
        </w:tabs>
        <w:numPr>
          <w:ilvl w:val="0"/>
          <w:numId w:val="28"/>
        </w:numPr>
        <w:rPr>
          <w:rFonts w:ascii="Arial" w:cs="Arial" w:eastAsia="Arial" w:hAnsi="Arial"/>
          <w:sz w:val="28"/>
          <w:szCs w:val="28"/>
          <w:color w:val="auto"/>
          <w:vertAlign w:val="superscript"/>
        </w:rPr>
      </w:pPr>
      <w:r>
        <w:rPr>
          <w:rFonts w:ascii="Arial" w:cs="Arial" w:eastAsia="Arial" w:hAnsi="Arial"/>
          <w:sz w:val="20"/>
          <w:szCs w:val="20"/>
          <w:color w:val="auto"/>
        </w:rPr>
        <w:t>Aqui se espera que haja redução do nível de lucros pelo fato de o capital próprio ser limitado, sujeitos a mais riscos e que a taxa de aplicação tenha um ponto de maximização de lucros</w:t>
      </w:r>
    </w:p>
    <w:p>
      <w:pPr>
        <w:sectPr>
          <w:pgSz w:w="11900" w:h="16838" w:orient="portrait"/>
          <w:cols w:equalWidth="0" w:num="1">
            <w:col w:w="9380"/>
          </w:cols>
          <w:pgMar w:left="1440" w:top="991" w:right="1086" w:bottom="750" w:gutter="0" w:footer="0" w:header="0"/>
          <w:type w:val="continuous"/>
        </w:sectPr>
      </w:pPr>
    </w:p>
    <w:p>
      <w:pPr>
        <w:ind w:left="9060"/>
        <w:spacing w:after="0"/>
        <w:rPr>
          <w:sz w:val="20"/>
          <w:szCs w:val="20"/>
          <w:color w:val="auto"/>
        </w:rPr>
      </w:pPr>
      <w:r>
        <w:rPr>
          <w:rFonts w:ascii="Arial" w:cs="Arial" w:eastAsia="Arial" w:hAnsi="Arial"/>
          <w:sz w:val="24"/>
          <w:szCs w:val="24"/>
          <w:color w:val="auto"/>
        </w:rPr>
        <w:t>56</w:t>
      </w:r>
    </w:p>
    <w:p>
      <w:pPr>
        <w:spacing w:after="0" w:line="200" w:lineRule="exact"/>
        <w:rPr>
          <w:sz w:val="20"/>
          <w:szCs w:val="20"/>
          <w:color w:val="auto"/>
        </w:rPr>
      </w:pPr>
    </w:p>
    <w:p>
      <w:pPr>
        <w:spacing w:after="0" w:line="246" w:lineRule="exact"/>
        <w:rPr>
          <w:sz w:val="20"/>
          <w:szCs w:val="20"/>
          <w:color w:val="auto"/>
        </w:rPr>
      </w:pPr>
    </w:p>
    <w:p>
      <w:pPr>
        <w:jc w:val="both"/>
        <w:ind w:left="260" w:firstLine="850"/>
        <w:spacing w:after="0" w:line="423" w:lineRule="auto"/>
        <w:rPr>
          <w:sz w:val="20"/>
          <w:szCs w:val="20"/>
          <w:color w:val="auto"/>
        </w:rPr>
      </w:pPr>
      <w:r>
        <w:rPr>
          <w:rFonts w:ascii="Arial" w:cs="Arial" w:eastAsia="Arial" w:hAnsi="Arial"/>
          <w:sz w:val="24"/>
          <w:szCs w:val="24"/>
          <w:color w:val="auto"/>
        </w:rPr>
        <w:t>Para a proporção das operações de crédito com depósito a prazo (</w:t>
      </w:r>
      <w:r>
        <w:rPr>
          <w:rFonts w:ascii="Arial" w:cs="Arial" w:eastAsia="Arial" w:hAnsi="Arial"/>
          <w:sz w:val="24"/>
          <w:szCs w:val="24"/>
          <w:i w:val="1"/>
          <w:iCs w:val="1"/>
          <w:color w:val="auto"/>
        </w:rPr>
        <w:t>EAp</w:t>
      </w:r>
      <w:r>
        <w:rPr>
          <w:rFonts w:ascii="Arial" w:cs="Arial" w:eastAsia="Arial" w:hAnsi="Arial"/>
          <w:sz w:val="24"/>
          <w:szCs w:val="24"/>
          <w:color w:val="auto"/>
        </w:rPr>
        <w:t>) será utilizado o total dos depósitos a prazos (</w:t>
      </w:r>
      <w:r>
        <w:rPr>
          <w:rFonts w:ascii="Arial" w:cs="Arial" w:eastAsia="Arial" w:hAnsi="Arial"/>
          <w:sz w:val="24"/>
          <w:szCs w:val="24"/>
          <w:i w:val="1"/>
          <w:iCs w:val="1"/>
          <w:color w:val="auto"/>
        </w:rPr>
        <w:t>DepAp</w:t>
      </w:r>
      <w:r>
        <w:rPr>
          <w:rFonts w:ascii="Arial" w:cs="Arial" w:eastAsia="Arial" w:hAnsi="Arial"/>
          <w:sz w:val="24"/>
          <w:szCs w:val="24"/>
          <w:color w:val="auto"/>
        </w:rPr>
        <w:t xml:space="preserve"> — Conta 41500002) em relação opera-ções de crédito (</w:t>
      </w:r>
      <w:r>
        <w:rPr>
          <w:rFonts w:ascii="Arial" w:cs="Arial" w:eastAsia="Arial" w:hAnsi="Arial"/>
          <w:sz w:val="24"/>
          <w:szCs w:val="24"/>
          <w:i w:val="1"/>
          <w:iCs w:val="1"/>
          <w:color w:val="auto"/>
        </w:rPr>
        <w:t>OpCr</w:t>
      </w:r>
      <w:r>
        <w:rPr>
          <w:rFonts w:ascii="Arial" w:cs="Arial" w:eastAsia="Arial" w:hAnsi="Arial"/>
          <w:sz w:val="24"/>
          <w:szCs w:val="24"/>
          <w:color w:val="auto"/>
        </w:rPr>
        <w:t xml:space="preserve"> — Conta 16000001).</w:t>
      </w:r>
    </w:p>
    <w:p>
      <w:pPr>
        <w:jc w:val="right"/>
        <w:ind w:right="3700"/>
        <w:spacing w:after="0" w:line="238" w:lineRule="auto"/>
        <w:rPr>
          <w:sz w:val="20"/>
          <w:szCs w:val="20"/>
          <w:color w:val="auto"/>
        </w:rPr>
      </w:pPr>
      <w:r>
        <w:rPr>
          <w:rFonts w:ascii="Arial" w:cs="Arial" w:eastAsia="Arial" w:hAnsi="Arial"/>
          <w:sz w:val="24"/>
          <w:szCs w:val="24"/>
          <w:i w:val="1"/>
          <w:iCs w:val="1"/>
          <w:color w:val="auto"/>
        </w:rPr>
        <w:t>DepAp</w:t>
      </w:r>
      <w:r>
        <w:rPr>
          <w:rFonts w:ascii="Arial" w:cs="Arial" w:eastAsia="Arial" w:hAnsi="Arial"/>
          <w:sz w:val="15"/>
          <w:szCs w:val="15"/>
          <w:i w:val="1"/>
          <w:iCs w:val="1"/>
          <w:color w:val="auto"/>
        </w:rPr>
        <w:t>it</w:t>
      </w:r>
    </w:p>
    <w:p>
      <w:pPr>
        <w:jc w:val="right"/>
        <w:ind w:right="4620"/>
        <w:spacing w:after="0" w:line="181" w:lineRule="auto"/>
        <w:rPr>
          <w:sz w:val="20"/>
          <w:szCs w:val="20"/>
          <w:color w:val="auto"/>
        </w:rPr>
      </w:pPr>
      <w:r>
        <w:rPr>
          <w:rFonts w:ascii="Arial" w:cs="Arial" w:eastAsia="Arial" w:hAnsi="Arial"/>
          <w:sz w:val="19"/>
          <w:szCs w:val="19"/>
          <w:i w:val="1"/>
          <w:iCs w:val="1"/>
          <w:color w:val="auto"/>
          <w:vertAlign w:val="superscript"/>
        </w:rPr>
        <w:t>EAp</w:t>
      </w:r>
      <w:r>
        <w:rPr>
          <w:rFonts w:ascii="Arial" w:cs="Arial" w:eastAsia="Arial" w:hAnsi="Arial"/>
          <w:sz w:val="11"/>
          <w:szCs w:val="11"/>
          <w:i w:val="1"/>
          <w:iCs w:val="1"/>
          <w:color w:val="auto"/>
        </w:rPr>
        <w:t>it</w:t>
      </w:r>
      <w:r>
        <w:rPr>
          <w:rFonts w:ascii="Arial" w:cs="Arial" w:eastAsia="Arial" w:hAnsi="Arial"/>
          <w:sz w:val="19"/>
          <w:szCs w:val="19"/>
          <w:color w:val="auto"/>
        </w:rPr>
        <w:t xml:space="preserve"> </w:t>
      </w:r>
      <w:r>
        <w:rPr>
          <w:rFonts w:ascii="Arial" w:cs="Arial" w:eastAsia="Arial" w:hAnsi="Arial"/>
          <w:sz w:val="19"/>
          <w:szCs w:val="19"/>
          <w:color w:val="auto"/>
          <w:vertAlign w:val="super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3066415</wp:posOffset>
                </wp:positionH>
                <wp:positionV relativeFrom="paragraph">
                  <wp:posOffset>-36195</wp:posOffset>
                </wp:positionV>
                <wp:extent cx="539115"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1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45pt,-2.8499pt" to="283.9pt,-2.8499pt" o:allowincell="f" strokecolor="#000000" strokeweight="0.398pt"/>
            </w:pict>
          </mc:Fallback>
        </mc:AlternateContent>
      </w:r>
    </w:p>
    <w:p>
      <w:pPr>
        <w:jc w:val="right"/>
        <w:ind w:right="3760"/>
        <w:spacing w:after="0" w:line="185" w:lineRule="auto"/>
        <w:rPr>
          <w:sz w:val="20"/>
          <w:szCs w:val="20"/>
          <w:color w:val="auto"/>
        </w:rPr>
      </w:pPr>
      <w:r>
        <w:rPr>
          <w:rFonts w:ascii="Arial" w:cs="Arial" w:eastAsia="Arial" w:hAnsi="Arial"/>
          <w:sz w:val="27"/>
          <w:szCs w:val="27"/>
          <w:i w:val="1"/>
          <w:iCs w:val="1"/>
          <w:color w:val="auto"/>
          <w:vertAlign w:val="subscript"/>
        </w:rPr>
        <w:t>OpCr</w:t>
      </w:r>
      <w:r>
        <w:rPr>
          <w:rFonts w:ascii="Arial" w:cs="Arial" w:eastAsia="Arial" w:hAnsi="Arial"/>
          <w:sz w:val="19"/>
          <w:szCs w:val="19"/>
          <w:i w:val="1"/>
          <w:iCs w:val="1"/>
          <w:color w:val="auto"/>
          <w:vertAlign w:val="subscript"/>
        </w:rPr>
        <w:t>it</w:t>
      </w:r>
    </w:p>
    <w:p>
      <w:pPr>
        <w:spacing w:after="0" w:line="373" w:lineRule="exact"/>
        <w:rPr>
          <w:sz w:val="20"/>
          <w:szCs w:val="20"/>
          <w:color w:val="auto"/>
        </w:rPr>
      </w:pPr>
    </w:p>
    <w:p>
      <w:pPr>
        <w:jc w:val="both"/>
        <w:ind w:left="260" w:right="40" w:firstLine="850"/>
        <w:spacing w:after="0" w:line="419" w:lineRule="auto"/>
        <w:rPr>
          <w:sz w:val="20"/>
          <w:szCs w:val="20"/>
          <w:color w:val="auto"/>
        </w:rPr>
      </w:pPr>
      <w:r>
        <w:rPr>
          <w:rFonts w:ascii="Arial" w:cs="Arial" w:eastAsia="Arial" w:hAnsi="Arial"/>
          <w:sz w:val="24"/>
          <w:szCs w:val="24"/>
          <w:color w:val="auto"/>
        </w:rPr>
        <w:t>Na relação entre os empréstimos e depósitos a prazo e o spread ex-post se espera uma relação indireta, possui menor taxa de recolhimento compulsório e menor necessidade de captação para a operação, e maior capapacidade de multiplicação do crédito. Em relação a rentabilidade é esperado que ocorra uma relação indireta por elevar o custo de captação.</w:t>
      </w:r>
    </w:p>
    <w:p>
      <w:pPr>
        <w:spacing w:after="0" w:line="21" w:lineRule="exact"/>
        <w:rPr>
          <w:sz w:val="20"/>
          <w:szCs w:val="20"/>
          <w:color w:val="auto"/>
        </w:rPr>
      </w:pPr>
    </w:p>
    <w:p>
      <w:pPr>
        <w:jc w:val="both"/>
        <w:ind w:left="260" w:right="40" w:firstLine="850"/>
        <w:spacing w:after="0" w:line="400"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4</w:t>
      </w:r>
      <w:r>
        <w:rPr>
          <w:rFonts w:ascii="Arial" w:cs="Arial" w:eastAsia="Arial" w:hAnsi="Arial"/>
          <w:sz w:val="24"/>
          <w:szCs w:val="24"/>
          <w:color w:val="auto"/>
        </w:rPr>
        <w:t>: A proporção das despesas administrativas (</w:t>
      </w:r>
      <w:r>
        <w:rPr>
          <w:rFonts w:ascii="Arial" w:cs="Arial" w:eastAsia="Arial" w:hAnsi="Arial"/>
          <w:sz w:val="24"/>
          <w:szCs w:val="24"/>
          <w:i w:val="1"/>
          <w:iCs w:val="1"/>
          <w:color w:val="auto"/>
        </w:rPr>
        <w:t>DA</w:t>
      </w:r>
      <w:r>
        <w:rPr>
          <w:rFonts w:ascii="Arial" w:cs="Arial" w:eastAsia="Arial" w:hAnsi="Arial"/>
          <w:sz w:val="24"/>
          <w:szCs w:val="24"/>
          <w:color w:val="auto"/>
        </w:rPr>
        <w:t>) sobre as operações de crédito (</w:t>
      </w:r>
      <w:r>
        <w:rPr>
          <w:rFonts w:ascii="Arial" w:cs="Arial" w:eastAsia="Arial" w:hAnsi="Arial"/>
          <w:sz w:val="24"/>
          <w:szCs w:val="24"/>
          <w:i w:val="1"/>
          <w:iCs w:val="1"/>
          <w:color w:val="auto"/>
        </w:rPr>
        <w:t>OpCr</w:t>
      </w:r>
      <w:r>
        <w:rPr>
          <w:rFonts w:ascii="Arial" w:cs="Arial" w:eastAsia="Arial" w:hAnsi="Arial"/>
          <w:sz w:val="24"/>
          <w:szCs w:val="24"/>
          <w:color w:val="auto"/>
        </w:rPr>
        <w:t>) mantém uma relação direta com spread ex-post (</w:t>
      </w:r>
      <w:r>
        <w:rPr>
          <w:rFonts w:ascii="Arial" w:cs="Arial" w:eastAsia="Arial" w:hAnsi="Arial"/>
          <w:sz w:val="24"/>
          <w:szCs w:val="24"/>
          <w:i w:val="1"/>
          <w:iCs w:val="1"/>
          <w:color w:val="auto"/>
        </w:rPr>
        <w:t>SprEp</w:t>
      </w:r>
      <w:r>
        <w:rPr>
          <w:rFonts w:ascii="Arial" w:cs="Arial" w:eastAsia="Arial" w:hAnsi="Arial"/>
          <w:sz w:val="24"/>
          <w:szCs w:val="24"/>
          <w:color w:val="auto"/>
        </w:rPr>
        <w:t>) e inversa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120" w:lineRule="exact"/>
        <w:rPr>
          <w:sz w:val="20"/>
          <w:szCs w:val="20"/>
          <w:color w:val="auto"/>
        </w:rPr>
      </w:pPr>
    </w:p>
    <w:p>
      <w:pPr>
        <w:jc w:val="both"/>
        <w:ind w:left="260" w:firstLine="858"/>
        <w:spacing w:after="0" w:line="419" w:lineRule="auto"/>
        <w:rPr>
          <w:sz w:val="20"/>
          <w:szCs w:val="20"/>
          <w:color w:val="auto"/>
        </w:rPr>
      </w:pPr>
      <w:r>
        <w:rPr>
          <w:rFonts w:ascii="Arial" w:cs="Arial" w:eastAsia="Arial" w:hAnsi="Arial"/>
          <w:sz w:val="24"/>
          <w:szCs w:val="24"/>
          <w:color w:val="auto"/>
        </w:rPr>
        <w:t>Para esta variável será considerada a relação entre as despesas administrativas (</w:t>
      </w:r>
      <w:r>
        <w:rPr>
          <w:rFonts w:ascii="Arial" w:cs="Arial" w:eastAsia="Arial" w:hAnsi="Arial"/>
          <w:sz w:val="24"/>
          <w:szCs w:val="24"/>
          <w:i w:val="1"/>
          <w:iCs w:val="1"/>
          <w:color w:val="auto"/>
        </w:rPr>
        <w:t>DA</w:t>
      </w:r>
      <w:r>
        <w:rPr>
          <w:rFonts w:ascii="Arial" w:cs="Arial" w:eastAsia="Arial" w:hAnsi="Arial"/>
          <w:sz w:val="24"/>
          <w:szCs w:val="24"/>
          <w:color w:val="auto"/>
        </w:rPr>
        <w:t xml:space="preserve"> — Conta 81700006) e as operações de crédito (</w:t>
      </w:r>
      <w:r>
        <w:rPr>
          <w:rFonts w:ascii="Arial" w:cs="Arial" w:eastAsia="Arial" w:hAnsi="Arial"/>
          <w:sz w:val="24"/>
          <w:szCs w:val="24"/>
          <w:i w:val="1"/>
          <w:iCs w:val="1"/>
          <w:color w:val="auto"/>
        </w:rPr>
        <w:t>OpCr</w:t>
      </w:r>
      <w:r>
        <w:rPr>
          <w:rFonts w:ascii="Arial" w:cs="Arial" w:eastAsia="Arial" w:hAnsi="Arial"/>
          <w:sz w:val="24"/>
          <w:szCs w:val="24"/>
          <w:color w:val="auto"/>
        </w:rPr>
        <w:t xml:space="preserve"> — Conta 16000001). Espera-se que ocorra uma relação direta com spread ex-post (</w:t>
      </w:r>
      <w:r>
        <w:rPr>
          <w:rFonts w:ascii="Arial" w:cs="Arial" w:eastAsia="Arial" w:hAnsi="Arial"/>
          <w:sz w:val="24"/>
          <w:szCs w:val="24"/>
          <w:i w:val="1"/>
          <w:iCs w:val="1"/>
          <w:color w:val="auto"/>
        </w:rPr>
        <w:t>SprEp</w:t>
      </w:r>
      <w:r>
        <w:rPr>
          <w:rFonts w:ascii="Arial" w:cs="Arial" w:eastAsia="Arial" w:hAnsi="Arial"/>
          <w:sz w:val="24"/>
          <w:szCs w:val="24"/>
          <w:color w:val="auto"/>
        </w:rPr>
        <w:t>), pois este valor estar embutido na taxa de aplicação, e inversa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 pois implica em maiores despesas.</w:t>
      </w:r>
    </w:p>
    <w:p>
      <w:pPr>
        <w:ind w:left="3840"/>
        <w:spacing w:after="0" w:line="197" w:lineRule="auto"/>
        <w:rPr>
          <w:sz w:val="20"/>
          <w:szCs w:val="20"/>
          <w:color w:val="auto"/>
        </w:rPr>
      </w:pPr>
      <w:r>
        <w:rPr>
          <w:rFonts w:ascii="Arial" w:cs="Arial" w:eastAsia="Arial" w:hAnsi="Arial"/>
          <w:sz w:val="24"/>
          <w:szCs w:val="24"/>
          <w:i w:val="1"/>
          <w:iCs w:val="1"/>
          <w:color w:val="auto"/>
        </w:rPr>
        <w:t>DAdm</w:t>
      </w:r>
      <w:r>
        <w:rPr>
          <w:rFonts w:ascii="Arial" w:cs="Arial" w:eastAsia="Arial" w:hAnsi="Arial"/>
          <w:sz w:val="15"/>
          <w:szCs w:val="15"/>
          <w:i w:val="1"/>
          <w:iCs w:val="1"/>
          <w:color w:val="auto"/>
        </w:rPr>
        <w:t>it</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DA</w:t>
      </w:r>
      <w:r>
        <w:rPr>
          <w:rFonts w:ascii="Arial" w:cs="Arial" w:eastAsia="Arial" w:hAnsi="Arial"/>
          <w:sz w:val="31"/>
          <w:szCs w:val="31"/>
          <w:i w:val="1"/>
          <w:iCs w:val="1"/>
          <w:color w:val="auto"/>
          <w:vertAlign w:val="superscript"/>
        </w:rPr>
        <w:t>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3177540</wp:posOffset>
                </wp:positionH>
                <wp:positionV relativeFrom="paragraph">
                  <wp:posOffset>-35560</wp:posOffset>
                </wp:positionV>
                <wp:extent cx="458470"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84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2pt,-2.7999pt" to="286.3pt,-2.7999pt" o:allowincell="f" strokecolor="#000000" strokeweight="0.398pt"/>
            </w:pict>
          </mc:Fallback>
        </mc:AlternateContent>
      </w:r>
    </w:p>
    <w:p>
      <w:pPr>
        <w:ind w:left="5000"/>
        <w:spacing w:after="0" w:line="186" w:lineRule="auto"/>
        <w:rPr>
          <w:sz w:val="20"/>
          <w:szCs w:val="20"/>
          <w:color w:val="auto"/>
        </w:rPr>
      </w:pPr>
      <w:r>
        <w:rPr>
          <w:rFonts w:ascii="Arial" w:cs="Arial" w:eastAsia="Arial" w:hAnsi="Arial"/>
          <w:sz w:val="21"/>
          <w:szCs w:val="21"/>
          <w:i w:val="1"/>
          <w:iCs w:val="1"/>
          <w:color w:val="auto"/>
        </w:rPr>
        <w:t>OpCr</w:t>
      </w:r>
      <w:r>
        <w:rPr>
          <w:rFonts w:ascii="Arial" w:cs="Arial" w:eastAsia="Arial" w:hAnsi="Arial"/>
          <w:sz w:val="27"/>
          <w:szCs w:val="27"/>
          <w:i w:val="1"/>
          <w:iCs w:val="1"/>
          <w:color w:val="auto"/>
          <w:vertAlign w:val="subscript"/>
        </w:rPr>
        <w:t>it</w:t>
      </w:r>
    </w:p>
    <w:p>
      <w:pPr>
        <w:spacing w:after="0" w:line="293" w:lineRule="exact"/>
        <w:rPr>
          <w:sz w:val="20"/>
          <w:szCs w:val="20"/>
          <w:color w:val="auto"/>
        </w:rPr>
      </w:pPr>
    </w:p>
    <w:p>
      <w:pPr>
        <w:jc w:val="both"/>
        <w:ind w:left="260" w:right="40" w:firstLine="850"/>
        <w:spacing w:after="0" w:line="431"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5</w:t>
      </w:r>
      <w:r>
        <w:rPr>
          <w:rFonts w:ascii="Arial" w:cs="Arial" w:eastAsia="Arial" w:hAnsi="Arial"/>
          <w:sz w:val="24"/>
          <w:szCs w:val="24"/>
          <w:color w:val="auto"/>
        </w:rPr>
        <w:t>: O volume das operações de crédito (</w:t>
      </w:r>
      <w:r>
        <w:rPr>
          <w:rFonts w:ascii="Arial" w:cs="Arial" w:eastAsia="Arial" w:hAnsi="Arial"/>
          <w:sz w:val="24"/>
          <w:szCs w:val="24"/>
          <w:i w:val="1"/>
          <w:iCs w:val="1"/>
          <w:color w:val="auto"/>
        </w:rPr>
        <w:t>V ol</w:t>
      </w:r>
      <w:r>
        <w:rPr>
          <w:rFonts w:ascii="Arial" w:cs="Arial" w:eastAsia="Arial" w:hAnsi="Arial"/>
          <w:sz w:val="24"/>
          <w:szCs w:val="24"/>
          <w:color w:val="auto"/>
        </w:rPr>
        <w:t>) atua de forma inversa no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21" w:lineRule="exact"/>
        <w:rPr>
          <w:sz w:val="20"/>
          <w:szCs w:val="20"/>
          <w:color w:val="auto"/>
        </w:rPr>
      </w:pPr>
    </w:p>
    <w:p>
      <w:pPr>
        <w:jc w:val="both"/>
        <w:ind w:left="260" w:right="40" w:firstLine="850"/>
        <w:spacing w:after="0" w:line="408" w:lineRule="auto"/>
        <w:rPr>
          <w:sz w:val="20"/>
          <w:szCs w:val="20"/>
          <w:color w:val="auto"/>
        </w:rPr>
      </w:pPr>
      <w:r>
        <w:rPr>
          <w:rFonts w:ascii="Arial" w:cs="Arial" w:eastAsia="Arial" w:hAnsi="Arial"/>
          <w:sz w:val="24"/>
          <w:szCs w:val="24"/>
          <w:color w:val="auto"/>
        </w:rPr>
        <w:t>Para esta variável será considerado o logarítimo natural das operações de crédito (</w:t>
      </w:r>
      <w:r>
        <w:rPr>
          <w:rFonts w:ascii="Arial" w:cs="Arial" w:eastAsia="Arial" w:hAnsi="Arial"/>
          <w:sz w:val="24"/>
          <w:szCs w:val="24"/>
          <w:i w:val="1"/>
          <w:iCs w:val="1"/>
          <w:color w:val="auto"/>
        </w:rPr>
        <w:t>OpCr</w:t>
      </w:r>
      <w:r>
        <w:rPr>
          <w:rFonts w:ascii="Arial" w:cs="Arial" w:eastAsia="Arial" w:hAnsi="Arial"/>
          <w:sz w:val="24"/>
          <w:szCs w:val="24"/>
          <w:color w:val="auto"/>
        </w:rPr>
        <w:t xml:space="preserve"> — Conta 16000001). Espera-se uma relação inversa com o spread ex-post (</w:t>
      </w:r>
      <w:r>
        <w:rPr>
          <w:rFonts w:ascii="Arial" w:cs="Arial" w:eastAsia="Arial" w:hAnsi="Arial"/>
          <w:sz w:val="24"/>
          <w:szCs w:val="24"/>
          <w:i w:val="1"/>
          <w:iCs w:val="1"/>
          <w:color w:val="auto"/>
        </w:rPr>
        <w:t>SprEp</w:t>
      </w:r>
      <w:r>
        <w:rPr>
          <w:rFonts w:ascii="Arial" w:cs="Arial" w:eastAsia="Arial" w:hAnsi="Arial"/>
          <w:sz w:val="24"/>
          <w:szCs w:val="24"/>
          <w:color w:val="auto"/>
        </w:rPr>
        <w:t>), uma vez que um maior volume durante o período permite redução na taxa de aplicação, e redução de custos operacionais, mantendo uma relação direta com a rentabilidade.</w:t>
      </w:r>
    </w:p>
    <w:p>
      <w:pPr>
        <w:jc w:val="center"/>
        <w:ind w:right="-239"/>
        <w:spacing w:after="0" w:line="232" w:lineRule="auto"/>
        <w:rPr>
          <w:sz w:val="20"/>
          <w:szCs w:val="20"/>
          <w:color w:val="auto"/>
        </w:rPr>
      </w:pPr>
      <w:r>
        <w:rPr>
          <w:rFonts w:ascii="Arial" w:cs="Arial" w:eastAsia="Arial" w:hAnsi="Arial"/>
          <w:sz w:val="24"/>
          <w:szCs w:val="24"/>
          <w:i w:val="1"/>
          <w:iCs w:val="1"/>
          <w:color w:val="auto"/>
        </w:rPr>
        <w:t>V ol</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 ln(</w:t>
      </w:r>
      <w:r>
        <w:rPr>
          <w:rFonts w:ascii="Arial" w:cs="Arial" w:eastAsia="Arial" w:hAnsi="Arial"/>
          <w:sz w:val="24"/>
          <w:szCs w:val="24"/>
          <w:i w:val="1"/>
          <w:iCs w:val="1"/>
          <w:color w:val="auto"/>
        </w:rPr>
        <w:t>OpCr</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w:t>
      </w:r>
    </w:p>
    <w:p>
      <w:pPr>
        <w:sectPr>
          <w:pgSz w:w="11900" w:h="16838" w:orient="portrait"/>
          <w:cols w:equalWidth="0" w:num="1">
            <w:col w:w="9360"/>
          </w:cols>
          <w:pgMar w:left="1440" w:top="991" w:right="1106" w:bottom="752" w:gutter="0" w:footer="0" w:header="0"/>
        </w:sectPr>
      </w:pPr>
    </w:p>
    <w:p>
      <w:pPr>
        <w:ind w:left="9060"/>
        <w:spacing w:after="0"/>
        <w:rPr>
          <w:sz w:val="20"/>
          <w:szCs w:val="20"/>
          <w:color w:val="auto"/>
        </w:rPr>
      </w:pPr>
      <w:r>
        <w:rPr>
          <w:rFonts w:ascii="Arial" w:cs="Arial" w:eastAsia="Arial" w:hAnsi="Arial"/>
          <w:sz w:val="24"/>
          <w:szCs w:val="24"/>
          <w:color w:val="auto"/>
        </w:rPr>
        <w:t>57</w:t>
      </w:r>
    </w:p>
    <w:p>
      <w:pPr>
        <w:spacing w:after="0" w:line="200" w:lineRule="exact"/>
        <w:rPr>
          <w:sz w:val="20"/>
          <w:szCs w:val="20"/>
          <w:color w:val="auto"/>
        </w:rPr>
      </w:pPr>
    </w:p>
    <w:p>
      <w:pPr>
        <w:spacing w:after="0" w:line="246"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Espera-se que para garantir uma maior volume de operações de crédito(</w:t>
      </w:r>
      <w:r>
        <w:rPr>
          <w:rFonts w:ascii="Arial" w:cs="Arial" w:eastAsia="Arial" w:hAnsi="Arial"/>
          <w:sz w:val="24"/>
          <w:szCs w:val="24"/>
          <w:i w:val="1"/>
          <w:iCs w:val="1"/>
          <w:color w:val="auto"/>
        </w:rPr>
        <w:t>V ol</w:t>
      </w:r>
      <w:r>
        <w:rPr>
          <w:rFonts w:ascii="Arial" w:cs="Arial" w:eastAsia="Arial" w:hAnsi="Arial"/>
          <w:sz w:val="24"/>
          <w:szCs w:val="24"/>
          <w:color w:val="auto"/>
        </w:rPr>
        <w:t>) e consequentemente elevação do lucro e rentabilidade as instituições atuam na redução das margens fazendo que ocorra uma redução do spread ex-post e elevação da rentabilidade.</w:t>
      </w:r>
    </w:p>
    <w:p>
      <w:pPr>
        <w:spacing w:after="0" w:line="8" w:lineRule="exact"/>
        <w:rPr>
          <w:sz w:val="20"/>
          <w:szCs w:val="20"/>
          <w:color w:val="auto"/>
        </w:rPr>
      </w:pPr>
    </w:p>
    <w:p>
      <w:pPr>
        <w:jc w:val="both"/>
        <w:ind w:left="260" w:right="40" w:firstLine="850"/>
        <w:spacing w:after="0" w:line="431"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6</w:t>
      </w:r>
      <w:r>
        <w:rPr>
          <w:rFonts w:ascii="Arial" w:cs="Arial" w:eastAsia="Arial" w:hAnsi="Arial"/>
          <w:sz w:val="24"/>
          <w:szCs w:val="24"/>
          <w:color w:val="auto"/>
        </w:rPr>
        <w:t>: O tamanho da instituição (</w:t>
      </w:r>
      <w:r>
        <w:rPr>
          <w:rFonts w:ascii="Arial" w:cs="Arial" w:eastAsia="Arial" w:hAnsi="Arial"/>
          <w:sz w:val="24"/>
          <w:szCs w:val="24"/>
          <w:i w:val="1"/>
          <w:iCs w:val="1"/>
          <w:color w:val="auto"/>
        </w:rPr>
        <w:t>T am</w:t>
      </w:r>
      <w:r>
        <w:rPr>
          <w:rFonts w:ascii="Arial" w:cs="Arial" w:eastAsia="Arial" w:hAnsi="Arial"/>
          <w:sz w:val="24"/>
          <w:szCs w:val="24"/>
          <w:color w:val="auto"/>
        </w:rPr>
        <w:t>) mantém uma relação inversa com o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14" w:lineRule="exact"/>
        <w:rPr>
          <w:sz w:val="20"/>
          <w:szCs w:val="20"/>
          <w:color w:val="auto"/>
        </w:rPr>
      </w:pPr>
    </w:p>
    <w:p>
      <w:pPr>
        <w:jc w:val="both"/>
        <w:ind w:left="260" w:firstLine="850"/>
        <w:spacing w:after="0" w:line="408" w:lineRule="auto"/>
        <w:rPr>
          <w:sz w:val="20"/>
          <w:szCs w:val="20"/>
          <w:color w:val="auto"/>
        </w:rPr>
      </w:pPr>
      <w:r>
        <w:rPr>
          <w:rFonts w:ascii="Arial" w:cs="Arial" w:eastAsia="Arial" w:hAnsi="Arial"/>
          <w:sz w:val="24"/>
          <w:szCs w:val="24"/>
          <w:color w:val="auto"/>
        </w:rPr>
        <w:t>Para a variável de tamanho da instituição (</w:t>
      </w:r>
      <w:r>
        <w:rPr>
          <w:rFonts w:ascii="Arial" w:cs="Arial" w:eastAsia="Arial" w:hAnsi="Arial"/>
          <w:sz w:val="24"/>
          <w:szCs w:val="24"/>
          <w:i w:val="1"/>
          <w:iCs w:val="1"/>
          <w:color w:val="auto"/>
        </w:rPr>
        <w:t>T am</w:t>
      </w:r>
      <w:r>
        <w:rPr>
          <w:rFonts w:ascii="Arial" w:cs="Arial" w:eastAsia="Arial" w:hAnsi="Arial"/>
          <w:sz w:val="24"/>
          <w:szCs w:val="24"/>
          <w:color w:val="auto"/>
        </w:rPr>
        <w:t>) será considerado o loga-rítimo natural do ativo total (</w:t>
      </w:r>
      <w:r>
        <w:rPr>
          <w:rFonts w:ascii="Arial" w:cs="Arial" w:eastAsia="Arial" w:hAnsi="Arial"/>
          <w:sz w:val="24"/>
          <w:szCs w:val="24"/>
          <w:i w:val="1"/>
          <w:iCs w:val="1"/>
          <w:color w:val="auto"/>
        </w:rPr>
        <w:t>AtvT oT</w:t>
      </w:r>
      <w:r>
        <w:rPr>
          <w:rFonts w:ascii="Arial" w:cs="Arial" w:eastAsia="Arial" w:hAnsi="Arial"/>
          <w:sz w:val="24"/>
          <w:szCs w:val="24"/>
          <w:color w:val="auto"/>
        </w:rPr>
        <w:t xml:space="preserve"> — Conta 39999993). É esperada um relação inversa com o spread, pois com maior poder de mercado, as instituições podem reduzir suas margens para aumentar volume, o que implicaria em uma relação direta com a rentabilidade.</w:t>
      </w:r>
    </w:p>
    <w:p>
      <w:pPr>
        <w:jc w:val="center"/>
        <w:ind w:right="-239"/>
        <w:spacing w:after="0" w:line="232" w:lineRule="auto"/>
        <w:rPr>
          <w:sz w:val="20"/>
          <w:szCs w:val="20"/>
          <w:color w:val="auto"/>
        </w:rPr>
      </w:pPr>
      <w:r>
        <w:rPr>
          <w:rFonts w:ascii="Arial" w:cs="Arial" w:eastAsia="Arial" w:hAnsi="Arial"/>
          <w:sz w:val="24"/>
          <w:szCs w:val="24"/>
          <w:i w:val="1"/>
          <w:iCs w:val="1"/>
          <w:color w:val="auto"/>
        </w:rPr>
        <w:t>T am</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 ln(</w:t>
      </w:r>
      <w:r>
        <w:rPr>
          <w:rFonts w:ascii="Arial" w:cs="Arial" w:eastAsia="Arial" w:hAnsi="Arial"/>
          <w:sz w:val="24"/>
          <w:szCs w:val="24"/>
          <w:i w:val="1"/>
          <w:iCs w:val="1"/>
          <w:color w:val="auto"/>
        </w:rPr>
        <w:t>AtvT ot</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w:t>
      </w:r>
    </w:p>
    <w:p>
      <w:pPr>
        <w:spacing w:after="0" w:line="319" w:lineRule="exact"/>
        <w:rPr>
          <w:sz w:val="20"/>
          <w:szCs w:val="20"/>
          <w:color w:val="auto"/>
        </w:rPr>
      </w:pPr>
    </w:p>
    <w:p>
      <w:pPr>
        <w:ind w:left="260" w:right="40" w:firstLine="850"/>
        <w:spacing w:after="0" w:line="431"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7</w:t>
      </w:r>
      <w:r>
        <w:rPr>
          <w:rFonts w:ascii="Arial" w:cs="Arial" w:eastAsia="Arial" w:hAnsi="Arial"/>
          <w:sz w:val="24"/>
          <w:szCs w:val="24"/>
          <w:color w:val="auto"/>
        </w:rPr>
        <w:t>: O risco de crédito da carteira (</w:t>
      </w:r>
      <w:r>
        <w:rPr>
          <w:rFonts w:ascii="Arial" w:cs="Arial" w:eastAsia="Arial" w:hAnsi="Arial"/>
          <w:sz w:val="24"/>
          <w:szCs w:val="24"/>
          <w:i w:val="1"/>
          <w:iCs w:val="1"/>
          <w:color w:val="auto"/>
        </w:rPr>
        <w:t>RC</w:t>
      </w:r>
      <w:r>
        <w:rPr>
          <w:rFonts w:ascii="Arial" w:cs="Arial" w:eastAsia="Arial" w:hAnsi="Arial"/>
          <w:sz w:val="24"/>
          <w:szCs w:val="24"/>
          <w:color w:val="auto"/>
        </w:rPr>
        <w:t>) mantém uma relação direta com o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14" w:lineRule="exact"/>
        <w:rPr>
          <w:sz w:val="20"/>
          <w:szCs w:val="20"/>
          <w:color w:val="auto"/>
        </w:rPr>
      </w:pPr>
    </w:p>
    <w:p>
      <w:pPr>
        <w:jc w:val="both"/>
        <w:ind w:left="260" w:firstLine="850"/>
        <w:spacing w:after="0" w:line="397" w:lineRule="auto"/>
        <w:rPr>
          <w:sz w:val="20"/>
          <w:szCs w:val="20"/>
          <w:color w:val="auto"/>
        </w:rPr>
      </w:pPr>
      <w:r>
        <w:rPr>
          <w:rFonts w:ascii="Arial" w:cs="Arial" w:eastAsia="Arial" w:hAnsi="Arial"/>
          <w:sz w:val="24"/>
          <w:szCs w:val="24"/>
          <w:color w:val="auto"/>
        </w:rPr>
        <w:t>Para o risco de crédito será utilizada a participação da média ponderada das provisões de risco das operações de crédito (</w:t>
      </w:r>
      <w:r>
        <w:rPr>
          <w:rFonts w:ascii="Arial" w:cs="Arial" w:eastAsia="Arial" w:hAnsi="Arial"/>
          <w:sz w:val="24"/>
          <w:szCs w:val="24"/>
          <w:i w:val="1"/>
          <w:iCs w:val="1"/>
          <w:color w:val="auto"/>
        </w:rPr>
        <w:t>P OC</w:t>
      </w:r>
      <w:r>
        <w:rPr>
          <w:rFonts w:ascii="Arial" w:cs="Arial" w:eastAsia="Arial" w:hAnsi="Arial"/>
          <w:sz w:val="24"/>
          <w:szCs w:val="24"/>
          <w:color w:val="auto"/>
        </w:rPr>
        <w:t xml:space="preserve"> — Contas 31100003, 31200006, 31300009, 31500005, 31600008, 31700001, 31800004, 31900007), diante os percen-tuais de provisões legais para cada nível de risco, sobre as provisões de risco para operações de crédito (</w:t>
      </w:r>
      <w:r>
        <w:rPr>
          <w:rFonts w:ascii="Arial" w:cs="Arial" w:eastAsia="Arial" w:hAnsi="Arial"/>
          <w:sz w:val="24"/>
          <w:szCs w:val="24"/>
          <w:i w:val="1"/>
          <w:iCs w:val="1"/>
          <w:color w:val="auto"/>
        </w:rPr>
        <w:t>P OC</w:t>
      </w:r>
      <w:r>
        <w:rPr>
          <w:rFonts w:ascii="Arial" w:cs="Arial" w:eastAsia="Arial" w:hAnsi="Arial"/>
          <w:sz w:val="24"/>
          <w:szCs w:val="24"/>
          <w:color w:val="auto"/>
        </w:rPr>
        <w:t>).</w:t>
      </w:r>
    </w:p>
    <w:p>
      <w:pPr>
        <w:jc w:val="center"/>
        <w:ind w:right="340"/>
        <w:spacing w:after="0" w:line="189" w:lineRule="auto"/>
        <w:rPr>
          <w:sz w:val="20"/>
          <w:szCs w:val="20"/>
          <w:color w:val="auto"/>
        </w:rPr>
      </w:pPr>
      <w:r>
        <w:rPr>
          <w:rFonts w:ascii="Arial" w:cs="Arial" w:eastAsia="Arial" w:hAnsi="Arial"/>
          <w:sz w:val="20"/>
          <w:szCs w:val="20"/>
          <w:color w:val="auto"/>
        </w:rPr>
        <w:t>P</w:t>
      </w:r>
      <w:r>
        <w:rPr>
          <w:rFonts w:ascii="Arial" w:cs="Arial" w:eastAsia="Arial" w:hAnsi="Arial"/>
          <w:sz w:val="11"/>
          <w:szCs w:val="11"/>
          <w:i w:val="1"/>
          <w:iCs w:val="1"/>
          <w:color w:val="auto"/>
        </w:rPr>
        <w:t>H</w:t>
      </w:r>
    </w:p>
    <w:p>
      <w:pPr>
        <w:ind w:left="4560"/>
        <w:spacing w:after="0" w:line="197" w:lineRule="exact"/>
        <w:rPr>
          <w:sz w:val="20"/>
          <w:szCs w:val="20"/>
          <w:color w:val="auto"/>
        </w:rPr>
      </w:pPr>
      <w:r>
        <w:rPr>
          <w:rFonts w:ascii="Arial" w:cs="Arial" w:eastAsia="Arial" w:hAnsi="Arial"/>
          <w:sz w:val="15"/>
          <w:szCs w:val="15"/>
          <w:i w:val="1"/>
          <w:iCs w:val="1"/>
          <w:color w:val="auto"/>
          <w:vertAlign w:val="subscript"/>
        </w:rPr>
        <w:t>RC</w:t>
      </w:r>
      <w:r>
        <w:rPr>
          <w:rFonts w:ascii="Arial" w:cs="Arial" w:eastAsia="Arial" w:hAnsi="Arial"/>
          <w:sz w:val="15"/>
          <w:szCs w:val="15"/>
          <w:color w:val="auto"/>
          <w:vertAlign w:val="subscript"/>
        </w:rPr>
        <w:t>=</w:t>
      </w:r>
      <w:r>
        <w:rPr>
          <w:rFonts w:ascii="Arial" w:cs="Arial" w:eastAsia="Arial" w:hAnsi="Arial"/>
          <w:sz w:val="15"/>
          <w:szCs w:val="15"/>
          <w:i w:val="1"/>
          <w:iCs w:val="1"/>
          <w:color w:val="auto"/>
          <w:vertAlign w:val="subscript"/>
        </w:rPr>
        <w:t>Aa</w:t>
      </w:r>
      <w:r>
        <w:rPr>
          <w:rFonts w:ascii="Arial" w:cs="Arial" w:eastAsia="Arial" w:hAnsi="Arial"/>
          <w:sz w:val="19"/>
          <w:szCs w:val="19"/>
          <w:i w:val="1"/>
          <w:iCs w:val="1"/>
          <w:color w:val="auto"/>
          <w:vertAlign w:val="subscript"/>
        </w:rPr>
        <w:t xml:space="preserve"> </w:t>
      </w:r>
      <w:r>
        <w:rPr>
          <w:rFonts w:ascii="Arial" w:cs="Arial" w:eastAsia="Arial" w:hAnsi="Arial"/>
          <w:sz w:val="19"/>
          <w:szCs w:val="19"/>
          <w:i w:val="1"/>
          <w:iCs w:val="1"/>
          <w:color w:val="auto"/>
          <w:vertAlign w:val="superscript"/>
        </w:rPr>
        <w:t>OC</w:t>
      </w:r>
      <w:r>
        <w:rPr>
          <w:rFonts w:ascii="Arial" w:cs="Arial" w:eastAsia="Arial" w:hAnsi="Arial"/>
          <w:sz w:val="9"/>
          <w:szCs w:val="9"/>
          <w:i w:val="1"/>
          <w:iCs w:val="1"/>
          <w:color w:val="auto"/>
        </w:rPr>
        <w:t>RC</w:t>
      </w:r>
      <w:r>
        <w:rPr>
          <w:rFonts w:ascii="Arial Unicode MS" w:cs="Arial Unicode MS" w:eastAsia="Arial Unicode MS" w:hAnsi="Arial Unicode MS"/>
          <w:sz w:val="19"/>
          <w:szCs w:val="19"/>
          <w:color w:val="auto"/>
          <w:vertAlign w:val="superscript"/>
        </w:rPr>
        <w:t>∗</w:t>
      </w:r>
      <w:r>
        <w:rPr>
          <w:rFonts w:ascii="Arial" w:cs="Arial" w:eastAsia="Arial" w:hAnsi="Arial"/>
          <w:sz w:val="19"/>
          <w:szCs w:val="19"/>
          <w:i w:val="1"/>
          <w:iCs w:val="1"/>
          <w:color w:val="auto"/>
          <w:vertAlign w:val="superscript"/>
        </w:rPr>
        <w:t>P</w:t>
      </w:r>
      <w:r>
        <w:rPr>
          <w:rFonts w:ascii="Arial" w:cs="Arial" w:eastAsia="Arial" w:hAnsi="Arial"/>
          <w:sz w:val="9"/>
          <w:szCs w:val="9"/>
          <w:i w:val="1"/>
          <w:iCs w:val="1"/>
          <w:color w:val="auto"/>
        </w:rPr>
        <w:t>RC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2757170</wp:posOffset>
                </wp:positionH>
                <wp:positionV relativeFrom="paragraph">
                  <wp:posOffset>-1905</wp:posOffset>
                </wp:positionV>
                <wp:extent cx="1073785"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737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1pt,-0.1499pt" to="301.65pt,-0.1499pt" o:allowincell="f" strokecolor="#000000" strokeweight="0.398pt"/>
            </w:pict>
          </mc:Fallback>
        </mc:AlternateContent>
      </w:r>
    </w:p>
    <w:tbl>
      <w:tblPr>
        <w:tblLayout w:type="fixed"/>
        <w:tblInd w:w="3500" w:type="dxa"/>
        <w:tblCellMar>
          <w:top w:w="0" w:type="dxa"/>
          <w:left w:w="0" w:type="dxa"/>
          <w:bottom w:w="0" w:type="dxa"/>
          <w:right w:w="0" w:type="dxa"/>
        </w:tblCellMar>
      </w:tblPr>
      <w:tr>
        <w:trPr>
          <w:trHeight w:val="175"/>
        </w:trPr>
        <w:tc>
          <w:tcPr>
            <w:tcW w:w="820" w:type="dxa"/>
            <w:vAlign w:val="bottom"/>
          </w:tcPr>
          <w:p>
            <w:pPr>
              <w:spacing w:after="0"/>
              <w:rPr>
                <w:sz w:val="15"/>
                <w:szCs w:val="15"/>
                <w:color w:val="auto"/>
              </w:rPr>
            </w:pPr>
          </w:p>
        </w:tc>
        <w:tc>
          <w:tcPr>
            <w:tcW w:w="1760" w:type="dxa"/>
            <w:vAlign w:val="bottom"/>
          </w:tcPr>
          <w:p>
            <w:pPr>
              <w:ind w:left="820"/>
              <w:spacing w:after="0" w:line="175" w:lineRule="exact"/>
              <w:rPr>
                <w:sz w:val="20"/>
                <w:szCs w:val="20"/>
                <w:color w:val="auto"/>
              </w:rPr>
            </w:pPr>
            <w:r>
              <w:rPr>
                <w:rFonts w:ascii="Arial" w:cs="Arial" w:eastAsia="Arial" w:hAnsi="Arial"/>
                <w:sz w:val="20"/>
                <w:szCs w:val="20"/>
                <w:i w:val="1"/>
                <w:iCs w:val="1"/>
                <w:color w:val="auto"/>
                <w:vertAlign w:val="superscript"/>
              </w:rPr>
              <w:t>P</w:t>
            </w:r>
            <w:r>
              <w:rPr>
                <w:rFonts w:ascii="Arial" w:cs="Arial" w:eastAsia="Arial" w:hAnsi="Arial"/>
                <w:sz w:val="9"/>
                <w:szCs w:val="9"/>
                <w:i w:val="1"/>
                <w:iCs w:val="1"/>
                <w:color w:val="auto"/>
              </w:rPr>
              <w:t>RC</w:t>
            </w:r>
          </w:p>
        </w:tc>
      </w:tr>
      <w:tr>
        <w:trPr>
          <w:trHeight w:val="127"/>
        </w:trPr>
        <w:tc>
          <w:tcPr>
            <w:tcW w:w="820" w:type="dxa"/>
            <w:vAlign w:val="bottom"/>
          </w:tcPr>
          <w:p>
            <w:pPr>
              <w:spacing w:after="0" w:line="127" w:lineRule="exact"/>
              <w:rPr>
                <w:sz w:val="20"/>
                <w:szCs w:val="20"/>
                <w:color w:val="auto"/>
              </w:rPr>
            </w:pPr>
            <w:r>
              <w:rPr>
                <w:rFonts w:ascii="Arial" w:cs="Arial" w:eastAsia="Arial" w:hAnsi="Arial"/>
                <w:sz w:val="12"/>
                <w:szCs w:val="12"/>
                <w:i w:val="1"/>
                <w:iCs w:val="1"/>
                <w:color w:val="auto"/>
              </w:rPr>
              <w:t>RC</w:t>
            </w:r>
            <w:r>
              <w:rPr>
                <w:rFonts w:ascii="Arial" w:cs="Arial" w:eastAsia="Arial" w:hAnsi="Arial"/>
                <w:sz w:val="14"/>
                <w:szCs w:val="14"/>
                <w:i w:val="1"/>
                <w:iCs w:val="1"/>
                <w:color w:val="auto"/>
                <w:vertAlign w:val="subscript"/>
              </w:rPr>
              <w:t>it</w:t>
            </w:r>
            <w:r>
              <w:rPr>
                <w:rFonts w:ascii="Arial" w:cs="Arial" w:eastAsia="Arial" w:hAnsi="Arial"/>
                <w:sz w:val="12"/>
                <w:szCs w:val="12"/>
                <w:color w:val="auto"/>
              </w:rPr>
              <w:t xml:space="preserve"> =</w:t>
            </w:r>
          </w:p>
        </w:tc>
        <w:tc>
          <w:tcPr>
            <w:tcW w:w="1760" w:type="dxa"/>
            <w:vAlign w:val="bottom"/>
          </w:tcPr>
          <w:p>
            <w:pPr>
              <w:ind w:left="580"/>
              <w:spacing w:after="0" w:line="127" w:lineRule="exact"/>
              <w:rPr>
                <w:sz w:val="20"/>
                <w:szCs w:val="20"/>
                <w:color w:val="auto"/>
              </w:rPr>
            </w:pPr>
            <w:r>
              <w:rPr>
                <w:rFonts w:ascii="Arial" w:cs="Arial" w:eastAsia="Arial" w:hAnsi="Arial"/>
                <w:sz w:val="14"/>
                <w:szCs w:val="14"/>
                <w:color w:val="auto"/>
                <w:vertAlign w:val="superscript"/>
              </w:rPr>
              <w:t>P</w:t>
            </w:r>
            <w:r>
              <w:rPr>
                <w:rFonts w:ascii="Arial" w:cs="Arial" w:eastAsia="Arial" w:hAnsi="Arial"/>
                <w:sz w:val="10"/>
                <w:szCs w:val="10"/>
                <w:i w:val="1"/>
                <w:iCs w:val="1"/>
                <w:color w:val="auto"/>
              </w:rPr>
              <w:t>OC</w:t>
            </w:r>
            <w:r>
              <w:rPr>
                <w:rFonts w:ascii="Arial" w:cs="Arial" w:eastAsia="Arial" w:hAnsi="Arial"/>
                <w:sz w:val="11"/>
                <w:szCs w:val="11"/>
                <w:i w:val="1"/>
                <w:iCs w:val="1"/>
                <w:color w:val="auto"/>
                <w:vertAlign w:val="subscript"/>
              </w:rPr>
              <w:t>RC</w:t>
            </w:r>
          </w:p>
        </w:tc>
      </w:tr>
      <w:tr>
        <w:trPr>
          <w:trHeight w:val="615"/>
        </w:trPr>
        <w:tc>
          <w:tcPr>
            <w:tcW w:w="820" w:type="dxa"/>
            <w:vAlign w:val="bottom"/>
          </w:tcPr>
          <w:p>
            <w:pPr>
              <w:spacing w:after="0"/>
              <w:rPr>
                <w:sz w:val="24"/>
                <w:szCs w:val="24"/>
                <w:color w:val="auto"/>
              </w:rPr>
            </w:pPr>
          </w:p>
        </w:tc>
        <w:tc>
          <w:tcPr>
            <w:tcW w:w="1760" w:type="dxa"/>
            <w:vAlign w:val="bottom"/>
          </w:tcPr>
          <w:p>
            <w:pPr>
              <w:ind w:left="520"/>
              <w:spacing w:after="0"/>
              <w:rPr>
                <w:sz w:val="20"/>
                <w:szCs w:val="20"/>
                <w:color w:val="auto"/>
              </w:rPr>
            </w:pPr>
            <w:r>
              <w:rPr>
                <w:rFonts w:ascii="Arial" w:cs="Arial" w:eastAsia="Arial" w:hAnsi="Arial"/>
                <w:sz w:val="20"/>
                <w:szCs w:val="20"/>
                <w:color w:val="auto"/>
              </w:rPr>
              <w:t>P</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2741930</wp:posOffset>
                </wp:positionH>
                <wp:positionV relativeFrom="paragraph">
                  <wp:posOffset>-425450</wp:posOffset>
                </wp:positionV>
                <wp:extent cx="1104265" cy="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042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9pt,-33.4999pt" to="302.85pt,-33.4999pt" o:allowincell="f" strokecolor="#000000" strokeweight="0.398pt"/>
            </w:pict>
          </mc:Fallback>
        </mc:AlternateContent>
      </w:r>
    </w:p>
    <w:p>
      <w:pPr>
        <w:jc w:val="both"/>
        <w:ind w:left="260" w:right="40" w:firstLine="850"/>
        <w:spacing w:after="0" w:line="399" w:lineRule="auto"/>
        <w:rPr>
          <w:sz w:val="20"/>
          <w:szCs w:val="20"/>
          <w:color w:val="auto"/>
        </w:rPr>
      </w:pPr>
      <w:r>
        <w:rPr>
          <w:rFonts w:ascii="Arial" w:cs="Arial" w:eastAsia="Arial" w:hAnsi="Arial"/>
          <w:sz w:val="24"/>
          <w:szCs w:val="24"/>
          <w:color w:val="auto"/>
        </w:rPr>
        <w:t>Para a composição das operações de crédito espera-se influência direta no spread e na rentabilidade no curto prazo, pois operações com maior riscos tendem retornar maiores lucros.</w:t>
      </w:r>
    </w:p>
    <w:p>
      <w:pPr>
        <w:spacing w:after="0" w:line="34" w:lineRule="exact"/>
        <w:rPr>
          <w:sz w:val="20"/>
          <w:szCs w:val="20"/>
          <w:color w:val="auto"/>
        </w:rPr>
      </w:pPr>
    </w:p>
    <w:p>
      <w:pPr>
        <w:jc w:val="both"/>
        <w:ind w:left="260" w:right="40" w:firstLine="850"/>
        <w:spacing w:after="0" w:line="431"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8</w:t>
      </w:r>
      <w:r>
        <w:rPr>
          <w:rFonts w:ascii="Arial" w:cs="Arial" w:eastAsia="Arial" w:hAnsi="Arial"/>
          <w:sz w:val="24"/>
          <w:szCs w:val="24"/>
          <w:color w:val="auto"/>
        </w:rPr>
        <w:t>: A participação de mercado das instituições (</w:t>
      </w:r>
      <w:r>
        <w:rPr>
          <w:rFonts w:ascii="Arial" w:cs="Arial" w:eastAsia="Arial" w:hAnsi="Arial"/>
          <w:sz w:val="24"/>
          <w:szCs w:val="24"/>
          <w:i w:val="1"/>
          <w:iCs w:val="1"/>
          <w:color w:val="auto"/>
        </w:rPr>
        <w:t>M kSh</w:t>
      </w:r>
      <w:r>
        <w:rPr>
          <w:rFonts w:ascii="Arial" w:cs="Arial" w:eastAsia="Arial" w:hAnsi="Arial"/>
          <w:sz w:val="24"/>
          <w:szCs w:val="24"/>
          <w:color w:val="auto"/>
        </w:rPr>
        <w:t>) guarda relação inversa com o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14" w:lineRule="exact"/>
        <w:rPr>
          <w:sz w:val="20"/>
          <w:szCs w:val="20"/>
          <w:color w:val="auto"/>
        </w:rPr>
      </w:pPr>
    </w:p>
    <w:p>
      <w:pPr>
        <w:jc w:val="both"/>
        <w:ind w:left="260" w:right="40" w:firstLine="856"/>
        <w:spacing w:after="0" w:line="460" w:lineRule="auto"/>
        <w:rPr>
          <w:sz w:val="20"/>
          <w:szCs w:val="20"/>
          <w:color w:val="auto"/>
        </w:rPr>
      </w:pPr>
      <w:r>
        <w:rPr>
          <w:rFonts w:ascii="Arial" w:cs="Arial" w:eastAsia="Arial" w:hAnsi="Arial"/>
          <w:sz w:val="23"/>
          <w:szCs w:val="23"/>
          <w:color w:val="auto"/>
        </w:rPr>
        <w:t>Para a participação de mercado da instituições será utilizada a participação volume das operações de crédito (</w:t>
      </w:r>
      <w:r>
        <w:rPr>
          <w:rFonts w:ascii="Arial" w:cs="Arial" w:eastAsia="Arial" w:hAnsi="Arial"/>
          <w:sz w:val="23"/>
          <w:szCs w:val="23"/>
          <w:i w:val="1"/>
          <w:iCs w:val="1"/>
          <w:color w:val="auto"/>
        </w:rPr>
        <w:t>OpCr</w:t>
      </w:r>
      <w:r>
        <w:rPr>
          <w:rFonts w:ascii="Arial" w:cs="Arial" w:eastAsia="Arial" w:hAnsi="Arial"/>
          <w:sz w:val="23"/>
          <w:szCs w:val="23"/>
          <w:color w:val="auto"/>
        </w:rPr>
        <w:t xml:space="preserve"> — Conta 16000001) de cada instituição, sobre</w:t>
      </w:r>
    </w:p>
    <w:p>
      <w:pPr>
        <w:sectPr>
          <w:pgSz w:w="11900" w:h="16838" w:orient="portrait"/>
          <w:cols w:equalWidth="0" w:num="1">
            <w:col w:w="9360"/>
          </w:cols>
          <w:pgMar w:left="1440" w:top="991" w:right="1106" w:bottom="156" w:gutter="0" w:footer="0" w:header="0"/>
        </w:sectPr>
      </w:pPr>
    </w:p>
    <w:p>
      <w:pPr>
        <w:ind w:left="9060"/>
        <w:spacing w:after="0"/>
        <w:rPr>
          <w:sz w:val="20"/>
          <w:szCs w:val="20"/>
          <w:color w:val="auto"/>
        </w:rPr>
      </w:pPr>
      <w:r>
        <w:rPr>
          <w:rFonts w:ascii="Arial" w:cs="Arial" w:eastAsia="Arial" w:hAnsi="Arial"/>
          <w:sz w:val="24"/>
          <w:szCs w:val="24"/>
          <w:color w:val="auto"/>
        </w:rPr>
        <w:t>58</w:t>
      </w:r>
    </w:p>
    <w:p>
      <w:pPr>
        <w:spacing w:after="0" w:line="200" w:lineRule="exact"/>
        <w:rPr>
          <w:sz w:val="20"/>
          <w:szCs w:val="20"/>
          <w:color w:val="auto"/>
        </w:rPr>
      </w:pPr>
    </w:p>
    <w:p>
      <w:pPr>
        <w:spacing w:after="0" w:line="246" w:lineRule="exact"/>
        <w:rPr>
          <w:sz w:val="20"/>
          <w:szCs w:val="20"/>
          <w:color w:val="auto"/>
        </w:rPr>
      </w:pPr>
    </w:p>
    <w:p>
      <w:pPr>
        <w:ind w:left="260"/>
        <w:spacing w:after="0"/>
        <w:rPr>
          <w:sz w:val="20"/>
          <w:szCs w:val="20"/>
          <w:color w:val="auto"/>
        </w:rPr>
      </w:pPr>
      <w:r>
        <w:rPr>
          <w:rFonts w:ascii="Arial" w:cs="Arial" w:eastAsia="Arial" w:hAnsi="Arial"/>
          <w:sz w:val="24"/>
          <w:szCs w:val="24"/>
          <w:color w:val="auto"/>
        </w:rPr>
        <w:t>o total das operações de crédito para cada período.</w:t>
      </w:r>
    </w:p>
    <w:p>
      <w:pPr>
        <w:spacing w:after="0" w:line="60" w:lineRule="exact"/>
        <w:rPr>
          <w:sz w:val="20"/>
          <w:szCs w:val="20"/>
          <w:color w:val="auto"/>
        </w:rPr>
      </w:pPr>
    </w:p>
    <w:p>
      <w:pPr>
        <w:ind w:left="5000"/>
        <w:spacing w:after="0"/>
        <w:rPr>
          <w:sz w:val="20"/>
          <w:szCs w:val="20"/>
          <w:color w:val="auto"/>
        </w:rPr>
      </w:pPr>
      <w:r>
        <w:rPr>
          <w:rFonts w:ascii="Arial" w:cs="Arial" w:eastAsia="Arial" w:hAnsi="Arial"/>
          <w:sz w:val="24"/>
          <w:szCs w:val="24"/>
          <w:i w:val="1"/>
          <w:iCs w:val="1"/>
          <w:color w:val="auto"/>
        </w:rPr>
        <w:t>OpCr</w:t>
      </w:r>
      <w:r>
        <w:rPr>
          <w:rFonts w:ascii="Arial" w:cs="Arial" w:eastAsia="Arial" w:hAnsi="Arial"/>
          <w:sz w:val="31"/>
          <w:szCs w:val="31"/>
          <w:i w:val="1"/>
          <w:iCs w:val="1"/>
          <w:color w:val="auto"/>
          <w:vertAlign w:val="subscript"/>
        </w:rPr>
        <w:t>it</w:t>
      </w:r>
    </w:p>
    <w:p>
      <w:pPr>
        <w:ind w:left="3580"/>
        <w:spacing w:after="0"/>
        <w:rPr>
          <w:sz w:val="20"/>
          <w:szCs w:val="20"/>
          <w:color w:val="auto"/>
        </w:rPr>
      </w:pPr>
      <w:r>
        <w:rPr>
          <w:rFonts w:ascii="Arial" w:cs="Arial" w:eastAsia="Arial" w:hAnsi="Arial"/>
          <w:sz w:val="48"/>
          <w:szCs w:val="48"/>
          <w:i w:val="1"/>
          <w:iCs w:val="1"/>
          <w:color w:val="auto"/>
          <w:vertAlign w:val="superscript"/>
        </w:rPr>
        <w:t>M</w:t>
      </w:r>
      <w:r>
        <w:rPr>
          <w:rFonts w:ascii="Arial" w:cs="Arial" w:eastAsia="Arial" w:hAnsi="Arial"/>
          <w:sz w:val="47"/>
          <w:szCs w:val="47"/>
          <w:i w:val="1"/>
          <w:iCs w:val="1"/>
          <w:color w:val="auto"/>
          <w:vertAlign w:val="superscript"/>
        </w:rPr>
        <w:t xml:space="preserve"> </w:t>
      </w:r>
      <w:r>
        <w:rPr>
          <w:rFonts w:ascii="Arial" w:cs="Arial" w:eastAsia="Arial" w:hAnsi="Arial"/>
          <w:sz w:val="48"/>
          <w:szCs w:val="48"/>
          <w:i w:val="1"/>
          <w:iCs w:val="1"/>
          <w:color w:val="auto"/>
          <w:vertAlign w:val="superscript"/>
        </w:rPr>
        <w:t>kSh</w:t>
      </w:r>
      <w:r>
        <w:rPr>
          <w:rFonts w:ascii="Arial" w:cs="Arial" w:eastAsia="Arial" w:hAnsi="Arial"/>
          <w:sz w:val="31"/>
          <w:szCs w:val="31"/>
          <w:i w:val="1"/>
          <w:iCs w:val="1"/>
          <w:color w:val="auto"/>
          <w:vertAlign w:val="superscript"/>
        </w:rPr>
        <w:t>it</w:t>
      </w:r>
      <w:r>
        <w:rPr>
          <w:rFonts w:ascii="Arial" w:cs="Arial" w:eastAsia="Arial" w:hAnsi="Arial"/>
          <w:sz w:val="47"/>
          <w:szCs w:val="47"/>
          <w:color w:val="auto"/>
          <w:vertAlign w:val="superscript"/>
        </w:rPr>
        <w:t xml:space="preserve"> =</w:t>
      </w:r>
      <w:r>
        <w:rPr>
          <w:rFonts w:ascii="Arial" w:cs="Arial" w:eastAsia="Arial" w:hAnsi="Arial"/>
          <w:sz w:val="19"/>
          <w:szCs w:val="19"/>
          <w:color w:val="auto"/>
          <w:vertAlign w:val="superscript"/>
        </w:rPr>
        <w:t xml:space="preserve"> </w:t>
      </w:r>
      <w:r>
        <w:rPr>
          <w:rFonts w:ascii="Arial" w:cs="Arial" w:eastAsia="Arial" w:hAnsi="Arial"/>
          <w:sz w:val="19"/>
          <w:szCs w:val="19"/>
          <w:color w:val="auto"/>
        </w:rPr>
        <w:t>P</w:t>
      </w:r>
      <w:r>
        <w:rPr>
          <w:rFonts w:ascii="Arial" w:cs="Arial" w:eastAsia="Arial" w:hAnsi="Arial"/>
          <w:sz w:val="15"/>
          <w:szCs w:val="15"/>
          <w:i w:val="1"/>
          <w:iCs w:val="1"/>
          <w:color w:val="auto"/>
        </w:rPr>
        <w:t>n</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bscript"/>
        </w:rPr>
        <w:t>OpCr</w:t>
      </w:r>
      <w:r>
        <w:rPr>
          <w:rFonts w:ascii="Arial" w:cs="Arial" w:eastAsia="Arial" w:hAnsi="Arial"/>
          <w:sz w:val="31"/>
          <w:szCs w:val="31"/>
          <w:i w:val="1"/>
          <w:iCs w:val="1"/>
          <w:color w:val="auto"/>
          <w:vertAlign w:val="subscript"/>
        </w:rPr>
        <w:t>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2997835</wp:posOffset>
                </wp:positionH>
                <wp:positionV relativeFrom="paragraph">
                  <wp:posOffset>-282575</wp:posOffset>
                </wp:positionV>
                <wp:extent cx="799465" cy="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9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05pt,-22.2499pt" to="299pt,-22.2499pt" o:allowincell="f" strokecolor="#000000" strokeweight="0.398pt"/>
            </w:pict>
          </mc:Fallback>
        </mc:AlternateContent>
      </w:r>
    </w:p>
    <w:p>
      <w:pPr>
        <w:spacing w:after="0" w:line="163" w:lineRule="exact"/>
        <w:rPr>
          <w:sz w:val="20"/>
          <w:szCs w:val="20"/>
          <w:color w:val="auto"/>
        </w:rPr>
      </w:pPr>
    </w:p>
    <w:p>
      <w:pPr>
        <w:jc w:val="both"/>
        <w:ind w:left="260" w:firstLine="850"/>
        <w:spacing w:after="0" w:line="404" w:lineRule="auto"/>
        <w:rPr>
          <w:sz w:val="20"/>
          <w:szCs w:val="20"/>
          <w:color w:val="auto"/>
        </w:rPr>
      </w:pPr>
      <w:r>
        <w:rPr>
          <w:rFonts w:ascii="Arial" w:cs="Arial" w:eastAsia="Arial" w:hAnsi="Arial"/>
          <w:sz w:val="24"/>
          <w:szCs w:val="24"/>
          <w:color w:val="auto"/>
        </w:rPr>
        <w:t>Para a influência da participação de mercado das instituições sobre o spread espera-se uma relação inversa, pois com maior poder de mercado a instituição ga-rante um maior volume de operações, reduzindo o spread, bem como reduzir custos operacionais influenciando de forma direta a rentabilidade.</w:t>
      </w:r>
    </w:p>
    <w:p>
      <w:pPr>
        <w:spacing w:after="0" w:line="25" w:lineRule="exact"/>
        <w:rPr>
          <w:sz w:val="20"/>
          <w:szCs w:val="20"/>
          <w:color w:val="auto"/>
        </w:rPr>
      </w:pPr>
    </w:p>
    <w:p>
      <w:pPr>
        <w:jc w:val="both"/>
        <w:ind w:left="260" w:right="40" w:firstLine="850"/>
        <w:spacing w:after="0" w:line="431"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9</w:t>
      </w:r>
      <w:r>
        <w:rPr>
          <w:rFonts w:ascii="Arial" w:cs="Arial" w:eastAsia="Arial" w:hAnsi="Arial"/>
          <w:sz w:val="24"/>
          <w:szCs w:val="24"/>
          <w:color w:val="auto"/>
        </w:rPr>
        <w:t>: o grau de concentração de mercado (</w:t>
      </w:r>
      <w:r>
        <w:rPr>
          <w:rFonts w:ascii="Arial" w:cs="Arial" w:eastAsia="Arial" w:hAnsi="Arial"/>
          <w:sz w:val="24"/>
          <w:szCs w:val="24"/>
          <w:i w:val="1"/>
          <w:iCs w:val="1"/>
          <w:color w:val="auto"/>
        </w:rPr>
        <w:t>GC</w:t>
      </w:r>
      <w:r>
        <w:rPr>
          <w:rFonts w:ascii="Arial" w:cs="Arial" w:eastAsia="Arial" w:hAnsi="Arial"/>
          <w:sz w:val="24"/>
          <w:szCs w:val="24"/>
          <w:color w:val="auto"/>
        </w:rPr>
        <w:t>) mantém relação direta com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8" w:lineRule="exact"/>
        <w:rPr>
          <w:sz w:val="20"/>
          <w:szCs w:val="20"/>
          <w:color w:val="auto"/>
        </w:rPr>
      </w:pPr>
    </w:p>
    <w:p>
      <w:pPr>
        <w:jc w:val="both"/>
        <w:ind w:left="260" w:right="20" w:firstLine="850"/>
        <w:spacing w:after="0" w:line="375" w:lineRule="auto"/>
        <w:rPr>
          <w:sz w:val="20"/>
          <w:szCs w:val="20"/>
          <w:color w:val="auto"/>
        </w:rPr>
      </w:pPr>
      <w:r>
        <w:rPr>
          <w:rFonts w:ascii="Arial" w:cs="Arial" w:eastAsia="Arial" w:hAnsi="Arial"/>
          <w:sz w:val="24"/>
          <w:szCs w:val="24"/>
          <w:color w:val="auto"/>
        </w:rPr>
        <w:t>Para a variável de grau de concentração de mercado será utilizado o índice HHI, usando como medida as receitas das operações de crédito (</w:t>
      </w:r>
      <w:r>
        <w:rPr>
          <w:rFonts w:ascii="Arial" w:cs="Arial" w:eastAsia="Arial" w:hAnsi="Arial"/>
          <w:sz w:val="24"/>
          <w:szCs w:val="24"/>
          <w:i w:val="1"/>
          <w:iCs w:val="1"/>
          <w:color w:val="auto"/>
        </w:rPr>
        <w:t>R</w:t>
      </w:r>
      <w:r>
        <w:rPr>
          <w:rFonts w:ascii="Arial" w:cs="Arial" w:eastAsia="Arial" w:hAnsi="Arial"/>
          <w:sz w:val="24"/>
          <w:szCs w:val="24"/>
          <w:color w:val="auto"/>
        </w:rPr>
        <w:t xml:space="preserve"> — Conta 71100001) e o número de instituições para cada período (</w:t>
      </w:r>
      <w:r>
        <w:rPr>
          <w:rFonts w:ascii="Arial" w:cs="Arial" w:eastAsia="Arial" w:hAnsi="Arial"/>
          <w:sz w:val="24"/>
          <w:szCs w:val="24"/>
          <w:i w:val="1"/>
          <w:iCs w:val="1"/>
          <w:color w:val="auto"/>
        </w:rPr>
        <w:t>n</w:t>
      </w:r>
      <w:r>
        <w:rPr>
          <w:rFonts w:ascii="Arial" w:cs="Arial" w:eastAsia="Arial" w:hAnsi="Arial"/>
          <w:sz w:val="24"/>
          <w:szCs w:val="24"/>
          <w:color w:val="auto"/>
        </w:rPr>
        <w:t>). Espera-se que quanto maior a concentração de mercado, maior serão os níveis de spread e rentabilidade.</w:t>
      </w:r>
    </w:p>
    <w:tbl>
      <w:tblPr>
        <w:tblLayout w:type="fixed"/>
        <w:tblInd w:w="3420" w:type="dxa"/>
        <w:tblCellMar>
          <w:top w:w="0" w:type="dxa"/>
          <w:left w:w="0" w:type="dxa"/>
          <w:bottom w:w="0" w:type="dxa"/>
          <w:right w:w="0" w:type="dxa"/>
        </w:tblCellMar>
      </w:tblPr>
      <w:tr>
        <w:trPr>
          <w:trHeight w:val="334"/>
        </w:trPr>
        <w:tc>
          <w:tcPr>
            <w:tcW w:w="960" w:type="dxa"/>
            <w:vAlign w:val="bottom"/>
            <w:gridSpan w:val="2"/>
          </w:tcPr>
          <w:p>
            <w:pPr>
              <w:ind w:left="840"/>
              <w:spacing w:after="0"/>
              <w:rPr>
                <w:sz w:val="20"/>
                <w:szCs w:val="20"/>
                <w:color w:val="auto"/>
              </w:rPr>
            </w:pPr>
            <w:r>
              <w:rPr>
                <w:rFonts w:ascii="Arial" w:cs="Arial" w:eastAsia="Arial" w:hAnsi="Arial"/>
                <w:sz w:val="24"/>
                <w:szCs w:val="24"/>
                <w:color w:val="auto"/>
                <w:w w:val="74"/>
              </w:rPr>
              <w:t>1</w:t>
            </w:r>
          </w:p>
        </w:tc>
        <w:tc>
          <w:tcPr>
            <w:tcW w:w="480" w:type="dxa"/>
            <w:vAlign w:val="bottom"/>
          </w:tcPr>
          <w:p>
            <w:pPr>
              <w:spacing w:after="0"/>
              <w:rPr>
                <w:sz w:val="24"/>
                <w:szCs w:val="24"/>
                <w:color w:val="auto"/>
              </w:rPr>
            </w:pPr>
          </w:p>
        </w:tc>
        <w:tc>
          <w:tcPr>
            <w:tcW w:w="200" w:type="dxa"/>
            <w:vAlign w:val="bottom"/>
            <w:vMerge w:val="restart"/>
          </w:tcPr>
          <w:p>
            <w:pPr>
              <w:spacing w:after="0"/>
              <w:rPr>
                <w:sz w:val="20"/>
                <w:szCs w:val="20"/>
                <w:color w:val="auto"/>
              </w:rPr>
            </w:pPr>
            <w:r>
              <w:rPr>
                <w:rFonts w:ascii="Arial" w:cs="Arial" w:eastAsia="Arial" w:hAnsi="Arial"/>
                <w:sz w:val="20"/>
                <w:szCs w:val="20"/>
                <w:color w:val="auto"/>
              </w:rPr>
              <w:t>P</w:t>
            </w:r>
          </w:p>
        </w:tc>
        <w:tc>
          <w:tcPr>
            <w:tcW w:w="280" w:type="dxa"/>
            <w:vAlign w:val="bottom"/>
          </w:tcPr>
          <w:p>
            <w:pPr>
              <w:spacing w:after="0"/>
              <w:rPr>
                <w:sz w:val="20"/>
                <w:szCs w:val="20"/>
                <w:color w:val="auto"/>
              </w:rPr>
            </w:pPr>
            <w:r>
              <w:rPr>
                <w:rFonts w:ascii="Arial" w:cs="Arial" w:eastAsia="Arial" w:hAnsi="Arial"/>
                <w:sz w:val="16"/>
                <w:szCs w:val="16"/>
                <w:i w:val="1"/>
                <w:iCs w:val="1"/>
                <w:color w:val="auto"/>
              </w:rPr>
              <w:t>n</w:t>
            </w:r>
          </w:p>
        </w:tc>
        <w:tc>
          <w:tcPr>
            <w:tcW w:w="800" w:type="dxa"/>
            <w:vAlign w:val="bottom"/>
            <w:gridSpan w:val="3"/>
          </w:tcPr>
          <w:p>
            <w:pPr>
              <w:ind w:left="20"/>
              <w:spacing w:after="0" w:line="334" w:lineRule="exact"/>
              <w:rPr>
                <w:sz w:val="20"/>
                <w:szCs w:val="20"/>
                <w:color w:val="auto"/>
              </w:rPr>
            </w:pPr>
            <w:r>
              <w:rPr>
                <w:rFonts w:ascii="Arial" w:cs="Arial" w:eastAsia="Arial" w:hAnsi="Arial"/>
                <w:sz w:val="38"/>
                <w:szCs w:val="38"/>
                <w:color w:val="auto"/>
                <w:vertAlign w:val="subscript"/>
              </w:rPr>
              <w:t>(</w:t>
            </w:r>
            <w:r>
              <w:rPr>
                <w:rFonts w:ascii="Arial" w:cs="Arial" w:eastAsia="Arial" w:hAnsi="Arial"/>
                <w:sz w:val="26"/>
                <w:szCs w:val="26"/>
                <w:i w:val="1"/>
                <w:iCs w:val="1"/>
                <w:color w:val="auto"/>
                <w:vertAlign w:val="superscript"/>
              </w:rPr>
              <w:t>R</w:t>
            </w:r>
            <w:r>
              <w:rPr>
                <w:rFonts w:ascii="Arial" w:cs="Arial" w:eastAsia="Arial" w:hAnsi="Arial"/>
                <w:sz w:val="10"/>
                <w:szCs w:val="10"/>
                <w:i w:val="1"/>
                <w:iCs w:val="1"/>
                <w:color w:val="auto"/>
              </w:rPr>
              <w:t>it</w:t>
            </w:r>
            <w:r>
              <w:rPr>
                <w:rFonts w:ascii="Arial" w:cs="Arial" w:eastAsia="Arial" w:hAnsi="Arial"/>
                <w:sz w:val="26"/>
                <w:szCs w:val="26"/>
                <w:color w:val="auto"/>
                <w:vertAlign w:val="superscript"/>
              </w:rPr>
              <w:t>−1</w:t>
            </w:r>
            <w:r>
              <w:rPr>
                <w:rFonts w:ascii="Arial" w:cs="Arial" w:eastAsia="Arial" w:hAnsi="Arial"/>
                <w:sz w:val="38"/>
                <w:szCs w:val="38"/>
                <w:color w:val="auto"/>
              </w:rPr>
              <w:t xml:space="preserve"> </w:t>
            </w:r>
            <w:r>
              <w:rPr>
                <w:rFonts w:ascii="Arial" w:cs="Arial" w:eastAsia="Arial" w:hAnsi="Arial"/>
                <w:sz w:val="38"/>
                <w:szCs w:val="38"/>
                <w:color w:val="auto"/>
                <w:vertAlign w:val="subscript"/>
              </w:rPr>
              <w:t>)</w:t>
            </w: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20"/>
        </w:trPr>
        <w:tc>
          <w:tcPr>
            <w:tcW w:w="820" w:type="dxa"/>
            <w:vAlign w:val="bottom"/>
            <w:vMerge w:val="restart"/>
          </w:tcPr>
          <w:p>
            <w:pPr>
              <w:spacing w:after="0" w:line="335" w:lineRule="exact"/>
              <w:rPr>
                <w:sz w:val="20"/>
                <w:szCs w:val="20"/>
                <w:color w:val="auto"/>
              </w:rPr>
            </w:pPr>
            <w:r>
              <w:rPr>
                <w:rFonts w:ascii="Arial" w:cs="Arial" w:eastAsia="Arial" w:hAnsi="Arial"/>
                <w:sz w:val="24"/>
                <w:szCs w:val="24"/>
                <w:i w:val="1"/>
                <w:iCs w:val="1"/>
                <w:color w:val="auto"/>
              </w:rPr>
              <w:t>GC</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p>
        </w:tc>
        <w:tc>
          <w:tcPr>
            <w:tcW w:w="140" w:type="dxa"/>
            <w:vAlign w:val="bottom"/>
          </w:tcPr>
          <w:p>
            <w:pPr>
              <w:spacing w:after="0" w:line="20" w:lineRule="exact"/>
              <w:rPr>
                <w:sz w:val="1"/>
                <w:szCs w:val="1"/>
                <w:color w:val="auto"/>
              </w:rPr>
            </w:pPr>
          </w:p>
        </w:tc>
        <w:tc>
          <w:tcPr>
            <w:tcW w:w="480" w:type="dxa"/>
            <w:vAlign w:val="bottom"/>
            <w:vMerge w:val="restart"/>
          </w:tcPr>
          <w:p>
            <w:pPr>
              <w:ind w:left="80"/>
              <w:spacing w:after="0"/>
              <w:rPr>
                <w:sz w:val="20"/>
                <w:szCs w:val="20"/>
                <w:color w:val="auto"/>
              </w:rPr>
            </w:pPr>
            <w:r>
              <w:rPr>
                <w:rFonts w:ascii="Arial" w:cs="Arial" w:eastAsia="Arial" w:hAnsi="Arial"/>
                <w:sz w:val="24"/>
                <w:szCs w:val="24"/>
                <w:color w:val="auto"/>
              </w:rPr>
              <w:t xml:space="preserve">+ </w:t>
            </w:r>
            <w:r>
              <w:rPr>
                <w:rFonts w:ascii="Arial" w:cs="Arial" w:eastAsia="Arial" w:hAnsi="Arial"/>
                <w:sz w:val="24"/>
                <w:szCs w:val="24"/>
                <w:i w:val="1"/>
                <w:iCs w:val="1"/>
                <w:color w:val="auto"/>
              </w:rPr>
              <w:t>n</w:t>
            </w:r>
          </w:p>
        </w:tc>
        <w:tc>
          <w:tcPr>
            <w:tcW w:w="200" w:type="dxa"/>
            <w:vAlign w:val="bottom"/>
            <w:vMerge w:val="continue"/>
          </w:tcPr>
          <w:p>
            <w:pPr>
              <w:spacing w:after="0" w:line="20" w:lineRule="exact"/>
              <w:rPr>
                <w:sz w:val="1"/>
                <w:szCs w:val="1"/>
                <w:color w:val="auto"/>
              </w:rPr>
            </w:pPr>
          </w:p>
        </w:tc>
        <w:tc>
          <w:tcPr>
            <w:tcW w:w="280" w:type="dxa"/>
            <w:vAlign w:val="bottom"/>
            <w:vMerge w:val="restart"/>
          </w:tcPr>
          <w:p>
            <w:pPr>
              <w:spacing w:after="0" w:line="150" w:lineRule="exact"/>
              <w:rPr>
                <w:sz w:val="20"/>
                <w:szCs w:val="20"/>
                <w:color w:val="auto"/>
              </w:rPr>
            </w:pPr>
            <w:r>
              <w:rPr>
                <w:rFonts w:ascii="Arial" w:cs="Arial" w:eastAsia="Arial" w:hAnsi="Arial"/>
                <w:sz w:val="16"/>
                <w:szCs w:val="16"/>
                <w:i w:val="1"/>
                <w:iCs w:val="1"/>
                <w:color w:val="auto"/>
              </w:rPr>
              <w:t>i</w:t>
            </w:r>
            <w:r>
              <w:rPr>
                <w:rFonts w:ascii="Arial" w:cs="Arial" w:eastAsia="Arial" w:hAnsi="Arial"/>
                <w:sz w:val="16"/>
                <w:szCs w:val="16"/>
                <w:color w:val="auto"/>
              </w:rPr>
              <w:t>=1</w:t>
            </w:r>
          </w:p>
        </w:tc>
        <w:tc>
          <w:tcPr>
            <w:tcW w:w="120" w:type="dxa"/>
            <w:vAlign w:val="bottom"/>
          </w:tcPr>
          <w:p>
            <w:pPr>
              <w:spacing w:after="0" w:line="20" w:lineRule="exact"/>
              <w:rPr>
                <w:sz w:val="1"/>
                <w:szCs w:val="1"/>
                <w:color w:val="auto"/>
              </w:rPr>
            </w:pPr>
          </w:p>
        </w:tc>
        <w:tc>
          <w:tcPr>
            <w:tcW w:w="460" w:type="dxa"/>
            <w:vAlign w:val="bottom"/>
            <w:shd w:val="clear" w:color="auto" w:fill="000000"/>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50"/>
        </w:trPr>
        <w:tc>
          <w:tcPr>
            <w:tcW w:w="820" w:type="dxa"/>
            <w:vAlign w:val="bottom"/>
            <w:vMerge w:val="continue"/>
          </w:tcPr>
          <w:p>
            <w:pPr>
              <w:spacing w:after="0"/>
              <w:rPr>
                <w:sz w:val="13"/>
                <w:szCs w:val="13"/>
                <w:color w:val="auto"/>
              </w:rPr>
            </w:pPr>
          </w:p>
        </w:tc>
        <w:tc>
          <w:tcPr>
            <w:tcW w:w="140" w:type="dxa"/>
            <w:vAlign w:val="bottom"/>
            <w:tcBorders>
              <w:bottom w:val="single" w:sz="8" w:color="auto"/>
            </w:tcBorders>
          </w:tcPr>
          <w:p>
            <w:pPr>
              <w:spacing w:after="0"/>
              <w:rPr>
                <w:sz w:val="13"/>
                <w:szCs w:val="13"/>
                <w:color w:val="auto"/>
              </w:rPr>
            </w:pPr>
          </w:p>
        </w:tc>
        <w:tc>
          <w:tcPr>
            <w:tcW w:w="480" w:type="dxa"/>
            <w:vAlign w:val="bottom"/>
            <w:vMerge w:val="continue"/>
          </w:tcPr>
          <w:p>
            <w:pPr>
              <w:spacing w:after="0"/>
              <w:rPr>
                <w:sz w:val="13"/>
                <w:szCs w:val="13"/>
                <w:color w:val="auto"/>
              </w:rPr>
            </w:pPr>
          </w:p>
        </w:tc>
        <w:tc>
          <w:tcPr>
            <w:tcW w:w="200" w:type="dxa"/>
            <w:vAlign w:val="bottom"/>
            <w:vMerge w:val="continue"/>
          </w:tcPr>
          <w:p>
            <w:pPr>
              <w:spacing w:after="0"/>
              <w:rPr>
                <w:sz w:val="13"/>
                <w:szCs w:val="13"/>
                <w:color w:val="auto"/>
              </w:rPr>
            </w:pPr>
          </w:p>
        </w:tc>
        <w:tc>
          <w:tcPr>
            <w:tcW w:w="280" w:type="dxa"/>
            <w:vAlign w:val="bottom"/>
            <w:vMerge w:val="continue"/>
          </w:tcPr>
          <w:p>
            <w:pPr>
              <w:spacing w:after="0"/>
              <w:rPr>
                <w:sz w:val="13"/>
                <w:szCs w:val="13"/>
                <w:color w:val="auto"/>
              </w:rPr>
            </w:pPr>
          </w:p>
        </w:tc>
        <w:tc>
          <w:tcPr>
            <w:tcW w:w="800" w:type="dxa"/>
            <w:vAlign w:val="bottom"/>
            <w:gridSpan w:val="3"/>
            <w:vMerge w:val="restart"/>
          </w:tcPr>
          <w:p>
            <w:pPr>
              <w:ind w:left="80"/>
              <w:spacing w:after="0"/>
              <w:rPr>
                <w:sz w:val="20"/>
                <w:szCs w:val="20"/>
                <w:color w:val="auto"/>
              </w:rPr>
            </w:pPr>
            <w:r>
              <w:rPr>
                <w:rFonts w:ascii="Arial" w:cs="Arial" w:eastAsia="Arial" w:hAnsi="Arial"/>
                <w:sz w:val="24"/>
                <w:szCs w:val="24"/>
                <w:i w:val="1"/>
                <w:iCs w:val="1"/>
                <w:color w:val="auto"/>
              </w:rPr>
              <w:t>n</w:t>
            </w:r>
            <w:r>
              <w:rPr>
                <w:rFonts w:ascii="Arial" w:cs="Arial" w:eastAsia="Arial" w:hAnsi="Arial"/>
                <w:sz w:val="31"/>
                <w:szCs w:val="31"/>
                <w:i w:val="1"/>
                <w:iCs w:val="1"/>
                <w:color w:val="auto"/>
              </w:rPr>
              <w:t xml:space="preserve"> </w:t>
            </w:r>
            <w:r>
              <w:rPr>
                <w:rFonts w:ascii="Arial" w:cs="Arial" w:eastAsia="Arial" w:hAnsi="Arial"/>
                <w:sz w:val="31"/>
                <w:szCs w:val="31"/>
                <w:i w:val="1"/>
                <w:iCs w:val="1"/>
                <w:color w:val="auto"/>
                <w:vertAlign w:val="superscript"/>
              </w:rPr>
              <w:t>n</w:t>
            </w:r>
          </w:p>
        </w:tc>
        <w:tc>
          <w:tcPr>
            <w:tcW w:w="0" w:type="dxa"/>
            <w:vAlign w:val="bottom"/>
          </w:tcPr>
          <w:p>
            <w:pPr>
              <w:spacing w:after="0"/>
              <w:rPr>
                <w:sz w:val="1"/>
                <w:szCs w:val="1"/>
                <w:color w:val="auto"/>
              </w:rPr>
            </w:pPr>
          </w:p>
        </w:tc>
      </w:tr>
      <w:tr>
        <w:trPr>
          <w:trHeight w:val="302"/>
        </w:trPr>
        <w:tc>
          <w:tcPr>
            <w:tcW w:w="820" w:type="dxa"/>
            <w:vAlign w:val="bottom"/>
            <w:vMerge w:val="continue"/>
          </w:tcPr>
          <w:p>
            <w:pPr>
              <w:spacing w:after="0"/>
              <w:rPr>
                <w:sz w:val="24"/>
                <w:szCs w:val="24"/>
                <w:color w:val="auto"/>
              </w:rPr>
            </w:pPr>
          </w:p>
        </w:tc>
        <w:tc>
          <w:tcPr>
            <w:tcW w:w="140" w:type="dxa"/>
            <w:vAlign w:val="bottom"/>
          </w:tcPr>
          <w:p>
            <w:pPr>
              <w:ind w:left="20"/>
              <w:spacing w:after="0" w:line="266" w:lineRule="exact"/>
              <w:rPr>
                <w:sz w:val="20"/>
                <w:szCs w:val="20"/>
                <w:color w:val="auto"/>
              </w:rPr>
            </w:pPr>
            <w:r>
              <w:rPr>
                <w:rFonts w:ascii="Arial" w:cs="Arial" w:eastAsia="Arial" w:hAnsi="Arial"/>
                <w:sz w:val="24"/>
                <w:szCs w:val="24"/>
                <w:i w:val="1"/>
                <w:iCs w:val="1"/>
                <w:color w:val="auto"/>
                <w:w w:val="74"/>
              </w:rPr>
              <w:t>n</w:t>
            </w:r>
          </w:p>
        </w:tc>
        <w:tc>
          <w:tcPr>
            <w:tcW w:w="480" w:type="dxa"/>
            <w:vAlign w:val="bottom"/>
            <w:vMerge w:val="continue"/>
          </w:tcPr>
          <w:p>
            <w:pPr>
              <w:spacing w:after="0"/>
              <w:rPr>
                <w:sz w:val="24"/>
                <w:szCs w:val="24"/>
                <w:color w:val="auto"/>
              </w:rPr>
            </w:pPr>
          </w:p>
        </w:tc>
        <w:tc>
          <w:tcPr>
            <w:tcW w:w="200" w:type="dxa"/>
            <w:vAlign w:val="bottom"/>
            <w:vMerge w:val="continue"/>
          </w:tcPr>
          <w:p>
            <w:pPr>
              <w:spacing w:after="0"/>
              <w:rPr>
                <w:sz w:val="24"/>
                <w:szCs w:val="24"/>
                <w:color w:val="auto"/>
              </w:rPr>
            </w:pPr>
          </w:p>
        </w:tc>
        <w:tc>
          <w:tcPr>
            <w:tcW w:w="280" w:type="dxa"/>
            <w:vAlign w:val="bottom"/>
          </w:tcPr>
          <w:p>
            <w:pPr>
              <w:spacing w:after="0"/>
              <w:rPr>
                <w:sz w:val="24"/>
                <w:szCs w:val="24"/>
                <w:color w:val="auto"/>
              </w:rPr>
            </w:pPr>
          </w:p>
        </w:tc>
        <w:tc>
          <w:tcPr>
            <w:tcW w:w="800" w:type="dxa"/>
            <w:vAlign w:val="bottom"/>
            <w:gridSpan w:val="3"/>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3083560</wp:posOffset>
                </wp:positionH>
                <wp:positionV relativeFrom="paragraph">
                  <wp:posOffset>-201930</wp:posOffset>
                </wp:positionV>
                <wp:extent cx="814705" cy="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147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2.8pt,-15.8999pt" to="306.95pt,-15.8999pt" o:allowincell="f" strokecolor="#000000" strokeweight="0.398pt"/>
            </w:pict>
          </mc:Fallback>
        </mc:AlternateContent>
      </w:r>
    </w:p>
    <w:p>
      <w:pPr>
        <w:spacing w:after="0" w:line="154" w:lineRule="exact"/>
        <w:rPr>
          <w:sz w:val="20"/>
          <w:szCs w:val="20"/>
          <w:color w:val="auto"/>
        </w:rPr>
      </w:pPr>
    </w:p>
    <w:p>
      <w:pPr>
        <w:ind w:left="260" w:right="40" w:firstLine="850"/>
        <w:spacing w:after="0" w:line="431"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10</w:t>
      </w:r>
      <w:r>
        <w:rPr>
          <w:rFonts w:ascii="Arial" w:cs="Arial" w:eastAsia="Arial" w:hAnsi="Arial"/>
          <w:sz w:val="24"/>
          <w:szCs w:val="24"/>
          <w:color w:val="auto"/>
        </w:rPr>
        <w:t>: O tipo de instituição (</w:t>
      </w:r>
      <w:r>
        <w:rPr>
          <w:rFonts w:ascii="Arial" w:cs="Arial" w:eastAsia="Arial" w:hAnsi="Arial"/>
          <w:sz w:val="24"/>
          <w:szCs w:val="24"/>
          <w:i w:val="1"/>
          <w:iCs w:val="1"/>
          <w:color w:val="auto"/>
        </w:rPr>
        <w:t>T pIns</w:t>
      </w:r>
      <w:r>
        <w:rPr>
          <w:rFonts w:ascii="Arial" w:cs="Arial" w:eastAsia="Arial" w:hAnsi="Arial"/>
          <w:sz w:val="24"/>
          <w:szCs w:val="24"/>
          <w:color w:val="auto"/>
        </w:rPr>
        <w:t>) exerce influência na determinação do nível de spread ex-post (</w:t>
      </w:r>
      <w:r>
        <w:rPr>
          <w:rFonts w:ascii="Arial" w:cs="Arial" w:eastAsia="Arial" w:hAnsi="Arial"/>
          <w:sz w:val="24"/>
          <w:szCs w:val="24"/>
          <w:i w:val="1"/>
          <w:iCs w:val="1"/>
          <w:color w:val="auto"/>
        </w:rPr>
        <w:t>SprEp</w:t>
      </w:r>
      <w:r>
        <w:rPr>
          <w:rFonts w:ascii="Arial" w:cs="Arial" w:eastAsia="Arial" w:hAnsi="Arial"/>
          <w:sz w:val="24"/>
          <w:szCs w:val="24"/>
          <w:color w:val="auto"/>
        </w:rPr>
        <w:t>) e nível da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8" w:lineRule="exact"/>
        <w:rPr>
          <w:sz w:val="20"/>
          <w:szCs w:val="20"/>
          <w:color w:val="auto"/>
        </w:rPr>
      </w:pPr>
    </w:p>
    <w:p>
      <w:pPr>
        <w:jc w:val="both"/>
        <w:ind w:left="260" w:firstLine="858"/>
        <w:spacing w:after="0" w:line="336" w:lineRule="auto"/>
        <w:rPr>
          <w:sz w:val="20"/>
          <w:szCs w:val="20"/>
          <w:color w:val="auto"/>
        </w:rPr>
      </w:pPr>
      <w:r>
        <w:rPr>
          <w:rFonts w:ascii="Arial" w:cs="Arial" w:eastAsia="Arial" w:hAnsi="Arial"/>
          <w:sz w:val="24"/>
          <w:szCs w:val="24"/>
          <w:color w:val="auto"/>
        </w:rPr>
        <w:t>Para a variável tipo de instituição (</w:t>
      </w:r>
      <w:r>
        <w:rPr>
          <w:rFonts w:ascii="Arial" w:cs="Arial" w:eastAsia="Arial" w:hAnsi="Arial"/>
          <w:sz w:val="24"/>
          <w:szCs w:val="24"/>
          <w:i w:val="1"/>
          <w:iCs w:val="1"/>
          <w:color w:val="auto"/>
        </w:rPr>
        <w:t>T pIns</w:t>
      </w:r>
      <w:r>
        <w:rPr>
          <w:rFonts w:ascii="Arial" w:cs="Arial" w:eastAsia="Arial" w:hAnsi="Arial"/>
          <w:sz w:val="24"/>
          <w:szCs w:val="24"/>
          <w:color w:val="auto"/>
        </w:rPr>
        <w:t xml:space="preserve">) serão introduzidas variáveis binárias (dummy) referente a taxonomia das instituições bancárias sendo: </w:t>
      </w:r>
      <w:r>
        <w:rPr>
          <w:rFonts w:ascii="Arial" w:cs="Arial" w:eastAsia="Arial" w:hAnsi="Arial"/>
          <w:sz w:val="24"/>
          <w:szCs w:val="24"/>
          <w:i w:val="1"/>
          <w:iCs w:val="1"/>
          <w:color w:val="auto"/>
        </w:rPr>
        <w:t>D</w:t>
      </w:r>
      <w:r>
        <w:rPr>
          <w:rFonts w:ascii="Arial" w:cs="Arial" w:eastAsia="Arial" w:hAnsi="Arial"/>
          <w:sz w:val="31"/>
          <w:szCs w:val="31"/>
          <w:color w:val="auto"/>
          <w:vertAlign w:val="subscript"/>
        </w:rPr>
        <w:t>11</w:t>
      </w:r>
      <w:r>
        <w:rPr>
          <w:rFonts w:ascii="Arial" w:cs="Arial" w:eastAsia="Arial" w:hAnsi="Arial"/>
          <w:sz w:val="24"/>
          <w:szCs w:val="24"/>
          <w:color w:val="auto"/>
        </w:rPr>
        <w:t xml:space="preserve"> — Banco Co-mercial; </w:t>
      </w:r>
      <w:r>
        <w:rPr>
          <w:rFonts w:ascii="Arial" w:cs="Arial" w:eastAsia="Arial" w:hAnsi="Arial"/>
          <w:sz w:val="24"/>
          <w:szCs w:val="24"/>
          <w:i w:val="1"/>
          <w:iCs w:val="1"/>
          <w:color w:val="auto"/>
        </w:rPr>
        <w:t>D</w:t>
      </w:r>
      <w:r>
        <w:rPr>
          <w:rFonts w:ascii="Arial" w:cs="Arial" w:eastAsia="Arial" w:hAnsi="Arial"/>
          <w:sz w:val="31"/>
          <w:szCs w:val="31"/>
          <w:color w:val="auto"/>
          <w:vertAlign w:val="subscript"/>
        </w:rPr>
        <w:t>2</w:t>
      </w:r>
      <w:r>
        <w:rPr>
          <w:rFonts w:ascii="Arial" w:cs="Arial" w:eastAsia="Arial" w:hAnsi="Arial"/>
          <w:sz w:val="24"/>
          <w:szCs w:val="24"/>
          <w:color w:val="auto"/>
        </w:rPr>
        <w:t xml:space="preserve"> — Banco de Investimento; </w:t>
      </w:r>
      <w:r>
        <w:rPr>
          <w:rFonts w:ascii="Arial" w:cs="Arial" w:eastAsia="Arial" w:hAnsi="Arial"/>
          <w:sz w:val="24"/>
          <w:szCs w:val="24"/>
          <w:i w:val="1"/>
          <w:iCs w:val="1"/>
          <w:color w:val="auto"/>
        </w:rPr>
        <w:t>D</w:t>
      </w:r>
      <w:r>
        <w:rPr>
          <w:rFonts w:ascii="Arial" w:cs="Arial" w:eastAsia="Arial" w:hAnsi="Arial"/>
          <w:sz w:val="31"/>
          <w:szCs w:val="31"/>
          <w:color w:val="auto"/>
          <w:vertAlign w:val="subscript"/>
        </w:rPr>
        <w:t>3</w:t>
      </w:r>
      <w:r>
        <w:rPr>
          <w:rFonts w:ascii="Arial" w:cs="Arial" w:eastAsia="Arial" w:hAnsi="Arial"/>
          <w:sz w:val="24"/>
          <w:szCs w:val="24"/>
          <w:color w:val="auto"/>
        </w:rPr>
        <w:t xml:space="preserve"> — Banco de Desenvolvimento; </w:t>
      </w:r>
      <w:r>
        <w:rPr>
          <w:rFonts w:ascii="Arial" w:cs="Arial" w:eastAsia="Arial" w:hAnsi="Arial"/>
          <w:sz w:val="24"/>
          <w:szCs w:val="24"/>
          <w:i w:val="1"/>
          <w:iCs w:val="1"/>
          <w:color w:val="auto"/>
        </w:rPr>
        <w:t>D</w:t>
      </w:r>
      <w:r>
        <w:rPr>
          <w:rFonts w:ascii="Arial" w:cs="Arial" w:eastAsia="Arial" w:hAnsi="Arial"/>
          <w:sz w:val="31"/>
          <w:szCs w:val="31"/>
          <w:color w:val="auto"/>
          <w:vertAlign w:val="subscript"/>
        </w:rPr>
        <w:t>4</w:t>
      </w:r>
      <w:r>
        <w:rPr>
          <w:rFonts w:ascii="Arial" w:cs="Arial" w:eastAsia="Arial" w:hAnsi="Arial"/>
          <w:sz w:val="24"/>
          <w:szCs w:val="24"/>
          <w:color w:val="auto"/>
        </w:rPr>
        <w:t xml:space="preserve"> — Caixa Econômica e </w:t>
      </w:r>
      <w:r>
        <w:rPr>
          <w:rFonts w:ascii="Arial" w:cs="Arial" w:eastAsia="Arial" w:hAnsi="Arial"/>
          <w:sz w:val="24"/>
          <w:szCs w:val="24"/>
          <w:i w:val="1"/>
          <w:iCs w:val="1"/>
          <w:color w:val="auto"/>
        </w:rPr>
        <w:t>D</w:t>
      </w:r>
      <w:r>
        <w:rPr>
          <w:rFonts w:ascii="Arial" w:cs="Arial" w:eastAsia="Arial" w:hAnsi="Arial"/>
          <w:sz w:val="31"/>
          <w:szCs w:val="31"/>
          <w:color w:val="auto"/>
          <w:vertAlign w:val="subscript"/>
        </w:rPr>
        <w:t>5</w:t>
      </w:r>
      <w:r>
        <w:rPr>
          <w:rFonts w:ascii="Arial" w:cs="Arial" w:eastAsia="Arial" w:hAnsi="Arial"/>
          <w:sz w:val="24"/>
          <w:szCs w:val="24"/>
          <w:color w:val="auto"/>
        </w:rPr>
        <w:t xml:space="preserve"> — Banco Múltiplo.</w:t>
      </w:r>
    </w:p>
    <w:p>
      <w:pPr>
        <w:spacing w:after="0" w:line="200" w:lineRule="exact"/>
        <w:rPr>
          <w:sz w:val="20"/>
          <w:szCs w:val="20"/>
          <w:color w:val="auto"/>
        </w:rPr>
      </w:pPr>
    </w:p>
    <w:p>
      <w:pPr>
        <w:spacing w:after="0" w:line="211" w:lineRule="exact"/>
        <w:rPr>
          <w:sz w:val="20"/>
          <w:szCs w:val="20"/>
          <w:color w:val="auto"/>
        </w:rPr>
      </w:pPr>
    </w:p>
    <w:p>
      <w:pPr>
        <w:ind w:left="3700"/>
        <w:spacing w:after="0"/>
        <w:rPr>
          <w:sz w:val="20"/>
          <w:szCs w:val="20"/>
          <w:color w:val="auto"/>
        </w:rPr>
      </w:pPr>
      <w:r>
        <w:rPr>
          <w:rFonts w:ascii="Arial" w:cs="Arial" w:eastAsia="Arial" w:hAnsi="Arial"/>
          <w:sz w:val="24"/>
          <w:szCs w:val="24"/>
          <w:i w:val="1"/>
          <w:iCs w:val="1"/>
          <w:color w:val="auto"/>
        </w:rPr>
        <w:t>D</w:t>
      </w:r>
      <w:r>
        <w:rPr>
          <w:rFonts w:ascii="Arial" w:cs="Arial" w:eastAsia="Arial" w:hAnsi="Arial"/>
          <w:sz w:val="31"/>
          <w:szCs w:val="31"/>
          <w:color w:val="auto"/>
          <w:vertAlign w:val="subscript"/>
        </w:rPr>
        <w:t>1</w:t>
      </w:r>
      <w:r>
        <w:rPr>
          <w:rFonts w:ascii="Arial" w:cs="Arial" w:eastAsia="Arial" w:hAnsi="Arial"/>
          <w:sz w:val="24"/>
          <w:szCs w:val="24"/>
          <w:color w:val="auto"/>
        </w:rPr>
        <w:t xml:space="preserve"> = {1</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 1; 0</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6= 1}</w:t>
      </w:r>
    </w:p>
    <w:p>
      <w:pPr>
        <w:spacing w:after="0" w:line="181" w:lineRule="exact"/>
        <w:rPr>
          <w:sz w:val="20"/>
          <w:szCs w:val="20"/>
          <w:color w:val="auto"/>
        </w:rPr>
      </w:pPr>
    </w:p>
    <w:p>
      <w:pPr>
        <w:ind w:left="3700"/>
        <w:spacing w:after="0"/>
        <w:rPr>
          <w:sz w:val="20"/>
          <w:szCs w:val="20"/>
          <w:color w:val="auto"/>
        </w:rPr>
      </w:pPr>
      <w:r>
        <w:rPr>
          <w:rFonts w:ascii="Arial" w:cs="Arial" w:eastAsia="Arial" w:hAnsi="Arial"/>
          <w:sz w:val="24"/>
          <w:szCs w:val="24"/>
          <w:i w:val="1"/>
          <w:iCs w:val="1"/>
          <w:color w:val="auto"/>
        </w:rPr>
        <w:t>D</w:t>
      </w:r>
      <w:r>
        <w:rPr>
          <w:rFonts w:ascii="Arial" w:cs="Arial" w:eastAsia="Arial" w:hAnsi="Arial"/>
          <w:sz w:val="31"/>
          <w:szCs w:val="31"/>
          <w:color w:val="auto"/>
          <w:vertAlign w:val="subscript"/>
        </w:rPr>
        <w:t>2</w:t>
      </w:r>
      <w:r>
        <w:rPr>
          <w:rFonts w:ascii="Arial" w:cs="Arial" w:eastAsia="Arial" w:hAnsi="Arial"/>
          <w:sz w:val="24"/>
          <w:szCs w:val="24"/>
          <w:color w:val="auto"/>
        </w:rPr>
        <w:t xml:space="preserve"> = {1</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 2; 0</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6= 2}</w:t>
      </w:r>
    </w:p>
    <w:p>
      <w:pPr>
        <w:spacing w:after="0" w:line="181" w:lineRule="exact"/>
        <w:rPr>
          <w:sz w:val="20"/>
          <w:szCs w:val="20"/>
          <w:color w:val="auto"/>
        </w:rPr>
      </w:pPr>
    </w:p>
    <w:p>
      <w:pPr>
        <w:ind w:left="3700"/>
        <w:spacing w:after="0"/>
        <w:rPr>
          <w:sz w:val="20"/>
          <w:szCs w:val="20"/>
          <w:color w:val="auto"/>
        </w:rPr>
      </w:pPr>
      <w:r>
        <w:rPr>
          <w:rFonts w:ascii="Arial" w:cs="Arial" w:eastAsia="Arial" w:hAnsi="Arial"/>
          <w:sz w:val="24"/>
          <w:szCs w:val="24"/>
          <w:i w:val="1"/>
          <w:iCs w:val="1"/>
          <w:color w:val="auto"/>
        </w:rPr>
        <w:t>D</w:t>
      </w:r>
      <w:r>
        <w:rPr>
          <w:rFonts w:ascii="Arial" w:cs="Arial" w:eastAsia="Arial" w:hAnsi="Arial"/>
          <w:sz w:val="31"/>
          <w:szCs w:val="31"/>
          <w:color w:val="auto"/>
          <w:vertAlign w:val="subscript"/>
        </w:rPr>
        <w:t>3</w:t>
      </w:r>
      <w:r>
        <w:rPr>
          <w:rFonts w:ascii="Arial" w:cs="Arial" w:eastAsia="Arial" w:hAnsi="Arial"/>
          <w:sz w:val="24"/>
          <w:szCs w:val="24"/>
          <w:color w:val="auto"/>
        </w:rPr>
        <w:t xml:space="preserve"> = {1</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 3; 0</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6= 3}</w:t>
      </w:r>
    </w:p>
    <w:p>
      <w:pPr>
        <w:spacing w:after="0" w:line="181" w:lineRule="exact"/>
        <w:rPr>
          <w:sz w:val="20"/>
          <w:szCs w:val="20"/>
          <w:color w:val="auto"/>
        </w:rPr>
      </w:pPr>
    </w:p>
    <w:p>
      <w:pPr>
        <w:ind w:left="3700"/>
        <w:spacing w:after="0"/>
        <w:rPr>
          <w:sz w:val="20"/>
          <w:szCs w:val="20"/>
          <w:color w:val="auto"/>
        </w:rPr>
      </w:pPr>
      <w:r>
        <w:rPr>
          <w:rFonts w:ascii="Arial" w:cs="Arial" w:eastAsia="Arial" w:hAnsi="Arial"/>
          <w:sz w:val="24"/>
          <w:szCs w:val="24"/>
          <w:i w:val="1"/>
          <w:iCs w:val="1"/>
          <w:color w:val="auto"/>
        </w:rPr>
        <w:t>D</w:t>
      </w:r>
      <w:r>
        <w:rPr>
          <w:rFonts w:ascii="Arial" w:cs="Arial" w:eastAsia="Arial" w:hAnsi="Arial"/>
          <w:sz w:val="31"/>
          <w:szCs w:val="31"/>
          <w:color w:val="auto"/>
          <w:vertAlign w:val="subscript"/>
        </w:rPr>
        <w:t>4</w:t>
      </w:r>
      <w:r>
        <w:rPr>
          <w:rFonts w:ascii="Arial" w:cs="Arial" w:eastAsia="Arial" w:hAnsi="Arial"/>
          <w:sz w:val="24"/>
          <w:szCs w:val="24"/>
          <w:color w:val="auto"/>
        </w:rPr>
        <w:t xml:space="preserve"> = {1</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 4; 0</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6= 4}</w:t>
      </w:r>
    </w:p>
    <w:p>
      <w:pPr>
        <w:spacing w:after="0" w:line="181" w:lineRule="exact"/>
        <w:rPr>
          <w:sz w:val="20"/>
          <w:szCs w:val="20"/>
          <w:color w:val="auto"/>
        </w:rPr>
      </w:pPr>
    </w:p>
    <w:p>
      <w:pPr>
        <w:ind w:left="3700"/>
        <w:spacing w:after="0"/>
        <w:rPr>
          <w:sz w:val="20"/>
          <w:szCs w:val="20"/>
          <w:color w:val="auto"/>
        </w:rPr>
      </w:pPr>
      <w:r>
        <w:rPr>
          <w:rFonts w:ascii="Arial" w:cs="Arial" w:eastAsia="Arial" w:hAnsi="Arial"/>
          <w:sz w:val="24"/>
          <w:szCs w:val="24"/>
          <w:i w:val="1"/>
          <w:iCs w:val="1"/>
          <w:color w:val="auto"/>
        </w:rPr>
        <w:t>D</w:t>
      </w:r>
      <w:r>
        <w:rPr>
          <w:rFonts w:ascii="Arial" w:cs="Arial" w:eastAsia="Arial" w:hAnsi="Arial"/>
          <w:sz w:val="31"/>
          <w:szCs w:val="31"/>
          <w:color w:val="auto"/>
          <w:vertAlign w:val="subscript"/>
        </w:rPr>
        <w:t>5</w:t>
      </w:r>
      <w:r>
        <w:rPr>
          <w:rFonts w:ascii="Arial" w:cs="Arial" w:eastAsia="Arial" w:hAnsi="Arial"/>
          <w:sz w:val="24"/>
          <w:szCs w:val="24"/>
          <w:color w:val="auto"/>
        </w:rPr>
        <w:t xml:space="preserve"> = {1</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 5; 0</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6= 5}</w:t>
      </w:r>
    </w:p>
    <w:p>
      <w:pPr>
        <w:spacing w:after="0" w:line="183" w:lineRule="exact"/>
        <w:rPr>
          <w:sz w:val="20"/>
          <w:szCs w:val="20"/>
          <w:color w:val="auto"/>
        </w:rPr>
      </w:pPr>
    </w:p>
    <w:p>
      <w:pPr>
        <w:ind w:left="260" w:right="40" w:firstLine="850"/>
        <w:spacing w:after="0" w:line="431"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11</w:t>
      </w:r>
      <w:r>
        <w:rPr>
          <w:rFonts w:ascii="Arial" w:cs="Arial" w:eastAsia="Arial" w:hAnsi="Arial"/>
          <w:sz w:val="24"/>
          <w:szCs w:val="24"/>
          <w:color w:val="auto"/>
        </w:rPr>
        <w:t>: O caráter da instituição (</w:t>
      </w:r>
      <w:r>
        <w:rPr>
          <w:rFonts w:ascii="Arial" w:cs="Arial" w:eastAsia="Arial" w:hAnsi="Arial"/>
          <w:sz w:val="24"/>
          <w:szCs w:val="24"/>
          <w:i w:val="1"/>
          <w:iCs w:val="1"/>
          <w:color w:val="auto"/>
        </w:rPr>
        <w:t>CrIns</w:t>
      </w:r>
      <w:r>
        <w:rPr>
          <w:rFonts w:ascii="Arial" w:cs="Arial" w:eastAsia="Arial" w:hAnsi="Arial"/>
          <w:sz w:val="24"/>
          <w:szCs w:val="24"/>
          <w:color w:val="auto"/>
        </w:rPr>
        <w:t>) atua na determinação do nível do spread ex-post (</w:t>
      </w:r>
      <w:r>
        <w:rPr>
          <w:rFonts w:ascii="Arial" w:cs="Arial" w:eastAsia="Arial" w:hAnsi="Arial"/>
          <w:sz w:val="24"/>
          <w:szCs w:val="24"/>
          <w:i w:val="1"/>
          <w:iCs w:val="1"/>
          <w:color w:val="auto"/>
        </w:rPr>
        <w:t>SprEp</w:t>
      </w:r>
      <w:r>
        <w:rPr>
          <w:rFonts w:ascii="Arial" w:cs="Arial" w:eastAsia="Arial" w:hAnsi="Arial"/>
          <w:sz w:val="24"/>
          <w:szCs w:val="24"/>
          <w:color w:val="auto"/>
        </w:rPr>
        <w:t>) e no nível da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ectPr>
          <w:pgSz w:w="11900" w:h="16838" w:orient="portrait"/>
          <w:cols w:equalWidth="0" w:num="1">
            <w:col w:w="9360"/>
          </w:cols>
          <w:pgMar w:left="1440" w:top="991" w:right="1106" w:bottom="114" w:gutter="0" w:footer="0" w:header="0"/>
        </w:sectPr>
      </w:pPr>
    </w:p>
    <w:p>
      <w:pPr>
        <w:ind w:left="9060"/>
        <w:spacing w:after="0"/>
        <w:rPr>
          <w:sz w:val="20"/>
          <w:szCs w:val="20"/>
          <w:color w:val="auto"/>
        </w:rPr>
      </w:pPr>
      <w:r>
        <w:rPr>
          <w:rFonts w:ascii="Arial" w:cs="Arial" w:eastAsia="Arial" w:hAnsi="Arial"/>
          <w:sz w:val="24"/>
          <w:szCs w:val="24"/>
          <w:color w:val="auto"/>
        </w:rPr>
        <w:t>59</w:t>
      </w:r>
    </w:p>
    <w:p>
      <w:pPr>
        <w:spacing w:after="0" w:line="200" w:lineRule="exact"/>
        <w:rPr>
          <w:sz w:val="20"/>
          <w:szCs w:val="20"/>
          <w:color w:val="auto"/>
        </w:rPr>
      </w:pPr>
    </w:p>
    <w:p>
      <w:pPr>
        <w:spacing w:after="0" w:line="246" w:lineRule="exact"/>
        <w:rPr>
          <w:sz w:val="20"/>
          <w:szCs w:val="20"/>
          <w:color w:val="auto"/>
        </w:rPr>
      </w:pPr>
    </w:p>
    <w:p>
      <w:pPr>
        <w:jc w:val="both"/>
        <w:ind w:left="260" w:firstLine="850"/>
        <w:spacing w:after="0" w:line="343" w:lineRule="auto"/>
        <w:rPr>
          <w:sz w:val="20"/>
          <w:szCs w:val="20"/>
          <w:color w:val="auto"/>
        </w:rPr>
      </w:pPr>
      <w:r>
        <w:rPr>
          <w:rFonts w:ascii="Arial" w:cs="Arial" w:eastAsia="Arial" w:hAnsi="Arial"/>
          <w:sz w:val="24"/>
          <w:szCs w:val="24"/>
          <w:color w:val="auto"/>
        </w:rPr>
        <w:t xml:space="preserve">Para o caráter da instituição serão inseridas variáveis binárias (dummy) refe-rentes ao caráter: </w:t>
      </w:r>
      <w:r>
        <w:rPr>
          <w:rFonts w:ascii="Arial" w:cs="Arial" w:eastAsia="Arial" w:hAnsi="Arial"/>
          <w:sz w:val="24"/>
          <w:szCs w:val="24"/>
          <w:i w:val="1"/>
          <w:iCs w:val="1"/>
          <w:color w:val="auto"/>
        </w:rPr>
        <w:t>D</w:t>
      </w:r>
      <w:r>
        <w:rPr>
          <w:rFonts w:ascii="Arial" w:cs="Arial" w:eastAsia="Arial" w:hAnsi="Arial"/>
          <w:sz w:val="31"/>
          <w:szCs w:val="31"/>
          <w:color w:val="auto"/>
          <w:vertAlign w:val="subscript"/>
        </w:rPr>
        <w:t>6</w:t>
      </w:r>
      <w:r>
        <w:rPr>
          <w:rFonts w:ascii="Arial" w:cs="Arial" w:eastAsia="Arial" w:hAnsi="Arial"/>
          <w:sz w:val="24"/>
          <w:szCs w:val="24"/>
          <w:color w:val="auto"/>
        </w:rPr>
        <w:t xml:space="preserve"> — público ou </w:t>
      </w:r>
      <w:r>
        <w:rPr>
          <w:rFonts w:ascii="Arial" w:cs="Arial" w:eastAsia="Arial" w:hAnsi="Arial"/>
          <w:sz w:val="24"/>
          <w:szCs w:val="24"/>
          <w:i w:val="1"/>
          <w:iCs w:val="1"/>
          <w:color w:val="auto"/>
        </w:rPr>
        <w:t>D</w:t>
      </w:r>
      <w:r>
        <w:rPr>
          <w:rFonts w:ascii="Arial" w:cs="Arial" w:eastAsia="Arial" w:hAnsi="Arial"/>
          <w:sz w:val="31"/>
          <w:szCs w:val="31"/>
          <w:color w:val="auto"/>
          <w:vertAlign w:val="subscript"/>
        </w:rPr>
        <w:t>7</w:t>
      </w:r>
      <w:r>
        <w:rPr>
          <w:rFonts w:ascii="Arial" w:cs="Arial" w:eastAsia="Arial" w:hAnsi="Arial"/>
          <w:sz w:val="24"/>
          <w:szCs w:val="24"/>
          <w:color w:val="auto"/>
        </w:rPr>
        <w:t xml:space="preserve"> privado.</w:t>
      </w:r>
    </w:p>
    <w:p>
      <w:pPr>
        <w:spacing w:after="0" w:line="200" w:lineRule="exact"/>
        <w:rPr>
          <w:sz w:val="20"/>
          <w:szCs w:val="20"/>
          <w:color w:val="auto"/>
        </w:rPr>
      </w:pPr>
    </w:p>
    <w:p>
      <w:pPr>
        <w:spacing w:after="0" w:line="246" w:lineRule="exact"/>
        <w:rPr>
          <w:sz w:val="20"/>
          <w:szCs w:val="20"/>
          <w:color w:val="auto"/>
        </w:rPr>
      </w:pPr>
    </w:p>
    <w:p>
      <w:pPr>
        <w:ind w:left="3700"/>
        <w:spacing w:after="0"/>
        <w:rPr>
          <w:sz w:val="20"/>
          <w:szCs w:val="20"/>
          <w:color w:val="auto"/>
        </w:rPr>
      </w:pPr>
      <w:r>
        <w:rPr>
          <w:rFonts w:ascii="Arial" w:cs="Arial" w:eastAsia="Arial" w:hAnsi="Arial"/>
          <w:sz w:val="24"/>
          <w:szCs w:val="24"/>
          <w:i w:val="1"/>
          <w:iCs w:val="1"/>
          <w:color w:val="auto"/>
        </w:rPr>
        <w:t>D</w:t>
      </w:r>
      <w:r>
        <w:rPr>
          <w:rFonts w:ascii="Arial" w:cs="Arial" w:eastAsia="Arial" w:hAnsi="Arial"/>
          <w:sz w:val="31"/>
          <w:szCs w:val="31"/>
          <w:color w:val="auto"/>
          <w:vertAlign w:val="subscript"/>
        </w:rPr>
        <w:t>6</w:t>
      </w:r>
      <w:r>
        <w:rPr>
          <w:rFonts w:ascii="Arial" w:cs="Arial" w:eastAsia="Arial" w:hAnsi="Arial"/>
          <w:sz w:val="24"/>
          <w:szCs w:val="24"/>
          <w:color w:val="auto"/>
        </w:rPr>
        <w:t xml:space="preserve"> = {1</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 6; 0</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6= 6}</w:t>
      </w:r>
    </w:p>
    <w:p>
      <w:pPr>
        <w:spacing w:after="0" w:line="181" w:lineRule="exact"/>
        <w:rPr>
          <w:sz w:val="20"/>
          <w:szCs w:val="20"/>
          <w:color w:val="auto"/>
        </w:rPr>
      </w:pPr>
    </w:p>
    <w:p>
      <w:pPr>
        <w:ind w:left="3700"/>
        <w:spacing w:after="0"/>
        <w:rPr>
          <w:sz w:val="20"/>
          <w:szCs w:val="20"/>
          <w:color w:val="auto"/>
        </w:rPr>
      </w:pPr>
      <w:r>
        <w:rPr>
          <w:rFonts w:ascii="Arial" w:cs="Arial" w:eastAsia="Arial" w:hAnsi="Arial"/>
          <w:sz w:val="24"/>
          <w:szCs w:val="24"/>
          <w:i w:val="1"/>
          <w:iCs w:val="1"/>
          <w:color w:val="auto"/>
        </w:rPr>
        <w:t>D</w:t>
      </w:r>
      <w:r>
        <w:rPr>
          <w:rFonts w:ascii="Arial" w:cs="Arial" w:eastAsia="Arial" w:hAnsi="Arial"/>
          <w:sz w:val="31"/>
          <w:szCs w:val="31"/>
          <w:color w:val="auto"/>
          <w:vertAlign w:val="subscript"/>
        </w:rPr>
        <w:t>7</w:t>
      </w:r>
      <w:r>
        <w:rPr>
          <w:rFonts w:ascii="Arial" w:cs="Arial" w:eastAsia="Arial" w:hAnsi="Arial"/>
          <w:sz w:val="24"/>
          <w:szCs w:val="24"/>
          <w:color w:val="auto"/>
        </w:rPr>
        <w:t xml:space="preserve"> = {1</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 6; 0</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6= 7}</w:t>
      </w:r>
    </w:p>
    <w:p>
      <w:pPr>
        <w:spacing w:after="0" w:line="232" w:lineRule="exact"/>
        <w:rPr>
          <w:sz w:val="20"/>
          <w:szCs w:val="20"/>
          <w:color w:val="auto"/>
        </w:rPr>
      </w:pPr>
    </w:p>
    <w:p>
      <w:pPr>
        <w:ind w:left="260" w:right="40" w:firstLine="850"/>
        <w:spacing w:after="0" w:line="431"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12</w:t>
      </w:r>
      <w:r>
        <w:rPr>
          <w:rFonts w:ascii="Arial" w:cs="Arial" w:eastAsia="Arial" w:hAnsi="Arial"/>
          <w:sz w:val="24"/>
          <w:szCs w:val="24"/>
          <w:color w:val="auto"/>
        </w:rPr>
        <w:t xml:space="preserve">: A taxa Selic </w:t>
      </w:r>
      <w:r>
        <w:rPr>
          <w:rFonts w:ascii="Arial" w:cs="Arial" w:eastAsia="Arial" w:hAnsi="Arial"/>
          <w:sz w:val="24"/>
          <w:szCs w:val="24"/>
          <w:i w:val="1"/>
          <w:iCs w:val="1"/>
          <w:color w:val="auto"/>
        </w:rPr>
        <w:t>Sel</w:t>
      </w:r>
      <w:r>
        <w:rPr>
          <w:rFonts w:ascii="Arial" w:cs="Arial" w:eastAsia="Arial" w:hAnsi="Arial"/>
          <w:sz w:val="24"/>
          <w:szCs w:val="24"/>
          <w:color w:val="auto"/>
        </w:rPr>
        <w:t xml:space="preserve"> mantém uma relação direta no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21" w:lineRule="exact"/>
        <w:rPr>
          <w:sz w:val="20"/>
          <w:szCs w:val="20"/>
          <w:color w:val="auto"/>
        </w:rPr>
      </w:pPr>
    </w:p>
    <w:p>
      <w:pPr>
        <w:jc w:val="both"/>
        <w:ind w:left="260" w:firstLine="850"/>
        <w:spacing w:after="0" w:line="350" w:lineRule="auto"/>
        <w:rPr>
          <w:sz w:val="20"/>
          <w:szCs w:val="20"/>
          <w:color w:val="auto"/>
        </w:rPr>
      </w:pPr>
      <w:r>
        <w:rPr>
          <w:rFonts w:ascii="Arial" w:cs="Arial" w:eastAsia="Arial" w:hAnsi="Arial"/>
          <w:sz w:val="24"/>
          <w:szCs w:val="24"/>
          <w:color w:val="auto"/>
        </w:rPr>
        <w:t>Para a variável Selic (</w:t>
      </w:r>
      <w:r>
        <w:rPr>
          <w:rFonts w:ascii="Arial" w:cs="Arial" w:eastAsia="Arial" w:hAnsi="Arial"/>
          <w:sz w:val="24"/>
          <w:szCs w:val="24"/>
          <w:i w:val="1"/>
          <w:iCs w:val="1"/>
          <w:color w:val="auto"/>
        </w:rPr>
        <w:t>Sel</w:t>
      </w:r>
      <w:r>
        <w:rPr>
          <w:rFonts w:ascii="Arial" w:cs="Arial" w:eastAsia="Arial" w:hAnsi="Arial"/>
          <w:sz w:val="24"/>
          <w:szCs w:val="24"/>
          <w:color w:val="auto"/>
        </w:rPr>
        <w:t xml:space="preserve">) no modelo, será considerada a taxa Selic Over, sendo a média diária das operações no Sistema Especial de Liquidação e Custódia, defasada em 1 período. Será utilizada a série </w:t>
      </w:r>
      <w:r>
        <w:rPr>
          <w:rFonts w:ascii="Arial" w:cs="Arial" w:eastAsia="Arial" w:hAnsi="Arial"/>
          <w:sz w:val="24"/>
          <w:szCs w:val="24"/>
          <w:i w:val="1"/>
          <w:iCs w:val="1"/>
          <w:color w:val="auto"/>
        </w:rPr>
        <w:t>BM</w:t>
      </w:r>
      <w:r>
        <w:rPr>
          <w:rFonts w:ascii="Arial" w:cs="Arial" w:eastAsia="Arial" w:hAnsi="Arial"/>
          <w:sz w:val="24"/>
          <w:szCs w:val="24"/>
          <w:color w:val="auto"/>
        </w:rPr>
        <w:t>12</w:t>
      </w:r>
      <w:r>
        <w:rPr>
          <w:rFonts w:ascii="Arial" w:cs="Arial" w:eastAsia="Arial" w:hAnsi="Arial"/>
          <w:sz w:val="31"/>
          <w:szCs w:val="31"/>
          <w:i w:val="1"/>
          <w:iCs w:val="1"/>
          <w:color w:val="auto"/>
          <w:vertAlign w:val="subscript"/>
        </w:rPr>
        <w:t>T</w:t>
      </w:r>
      <w:r>
        <w:rPr>
          <w:rFonts w:ascii="Arial" w:cs="Arial" w:eastAsia="Arial" w:hAnsi="Arial"/>
          <w:sz w:val="24"/>
          <w:szCs w:val="24"/>
          <w:i w:val="1"/>
          <w:iCs w:val="1"/>
          <w:color w:val="auto"/>
        </w:rPr>
        <w:t xml:space="preserve"> JOV ER</w:t>
      </w:r>
      <w:r>
        <w:rPr>
          <w:rFonts w:ascii="Arial" w:cs="Arial" w:eastAsia="Arial" w:hAnsi="Arial"/>
          <w:sz w:val="24"/>
          <w:szCs w:val="24"/>
          <w:color w:val="auto"/>
        </w:rPr>
        <w:t>12 obtida no banco de dados do IPEA.</w:t>
      </w:r>
    </w:p>
    <w:p>
      <w:pPr>
        <w:ind w:left="4480"/>
        <w:spacing w:after="0" w:line="185" w:lineRule="auto"/>
        <w:rPr>
          <w:sz w:val="20"/>
          <w:szCs w:val="20"/>
          <w:color w:val="auto"/>
        </w:rPr>
      </w:pPr>
      <w:r>
        <w:rPr>
          <w:rFonts w:ascii="Arial" w:cs="Arial" w:eastAsia="Arial" w:hAnsi="Arial"/>
          <w:sz w:val="23"/>
          <w:szCs w:val="23"/>
          <w:color w:val="auto"/>
          <w:vertAlign w:val="subscript"/>
        </w:rPr>
        <w:t>1</w:t>
      </w:r>
      <w:r>
        <w:rPr>
          <w:rFonts w:ascii="Arial" w:cs="Arial" w:eastAsia="Arial" w:hAnsi="Arial"/>
          <w:sz w:val="12"/>
          <w:szCs w:val="12"/>
          <w:color w:val="auto"/>
          <w:vertAlign w:val="subscript"/>
        </w:rPr>
        <w:t xml:space="preserve"> </w:t>
      </w:r>
      <w:r>
        <w:rPr>
          <w:rFonts w:ascii="Arial" w:cs="Arial" w:eastAsia="Arial" w:hAnsi="Arial"/>
          <w:sz w:val="12"/>
          <w:szCs w:val="12"/>
          <w:i w:val="1"/>
          <w:iCs w:val="1"/>
          <w:color w:val="auto"/>
        </w:rPr>
        <w:t>n</w:t>
      </w:r>
      <w:r>
        <w:rPr>
          <w:rFonts w:ascii="Arial" w:cs="Arial" w:eastAsia="Arial" w:hAnsi="Arial"/>
          <w:sz w:val="12"/>
          <w:szCs w:val="12"/>
          <w:color w:val="auto"/>
        </w:rPr>
        <w:t>−1</w:t>
      </w:r>
    </w:p>
    <w:p>
      <w:pPr>
        <w:jc w:val="center"/>
        <w:ind w:right="-379"/>
        <w:spacing w:after="0" w:line="211" w:lineRule="auto"/>
        <w:rPr>
          <w:sz w:val="20"/>
          <w:szCs w:val="20"/>
          <w:color w:val="auto"/>
        </w:rPr>
      </w:pPr>
      <w:r>
        <w:rPr>
          <w:rFonts w:ascii="Arial" w:cs="Arial" w:eastAsia="Arial" w:hAnsi="Arial"/>
          <w:sz w:val="4"/>
          <w:szCs w:val="4"/>
          <w:color w:val="auto"/>
        </w:rPr>
        <w:t>X</w:t>
      </w:r>
    </w:p>
    <w:p>
      <w:pPr>
        <w:jc w:val="center"/>
        <w:ind w:right="-239"/>
        <w:spacing w:after="0"/>
        <w:rPr>
          <w:sz w:val="20"/>
          <w:szCs w:val="20"/>
          <w:color w:val="auto"/>
        </w:rPr>
      </w:pPr>
      <w:r>
        <w:rPr>
          <w:rFonts w:ascii="Arial" w:cs="Arial" w:eastAsia="Arial" w:hAnsi="Arial"/>
          <w:sz w:val="48"/>
          <w:szCs w:val="48"/>
          <w:i w:val="1"/>
          <w:iCs w:val="1"/>
          <w:color w:val="auto"/>
          <w:vertAlign w:val="superscript"/>
        </w:rPr>
        <w:t>Sel</w:t>
      </w:r>
      <w:r>
        <w:rPr>
          <w:rFonts w:ascii="Arial" w:cs="Arial" w:eastAsia="Arial" w:hAnsi="Arial"/>
          <w:sz w:val="15"/>
          <w:szCs w:val="15"/>
          <w:i w:val="1"/>
          <w:iCs w:val="1"/>
          <w:color w:val="auto"/>
        </w:rPr>
        <w:t>t</w:t>
      </w:r>
      <w:r>
        <w:rPr>
          <w:rFonts w:ascii="Arial" w:cs="Arial" w:eastAsia="Arial" w:hAnsi="Arial"/>
          <w:sz w:val="15"/>
          <w:szCs w:val="15"/>
          <w:color w:val="auto"/>
        </w:rPr>
        <w:t>−1</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bscript"/>
        </w:rPr>
        <w:t>n</w:t>
      </w:r>
      <w:r>
        <w:rPr>
          <w:rFonts w:ascii="Arial" w:cs="Arial" w:eastAsia="Arial" w:hAnsi="Arial"/>
          <w:sz w:val="31"/>
          <w:szCs w:val="31"/>
          <w:i w:val="1"/>
          <w:iCs w:val="1"/>
          <w:color w:val="auto"/>
        </w:rPr>
        <w:t xml:space="preserve"> </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SelDrAn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2833370</wp:posOffset>
                </wp:positionH>
                <wp:positionV relativeFrom="paragraph">
                  <wp:posOffset>-281940</wp:posOffset>
                </wp:positionV>
                <wp:extent cx="88265"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82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3.1pt,-22.1999pt" to="230.05pt,-22.1999pt" o:allowincell="f" strokecolor="#000000" strokeweight="0.398pt"/>
            </w:pict>
          </mc:Fallback>
        </mc:AlternateContent>
      </w:r>
    </w:p>
    <w:p>
      <w:pPr>
        <w:spacing w:after="0" w:line="96" w:lineRule="exact"/>
        <w:rPr>
          <w:sz w:val="20"/>
          <w:szCs w:val="20"/>
          <w:color w:val="auto"/>
        </w:rPr>
      </w:pPr>
    </w:p>
    <w:p>
      <w:pPr>
        <w:jc w:val="both"/>
        <w:ind w:left="260" w:right="40" w:firstLine="856"/>
        <w:spacing w:after="0" w:line="421" w:lineRule="auto"/>
        <w:rPr>
          <w:sz w:val="20"/>
          <w:szCs w:val="20"/>
          <w:color w:val="auto"/>
        </w:rPr>
      </w:pPr>
      <w:r>
        <w:rPr>
          <w:rFonts w:ascii="Arial" w:cs="Arial" w:eastAsia="Arial" w:hAnsi="Arial"/>
          <w:sz w:val="24"/>
          <w:szCs w:val="24"/>
          <w:color w:val="auto"/>
        </w:rPr>
        <w:t>Se espera que a taxa selic exerça influência simultaneamente no custo de captação e aplicação porém com maior efeito sobre a aplicação afetando de forma direta o spread. Aferando a rentabilidade de forma direta, uma vez que influencia o volume das captações a prazo e maiores níveis de lucro.</w:t>
      </w:r>
    </w:p>
    <w:p>
      <w:pPr>
        <w:spacing w:after="0" w:line="15" w:lineRule="exact"/>
        <w:rPr>
          <w:sz w:val="20"/>
          <w:szCs w:val="20"/>
          <w:color w:val="auto"/>
        </w:rPr>
      </w:pPr>
    </w:p>
    <w:p>
      <w:pPr>
        <w:jc w:val="both"/>
        <w:ind w:left="260" w:right="20" w:firstLine="850"/>
        <w:spacing w:after="0" w:line="431"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13</w:t>
      </w:r>
      <w:r>
        <w:rPr>
          <w:rFonts w:ascii="Arial" w:cs="Arial" w:eastAsia="Arial" w:hAnsi="Arial"/>
          <w:sz w:val="24"/>
          <w:szCs w:val="24"/>
          <w:color w:val="auto"/>
        </w:rPr>
        <w:t>: A taxa de inflação (</w:t>
      </w:r>
      <w:r>
        <w:rPr>
          <w:rFonts w:ascii="Arial" w:cs="Arial" w:eastAsia="Arial" w:hAnsi="Arial"/>
          <w:sz w:val="24"/>
          <w:szCs w:val="24"/>
          <w:i w:val="1"/>
          <w:iCs w:val="1"/>
          <w:color w:val="auto"/>
        </w:rPr>
        <w:t>Ipca</w:t>
      </w:r>
      <w:r>
        <w:rPr>
          <w:rFonts w:ascii="Arial" w:cs="Arial" w:eastAsia="Arial" w:hAnsi="Arial"/>
          <w:sz w:val="24"/>
          <w:szCs w:val="24"/>
          <w:color w:val="auto"/>
        </w:rPr>
        <w:t>) atua de forma direta no spread ex-post (</w:t>
      </w:r>
      <w:r>
        <w:rPr>
          <w:rFonts w:ascii="Arial" w:cs="Arial" w:eastAsia="Arial" w:hAnsi="Arial"/>
          <w:sz w:val="24"/>
          <w:szCs w:val="24"/>
          <w:i w:val="1"/>
          <w:iCs w:val="1"/>
          <w:color w:val="auto"/>
        </w:rPr>
        <w:t>SprEp</w:t>
      </w:r>
      <w:r>
        <w:rPr>
          <w:rFonts w:ascii="Arial" w:cs="Arial" w:eastAsia="Arial" w:hAnsi="Arial"/>
          <w:sz w:val="24"/>
          <w:szCs w:val="24"/>
          <w:color w:val="auto"/>
        </w:rPr>
        <w:t>) e inversa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21" w:lineRule="exact"/>
        <w:rPr>
          <w:sz w:val="20"/>
          <w:szCs w:val="20"/>
          <w:color w:val="auto"/>
        </w:rPr>
      </w:pPr>
    </w:p>
    <w:p>
      <w:pPr>
        <w:jc w:val="both"/>
        <w:ind w:left="260" w:right="40" w:firstLine="858"/>
        <w:spacing w:after="0" w:line="339" w:lineRule="auto"/>
        <w:rPr>
          <w:sz w:val="20"/>
          <w:szCs w:val="20"/>
          <w:color w:val="auto"/>
        </w:rPr>
      </w:pPr>
      <w:r>
        <w:rPr>
          <w:rFonts w:ascii="Arial" w:cs="Arial" w:eastAsia="Arial" w:hAnsi="Arial"/>
          <w:sz w:val="24"/>
          <w:szCs w:val="24"/>
          <w:color w:val="auto"/>
        </w:rPr>
        <w:t>Para o Índice de Preços ao Consumidor Amplo (</w:t>
      </w:r>
      <w:r>
        <w:rPr>
          <w:rFonts w:ascii="Arial" w:cs="Arial" w:eastAsia="Arial" w:hAnsi="Arial"/>
          <w:sz w:val="24"/>
          <w:szCs w:val="24"/>
          <w:i w:val="1"/>
          <w:iCs w:val="1"/>
          <w:color w:val="auto"/>
        </w:rPr>
        <w:t>IP CA</w:t>
      </w:r>
      <w:r>
        <w:rPr>
          <w:rFonts w:ascii="Arial" w:cs="Arial" w:eastAsia="Arial" w:hAnsi="Arial"/>
          <w:sz w:val="24"/>
          <w:szCs w:val="24"/>
          <w:color w:val="auto"/>
        </w:rPr>
        <w:t>) será utilizada série (</w:t>
      </w:r>
      <w:r>
        <w:rPr>
          <w:rFonts w:ascii="Arial" w:cs="Arial" w:eastAsia="Arial" w:hAnsi="Arial"/>
          <w:sz w:val="24"/>
          <w:szCs w:val="24"/>
          <w:i w:val="1"/>
          <w:iCs w:val="1"/>
          <w:color w:val="auto"/>
        </w:rPr>
        <w:t>P RECOS</w:t>
      </w:r>
      <w:r>
        <w:rPr>
          <w:rFonts w:ascii="Arial" w:cs="Arial" w:eastAsia="Arial" w:hAnsi="Arial"/>
          <w:sz w:val="24"/>
          <w:szCs w:val="24"/>
          <w:color w:val="auto"/>
        </w:rPr>
        <w:t>12</w:t>
      </w:r>
      <w:r>
        <w:rPr>
          <w:rFonts w:ascii="Arial" w:cs="Arial" w:eastAsia="Arial" w:hAnsi="Arial"/>
          <w:sz w:val="31"/>
          <w:szCs w:val="31"/>
          <w:i w:val="1"/>
          <w:iCs w:val="1"/>
          <w:color w:val="auto"/>
          <w:vertAlign w:val="subscript"/>
        </w:rPr>
        <w:t>I</w:t>
      </w:r>
      <w:r>
        <w:rPr>
          <w:rFonts w:ascii="Arial" w:cs="Arial" w:eastAsia="Arial" w:hAnsi="Arial"/>
          <w:sz w:val="24"/>
          <w:szCs w:val="24"/>
          <w:i w:val="1"/>
          <w:iCs w:val="1"/>
          <w:color w:val="auto"/>
        </w:rPr>
        <w:t xml:space="preserve"> P CAG</w:t>
      </w:r>
      <w:r>
        <w:rPr>
          <w:rFonts w:ascii="Arial" w:cs="Arial" w:eastAsia="Arial" w:hAnsi="Arial"/>
          <w:sz w:val="24"/>
          <w:szCs w:val="24"/>
          <w:color w:val="auto"/>
        </w:rPr>
        <w:t>12), obtida no portal do IPEA, ajustada para o período amostral e defasada em 1 (hum) período.</w:t>
      </w:r>
    </w:p>
    <w:p>
      <w:pPr>
        <w:ind w:left="4600"/>
        <w:spacing w:after="0" w:line="181" w:lineRule="auto"/>
        <w:rPr>
          <w:sz w:val="20"/>
          <w:szCs w:val="20"/>
          <w:color w:val="auto"/>
        </w:rPr>
      </w:pPr>
      <w:r>
        <w:rPr>
          <w:rFonts w:ascii="Arial" w:cs="Arial" w:eastAsia="Arial" w:hAnsi="Arial"/>
          <w:sz w:val="47"/>
          <w:szCs w:val="47"/>
          <w:color w:val="auto"/>
          <w:vertAlign w:val="subscript"/>
        </w:rPr>
        <w:t>1</w:t>
      </w:r>
      <w:r>
        <w:rPr>
          <w:rFonts w:ascii="Arial" w:cs="Arial" w:eastAsia="Arial" w:hAnsi="Arial"/>
          <w:sz w:val="15"/>
          <w:szCs w:val="15"/>
          <w:color w:val="auto"/>
          <w:vertAlign w:val="subscript"/>
        </w:rPr>
        <w:t xml:space="preserve"> </w:t>
      </w:r>
      <w:r>
        <w:rPr>
          <w:rFonts w:ascii="Arial" w:cs="Arial" w:eastAsia="Arial" w:hAnsi="Arial"/>
          <w:sz w:val="15"/>
          <w:szCs w:val="15"/>
          <w:i w:val="1"/>
          <w:iCs w:val="1"/>
          <w:color w:val="auto"/>
        </w:rPr>
        <w:t>n</w:t>
      </w:r>
      <w:r>
        <w:rPr>
          <w:rFonts w:ascii="Arial" w:cs="Arial" w:eastAsia="Arial" w:hAnsi="Arial"/>
          <w:sz w:val="15"/>
          <w:szCs w:val="15"/>
          <w:color w:val="auto"/>
        </w:rPr>
        <w:t>−1</w:t>
      </w:r>
    </w:p>
    <w:p>
      <w:pPr>
        <w:ind w:left="4860"/>
        <w:spacing w:after="0" w:line="218" w:lineRule="auto"/>
        <w:rPr>
          <w:sz w:val="20"/>
          <w:szCs w:val="20"/>
          <w:color w:val="auto"/>
        </w:rPr>
      </w:pPr>
      <w:r>
        <w:rPr>
          <w:rFonts w:ascii="Arial" w:cs="Arial" w:eastAsia="Arial" w:hAnsi="Arial"/>
          <w:sz w:val="4"/>
          <w:szCs w:val="4"/>
          <w:color w:val="auto"/>
        </w:rPr>
        <w:t>X</w:t>
      </w:r>
    </w:p>
    <w:p>
      <w:pPr>
        <w:jc w:val="center"/>
        <w:ind w:right="-239"/>
        <w:spacing w:after="0"/>
        <w:rPr>
          <w:sz w:val="20"/>
          <w:szCs w:val="20"/>
          <w:color w:val="auto"/>
        </w:rPr>
      </w:pPr>
      <w:r>
        <w:rPr>
          <w:rFonts w:ascii="Arial" w:cs="Arial" w:eastAsia="Arial" w:hAnsi="Arial"/>
          <w:sz w:val="48"/>
          <w:szCs w:val="48"/>
          <w:i w:val="1"/>
          <w:iCs w:val="1"/>
          <w:color w:val="auto"/>
          <w:vertAlign w:val="superscript"/>
        </w:rPr>
        <w:t>Ipca</w:t>
      </w:r>
      <w:r>
        <w:rPr>
          <w:rFonts w:ascii="Arial" w:cs="Arial" w:eastAsia="Arial" w:hAnsi="Arial"/>
          <w:sz w:val="15"/>
          <w:szCs w:val="15"/>
          <w:i w:val="1"/>
          <w:iCs w:val="1"/>
          <w:color w:val="auto"/>
        </w:rPr>
        <w:t>t</w:t>
      </w:r>
      <w:r>
        <w:rPr>
          <w:rFonts w:ascii="Arial" w:cs="Arial" w:eastAsia="Arial" w:hAnsi="Arial"/>
          <w:sz w:val="15"/>
          <w:szCs w:val="15"/>
          <w:color w:val="auto"/>
        </w:rPr>
        <w:t>−1</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bscript"/>
        </w:rPr>
        <w:t>n</w:t>
      </w:r>
      <w:r>
        <w:rPr>
          <w:rFonts w:ascii="Arial" w:cs="Arial" w:eastAsia="Arial" w:hAnsi="Arial"/>
          <w:sz w:val="31"/>
          <w:szCs w:val="31"/>
          <w:i w:val="1"/>
          <w:iCs w:val="1"/>
          <w:color w:val="auto"/>
        </w:rPr>
        <w:t xml:space="preserve"> </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IpcaM 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2919730</wp:posOffset>
                </wp:positionH>
                <wp:positionV relativeFrom="paragraph">
                  <wp:posOffset>-281940</wp:posOffset>
                </wp:positionV>
                <wp:extent cx="88265" cy="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82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9pt,-22.1999pt" to="236.85pt,-22.1999pt" o:allowincell="f" strokecolor="#000000" strokeweight="0.398pt"/>
            </w:pict>
          </mc:Fallback>
        </mc:AlternateContent>
      </w:r>
    </w:p>
    <w:p>
      <w:pPr>
        <w:spacing w:after="0" w:line="206"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Para o efeito das variações do IPCA sobre o spread ex-post espera-se que atue de forma direta, dependendo das sensibilidades de tomadores e investidores e da instituição a esta variável e de forma inversa com a rentabilidade, por influenciar a demanda por operações de crédito.</w:t>
      </w:r>
    </w:p>
    <w:p>
      <w:pPr>
        <w:sectPr>
          <w:pgSz w:w="11900" w:h="16838" w:orient="portrait"/>
          <w:cols w:equalWidth="0" w:num="1">
            <w:col w:w="9360"/>
          </w:cols>
          <w:pgMar w:left="1440" w:top="991" w:right="1106" w:bottom="732" w:gutter="0" w:footer="0" w:header="0"/>
        </w:sectPr>
      </w:pPr>
    </w:p>
    <w:p>
      <w:pPr>
        <w:ind w:left="9060"/>
        <w:spacing w:after="0"/>
        <w:rPr>
          <w:sz w:val="20"/>
          <w:szCs w:val="20"/>
          <w:color w:val="auto"/>
        </w:rPr>
      </w:pPr>
      <w:r>
        <w:rPr>
          <w:rFonts w:ascii="Arial" w:cs="Arial" w:eastAsia="Arial" w:hAnsi="Arial"/>
          <w:sz w:val="24"/>
          <w:szCs w:val="24"/>
          <w:color w:val="auto"/>
        </w:rPr>
        <w:t>60</w:t>
      </w:r>
    </w:p>
    <w:p>
      <w:pPr>
        <w:spacing w:after="0" w:line="365" w:lineRule="exact"/>
        <w:rPr>
          <w:sz w:val="20"/>
          <w:szCs w:val="20"/>
          <w:color w:val="auto"/>
        </w:rPr>
      </w:pPr>
    </w:p>
    <w:p>
      <w:pPr>
        <w:jc w:val="both"/>
        <w:ind w:left="260" w:right="40" w:firstLine="858"/>
        <w:spacing w:after="0" w:line="431"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14</w:t>
      </w:r>
      <w:r>
        <w:rPr>
          <w:rFonts w:ascii="Arial" w:cs="Arial" w:eastAsia="Arial" w:hAnsi="Arial"/>
          <w:sz w:val="24"/>
          <w:szCs w:val="24"/>
          <w:color w:val="auto"/>
        </w:rPr>
        <w:t>: A taxa de compulsório (</w:t>
      </w:r>
      <w:r>
        <w:rPr>
          <w:rFonts w:ascii="Arial" w:cs="Arial" w:eastAsia="Arial" w:hAnsi="Arial"/>
          <w:sz w:val="24"/>
          <w:szCs w:val="24"/>
          <w:i w:val="1"/>
          <w:iCs w:val="1"/>
          <w:color w:val="auto"/>
        </w:rPr>
        <w:t>Com</w:t>
      </w:r>
      <w:r>
        <w:rPr>
          <w:rFonts w:ascii="Arial" w:cs="Arial" w:eastAsia="Arial" w:hAnsi="Arial"/>
          <w:sz w:val="24"/>
          <w:szCs w:val="24"/>
          <w:color w:val="auto"/>
        </w:rPr>
        <w:t>) atua de forma direta no spread ex-post (</w:t>
      </w:r>
      <w:r>
        <w:rPr>
          <w:rFonts w:ascii="Arial" w:cs="Arial" w:eastAsia="Arial" w:hAnsi="Arial"/>
          <w:sz w:val="24"/>
          <w:szCs w:val="24"/>
          <w:i w:val="1"/>
          <w:iCs w:val="1"/>
          <w:color w:val="auto"/>
        </w:rPr>
        <w:t>SprEp</w:t>
      </w:r>
      <w:r>
        <w:rPr>
          <w:rFonts w:ascii="Arial" w:cs="Arial" w:eastAsia="Arial" w:hAnsi="Arial"/>
          <w:sz w:val="24"/>
          <w:szCs w:val="24"/>
          <w:color w:val="auto"/>
        </w:rPr>
        <w:t>) inversa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21" w:lineRule="exact"/>
        <w:rPr>
          <w:sz w:val="20"/>
          <w:szCs w:val="20"/>
          <w:color w:val="auto"/>
        </w:rPr>
      </w:pPr>
    </w:p>
    <w:p>
      <w:pPr>
        <w:jc w:val="both"/>
        <w:ind w:left="260" w:right="40" w:firstLine="857"/>
        <w:spacing w:after="0" w:line="375" w:lineRule="auto"/>
        <w:rPr>
          <w:sz w:val="20"/>
          <w:szCs w:val="20"/>
          <w:color w:val="auto"/>
        </w:rPr>
      </w:pPr>
      <w:r>
        <w:rPr>
          <w:rFonts w:ascii="Arial" w:cs="Arial" w:eastAsia="Arial" w:hAnsi="Arial"/>
          <w:sz w:val="24"/>
          <w:szCs w:val="24"/>
          <w:color w:val="auto"/>
        </w:rPr>
        <w:t>Para o compulsório será utilizada somatória dos volumes de recolhimento compulsório de recursos a vista (</w:t>
      </w:r>
      <w:r>
        <w:rPr>
          <w:rFonts w:ascii="Arial" w:cs="Arial" w:eastAsia="Arial" w:hAnsi="Arial"/>
          <w:sz w:val="24"/>
          <w:szCs w:val="24"/>
          <w:i w:val="1"/>
          <w:iCs w:val="1"/>
          <w:color w:val="auto"/>
        </w:rPr>
        <w:t>S</w:t>
      </w:r>
      <w:r>
        <w:rPr>
          <w:rFonts w:ascii="Arial" w:cs="Arial" w:eastAsia="Arial" w:hAnsi="Arial"/>
          <w:sz w:val="24"/>
          <w:szCs w:val="24"/>
          <w:color w:val="auto"/>
        </w:rPr>
        <w:t>é</w:t>
      </w:r>
      <w:r>
        <w:rPr>
          <w:rFonts w:ascii="Arial" w:cs="Arial" w:eastAsia="Arial" w:hAnsi="Arial"/>
          <w:sz w:val="24"/>
          <w:szCs w:val="24"/>
          <w:i w:val="1"/>
          <w:iCs w:val="1"/>
          <w:color w:val="auto"/>
        </w:rPr>
        <w:t>rie</w:t>
      </w:r>
      <w:r>
        <w:rPr>
          <w:rFonts w:ascii="Arial" w:cs="Arial" w:eastAsia="Arial" w:hAnsi="Arial"/>
          <w:sz w:val="24"/>
          <w:szCs w:val="24"/>
          <w:color w:val="auto"/>
        </w:rPr>
        <w:t>1850) e recursos a prazo (</w:t>
      </w:r>
      <w:r>
        <w:rPr>
          <w:rFonts w:ascii="Arial" w:cs="Arial" w:eastAsia="Arial" w:hAnsi="Arial"/>
          <w:sz w:val="24"/>
          <w:szCs w:val="24"/>
          <w:i w:val="1"/>
          <w:iCs w:val="1"/>
          <w:color w:val="auto"/>
        </w:rPr>
        <w:t>s</w:t>
      </w:r>
      <w:r>
        <w:rPr>
          <w:rFonts w:ascii="Arial" w:cs="Arial" w:eastAsia="Arial" w:hAnsi="Arial"/>
          <w:sz w:val="24"/>
          <w:szCs w:val="24"/>
          <w:color w:val="auto"/>
        </w:rPr>
        <w:t>é</w:t>
      </w:r>
      <w:r>
        <w:rPr>
          <w:rFonts w:ascii="Arial" w:cs="Arial" w:eastAsia="Arial" w:hAnsi="Arial"/>
          <w:sz w:val="24"/>
          <w:szCs w:val="24"/>
          <w:i w:val="1"/>
          <w:iCs w:val="1"/>
          <w:color w:val="auto"/>
        </w:rPr>
        <w:t>rie</w:t>
      </w:r>
      <w:r>
        <w:rPr>
          <w:rFonts w:ascii="Arial" w:cs="Arial" w:eastAsia="Arial" w:hAnsi="Arial"/>
          <w:sz w:val="24"/>
          <w:szCs w:val="24"/>
          <w:color w:val="auto"/>
        </w:rPr>
        <w:t>1850) ponderados pelo total de captações a vista (Contas 41100000 ) e total de captações a prazo (Contas 41100002).</w:t>
      </w:r>
    </w:p>
    <w:p>
      <w:pPr>
        <w:ind w:left="4300"/>
        <w:spacing w:after="0" w:line="215" w:lineRule="auto"/>
        <w:rPr>
          <w:sz w:val="20"/>
          <w:szCs w:val="20"/>
          <w:color w:val="auto"/>
        </w:rPr>
      </w:pPr>
      <w:r>
        <w:rPr>
          <w:rFonts w:ascii="Arial" w:cs="Arial" w:eastAsia="Arial" w:hAnsi="Arial"/>
          <w:sz w:val="24"/>
          <w:szCs w:val="24"/>
          <w:i w:val="1"/>
          <w:iCs w:val="1"/>
          <w:color w:val="auto"/>
        </w:rPr>
        <w:t>RcDAv</w:t>
      </w:r>
      <w:r>
        <w:rPr>
          <w:rFonts w:ascii="Arial" w:cs="Arial" w:eastAsia="Arial" w:hAnsi="Arial"/>
          <w:sz w:val="15"/>
          <w:szCs w:val="15"/>
          <w:i w:val="1"/>
          <w:iCs w:val="1"/>
          <w:color w:val="auto"/>
        </w:rPr>
        <w:t>t</w:t>
      </w:r>
      <w:r>
        <w:rPr>
          <w:rFonts w:ascii="Arial" w:cs="Arial" w:eastAsia="Arial" w:hAnsi="Arial"/>
          <w:sz w:val="24"/>
          <w:szCs w:val="24"/>
          <w:color w:val="auto"/>
        </w:rPr>
        <w:t xml:space="preserve"> + </w:t>
      </w:r>
      <w:r>
        <w:rPr>
          <w:rFonts w:ascii="Arial" w:cs="Arial" w:eastAsia="Arial" w:hAnsi="Arial"/>
          <w:sz w:val="24"/>
          <w:szCs w:val="24"/>
          <w:i w:val="1"/>
          <w:iCs w:val="1"/>
          <w:color w:val="auto"/>
        </w:rPr>
        <w:t>RcDAp</w:t>
      </w:r>
      <w:r>
        <w:rPr>
          <w:rFonts w:ascii="Arial" w:cs="Arial" w:eastAsia="Arial" w:hAnsi="Arial"/>
          <w:sz w:val="15"/>
          <w:szCs w:val="15"/>
          <w:i w:val="1"/>
          <w:iCs w:val="1"/>
          <w:color w:val="auto"/>
        </w:rPr>
        <w:t>t</w:t>
      </w:r>
    </w:p>
    <w:p>
      <w:pPr>
        <w:spacing w:after="0" w:line="1" w:lineRule="exact"/>
        <w:rPr>
          <w:sz w:val="20"/>
          <w:szCs w:val="20"/>
          <w:color w:val="auto"/>
        </w:rPr>
      </w:pPr>
    </w:p>
    <w:p>
      <w:pPr>
        <w:ind w:left="2960"/>
        <w:spacing w:after="0"/>
        <w:rPr>
          <w:sz w:val="20"/>
          <w:szCs w:val="20"/>
          <w:color w:val="auto"/>
        </w:rPr>
      </w:pPr>
      <w:r>
        <w:rPr>
          <w:rFonts w:ascii="Arial" w:cs="Arial" w:eastAsia="Arial" w:hAnsi="Arial"/>
          <w:sz w:val="48"/>
          <w:szCs w:val="48"/>
          <w:i w:val="1"/>
          <w:iCs w:val="1"/>
          <w:color w:val="auto"/>
          <w:vertAlign w:val="superscript"/>
        </w:rPr>
        <w:t>Comp</w:t>
      </w:r>
      <w:r>
        <w:rPr>
          <w:rFonts w:ascii="Arial" w:cs="Arial" w:eastAsia="Arial" w:hAnsi="Arial"/>
          <w:sz w:val="31"/>
          <w:szCs w:val="31"/>
          <w:i w:val="1"/>
          <w:iCs w:val="1"/>
          <w:color w:val="auto"/>
          <w:vertAlign w:val="superscript"/>
        </w:rPr>
        <w:t>t</w:t>
      </w:r>
      <w:r>
        <w:rPr>
          <w:rFonts w:ascii="Arial" w:cs="Arial" w:eastAsia="Arial" w:hAnsi="Arial"/>
          <w:sz w:val="47"/>
          <w:szCs w:val="47"/>
          <w:color w:val="auto"/>
          <w:vertAlign w:val="superscript"/>
        </w:rPr>
        <w:t xml:space="preserve"> =</w:t>
      </w:r>
      <w:r>
        <w:rPr>
          <w:rFonts w:ascii="Arial" w:cs="Arial" w:eastAsia="Arial" w:hAnsi="Arial"/>
          <w:sz w:val="39"/>
          <w:szCs w:val="39"/>
          <w:color w:val="auto"/>
          <w:vertAlign w:val="superscript"/>
        </w:rPr>
        <w:t xml:space="preserve"> P</w:t>
      </w:r>
      <w:r>
        <w:rPr>
          <w:rFonts w:ascii="Arial" w:cs="Arial" w:eastAsia="Arial" w:hAnsi="Arial"/>
          <w:sz w:val="31"/>
          <w:szCs w:val="31"/>
          <w:i w:val="1"/>
          <w:iCs w:val="1"/>
          <w:color w:val="auto"/>
          <w:vertAlign w:val="superscript"/>
        </w:rPr>
        <w:t>n</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r>
        <w:rPr>
          <w:rFonts w:ascii="Arial" w:cs="Arial" w:eastAsia="Arial" w:hAnsi="Arial"/>
          <w:sz w:val="23"/>
          <w:szCs w:val="23"/>
          <w:color w:val="auto"/>
        </w:rPr>
        <w:t xml:space="preserve"> </w:t>
      </w:r>
      <w:r>
        <w:rPr>
          <w:rFonts w:ascii="Arial" w:cs="Arial" w:eastAsia="Arial" w:hAnsi="Arial"/>
          <w:sz w:val="23"/>
          <w:szCs w:val="23"/>
          <w:i w:val="1"/>
          <w:iCs w:val="1"/>
          <w:color w:val="auto"/>
        </w:rPr>
        <w:t>DAv</w:t>
      </w:r>
      <w:r>
        <w:rPr>
          <w:rFonts w:ascii="Arial" w:cs="Arial" w:eastAsia="Arial" w:hAnsi="Arial"/>
          <w:sz w:val="31"/>
          <w:szCs w:val="31"/>
          <w:i w:val="1"/>
          <w:iCs w:val="1"/>
          <w:color w:val="auto"/>
          <w:vertAlign w:val="subscript"/>
        </w:rPr>
        <w:t>it</w:t>
      </w:r>
      <w:r>
        <w:rPr>
          <w:rFonts w:ascii="Arial" w:cs="Arial" w:eastAsia="Arial" w:hAnsi="Arial"/>
          <w:sz w:val="23"/>
          <w:szCs w:val="23"/>
          <w:color w:val="auto"/>
        </w:rPr>
        <w:t xml:space="preserve"> +</w:t>
      </w:r>
      <w:r>
        <w:rPr>
          <w:rFonts w:ascii="Arial" w:cs="Arial" w:eastAsia="Arial" w:hAnsi="Arial"/>
          <w:sz w:val="39"/>
          <w:szCs w:val="39"/>
          <w:color w:val="auto"/>
        </w:rPr>
        <w:t xml:space="preserve"> </w:t>
      </w:r>
      <w:r>
        <w:rPr>
          <w:rFonts w:ascii="Arial" w:cs="Arial" w:eastAsia="Arial" w:hAnsi="Arial"/>
          <w:sz w:val="39"/>
          <w:szCs w:val="39"/>
          <w:color w:val="auto"/>
          <w:vertAlign w:val="superscript"/>
        </w:rPr>
        <w:t>P</w:t>
      </w:r>
      <w:r>
        <w:rPr>
          <w:rFonts w:ascii="Arial" w:cs="Arial" w:eastAsia="Arial" w:hAnsi="Arial"/>
          <w:sz w:val="31"/>
          <w:szCs w:val="31"/>
          <w:i w:val="1"/>
          <w:iCs w:val="1"/>
          <w:color w:val="auto"/>
          <w:vertAlign w:val="superscript"/>
        </w:rPr>
        <w:t>n</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r>
        <w:rPr>
          <w:rFonts w:ascii="Arial" w:cs="Arial" w:eastAsia="Arial" w:hAnsi="Arial"/>
          <w:sz w:val="23"/>
          <w:szCs w:val="23"/>
          <w:color w:val="auto"/>
        </w:rPr>
        <w:t xml:space="preserve"> </w:t>
      </w:r>
      <w:r>
        <w:rPr>
          <w:rFonts w:ascii="Arial" w:cs="Arial" w:eastAsia="Arial" w:hAnsi="Arial"/>
          <w:sz w:val="23"/>
          <w:szCs w:val="23"/>
          <w:i w:val="1"/>
          <w:iCs w:val="1"/>
          <w:color w:val="auto"/>
        </w:rPr>
        <w:t>DAp</w:t>
      </w:r>
      <w:r>
        <w:rPr>
          <w:rFonts w:ascii="Arial" w:cs="Arial" w:eastAsia="Arial" w:hAnsi="Arial"/>
          <w:sz w:val="31"/>
          <w:szCs w:val="31"/>
          <w:i w:val="1"/>
          <w:iCs w:val="1"/>
          <w:color w:val="auto"/>
          <w:vertAlign w:val="subscript"/>
        </w:rPr>
        <w:t>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2534920</wp:posOffset>
                </wp:positionH>
                <wp:positionV relativeFrom="paragraph">
                  <wp:posOffset>-282575</wp:posOffset>
                </wp:positionV>
                <wp:extent cx="1654175"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541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6pt,-22.2499pt" to="329.85pt,-22.2499pt" o:allowincell="f" strokecolor="#000000" strokeweight="0.398pt"/>
            </w:pict>
          </mc:Fallback>
        </mc:AlternateContent>
      </w:r>
    </w:p>
    <w:p>
      <w:pPr>
        <w:spacing w:after="0" w:line="151" w:lineRule="exact"/>
        <w:rPr>
          <w:sz w:val="20"/>
          <w:szCs w:val="20"/>
          <w:color w:val="auto"/>
        </w:rPr>
      </w:pPr>
    </w:p>
    <w:p>
      <w:pPr>
        <w:jc w:val="both"/>
        <w:ind w:left="260" w:firstLine="850"/>
        <w:spacing w:after="0" w:line="404" w:lineRule="auto"/>
        <w:rPr>
          <w:sz w:val="20"/>
          <w:szCs w:val="20"/>
          <w:color w:val="auto"/>
        </w:rPr>
      </w:pPr>
      <w:r>
        <w:rPr>
          <w:rFonts w:ascii="Arial" w:cs="Arial" w:eastAsia="Arial" w:hAnsi="Arial"/>
          <w:sz w:val="24"/>
          <w:szCs w:val="24"/>
          <w:color w:val="auto"/>
        </w:rPr>
        <w:t>A elevação do nível de compulsório reduz o multiplicador bancário e aumenta a necessidade de captações para atendimento das operações crédito e consequen-temente os custos de captação atuando de forma direta com o spread e inversa com rentabilidade.</w:t>
      </w:r>
    </w:p>
    <w:p>
      <w:pPr>
        <w:spacing w:after="0" w:line="37" w:lineRule="exact"/>
        <w:rPr>
          <w:sz w:val="20"/>
          <w:szCs w:val="20"/>
          <w:color w:val="auto"/>
        </w:rPr>
      </w:pPr>
    </w:p>
    <w:p>
      <w:pPr>
        <w:jc w:val="both"/>
        <w:ind w:left="260" w:right="40" w:firstLine="850"/>
        <w:spacing w:after="0" w:line="431"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15</w:t>
      </w:r>
      <w:r>
        <w:rPr>
          <w:rFonts w:ascii="Arial" w:cs="Arial" w:eastAsia="Arial" w:hAnsi="Arial"/>
          <w:sz w:val="24"/>
          <w:szCs w:val="24"/>
          <w:color w:val="auto"/>
        </w:rPr>
        <w:t xml:space="preserve">: O volume dos meios de pagamentos </w:t>
      </w:r>
      <w:r>
        <w:rPr>
          <w:rFonts w:ascii="Arial" w:cs="Arial" w:eastAsia="Arial" w:hAnsi="Arial"/>
          <w:sz w:val="24"/>
          <w:szCs w:val="24"/>
          <w:i w:val="1"/>
          <w:iCs w:val="1"/>
          <w:color w:val="auto"/>
        </w:rPr>
        <w:t>M pag</w:t>
      </w:r>
      <w:r>
        <w:rPr>
          <w:rFonts w:ascii="Arial" w:cs="Arial" w:eastAsia="Arial" w:hAnsi="Arial"/>
          <w:sz w:val="24"/>
          <w:szCs w:val="24"/>
          <w:color w:val="auto"/>
        </w:rPr>
        <w:t xml:space="preserve"> atua de forma inversa no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21" w:lineRule="exact"/>
        <w:rPr>
          <w:sz w:val="20"/>
          <w:szCs w:val="20"/>
          <w:color w:val="auto"/>
        </w:rPr>
      </w:pPr>
    </w:p>
    <w:p>
      <w:pPr>
        <w:jc w:val="both"/>
        <w:ind w:left="260" w:right="40" w:firstLine="850"/>
        <w:spacing w:after="0" w:line="421" w:lineRule="auto"/>
        <w:rPr>
          <w:sz w:val="20"/>
          <w:szCs w:val="20"/>
          <w:color w:val="auto"/>
        </w:rPr>
      </w:pPr>
      <w:r>
        <w:rPr>
          <w:rFonts w:ascii="Arial" w:cs="Arial" w:eastAsia="Arial" w:hAnsi="Arial"/>
          <w:sz w:val="24"/>
          <w:szCs w:val="24"/>
          <w:color w:val="auto"/>
        </w:rPr>
        <w:t>Para a variável meios de pagamentos (</w:t>
      </w:r>
      <w:r>
        <w:rPr>
          <w:rFonts w:ascii="Arial" w:cs="Arial" w:eastAsia="Arial" w:hAnsi="Arial"/>
          <w:sz w:val="24"/>
          <w:szCs w:val="24"/>
          <w:i w:val="1"/>
          <w:iCs w:val="1"/>
          <w:color w:val="auto"/>
        </w:rPr>
        <w:t>M pag</w:t>
      </w:r>
      <w:r>
        <w:rPr>
          <w:rFonts w:ascii="Arial" w:cs="Arial" w:eastAsia="Arial" w:hAnsi="Arial"/>
          <w:sz w:val="24"/>
          <w:szCs w:val="24"/>
          <w:color w:val="auto"/>
        </w:rPr>
        <w:t>) serão utilizados os dados os meios de pagamentos amplos (</w:t>
      </w:r>
      <w:r>
        <w:rPr>
          <w:rFonts w:ascii="Arial" w:cs="Arial" w:eastAsia="Arial" w:hAnsi="Arial"/>
          <w:sz w:val="24"/>
          <w:szCs w:val="24"/>
          <w:i w:val="1"/>
          <w:iCs w:val="1"/>
          <w:color w:val="auto"/>
        </w:rPr>
        <w:t>M P M</w:t>
      </w:r>
      <w:r>
        <w:rPr>
          <w:rFonts w:ascii="Arial" w:cs="Arial" w:eastAsia="Arial" w:hAnsi="Arial"/>
          <w:sz w:val="24"/>
          <w:szCs w:val="24"/>
          <w:color w:val="auto"/>
        </w:rPr>
        <w:t>4) da série 27815 ajustados para o período do conjunto de dados. Espera-se que as variações dos meios de pagamentos atuem de forma indireta no spread e direta a rentabilidade bancária.</w:t>
      </w:r>
    </w:p>
    <w:p>
      <w:pPr>
        <w:spacing w:after="0" w:line="135" w:lineRule="exact"/>
        <w:rPr>
          <w:sz w:val="20"/>
          <w:szCs w:val="20"/>
          <w:color w:val="auto"/>
        </w:rPr>
      </w:pPr>
    </w:p>
    <w:p>
      <w:pPr>
        <w:jc w:val="center"/>
        <w:ind w:right="-239"/>
        <w:spacing w:after="0"/>
        <w:rPr>
          <w:sz w:val="20"/>
          <w:szCs w:val="20"/>
          <w:color w:val="auto"/>
        </w:rPr>
      </w:pPr>
      <w:r>
        <w:rPr>
          <w:rFonts w:ascii="Arial" w:cs="Arial" w:eastAsia="Arial" w:hAnsi="Arial"/>
          <w:sz w:val="24"/>
          <w:szCs w:val="24"/>
          <w:i w:val="1"/>
          <w:iCs w:val="1"/>
          <w:color w:val="auto"/>
        </w:rPr>
        <w:t>M apg</w:t>
      </w:r>
      <w:r>
        <w:rPr>
          <w:rFonts w:ascii="Arial" w:cs="Arial" w:eastAsia="Arial" w:hAnsi="Arial"/>
          <w:sz w:val="31"/>
          <w:szCs w:val="31"/>
          <w:i w:val="1"/>
          <w:iCs w:val="1"/>
          <w:color w:val="auto"/>
          <w:vertAlign w:val="subscript"/>
        </w:rPr>
        <w:t>t</w:t>
      </w:r>
      <w:r>
        <w:rPr>
          <w:rFonts w:ascii="Arial" w:cs="Arial" w:eastAsia="Arial" w:hAnsi="Arial"/>
          <w:sz w:val="24"/>
          <w:szCs w:val="24"/>
          <w:color w:val="auto"/>
        </w:rPr>
        <w:t xml:space="preserve"> = ln(</w:t>
      </w:r>
      <w:r>
        <w:rPr>
          <w:rFonts w:ascii="Arial" w:cs="Arial" w:eastAsia="Arial" w:hAnsi="Arial"/>
          <w:sz w:val="24"/>
          <w:szCs w:val="24"/>
          <w:i w:val="1"/>
          <w:iCs w:val="1"/>
          <w:color w:val="auto"/>
        </w:rPr>
        <w:t>M P M</w:t>
      </w:r>
      <w:r>
        <w:rPr>
          <w:rFonts w:ascii="Arial" w:cs="Arial" w:eastAsia="Arial" w:hAnsi="Arial"/>
          <w:sz w:val="24"/>
          <w:szCs w:val="24"/>
          <w:color w:val="auto"/>
        </w:rPr>
        <w:t>4</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r>
        <w:rPr>
          <w:rFonts w:ascii="Arial" w:cs="Arial" w:eastAsia="Arial" w:hAnsi="Arial"/>
          <w:sz w:val="24"/>
          <w:szCs w:val="24"/>
          <w:color w:val="auto"/>
        </w:rPr>
        <w:t>)</w:t>
      </w:r>
    </w:p>
    <w:p>
      <w:pPr>
        <w:spacing w:after="0" w:line="200" w:lineRule="exact"/>
        <w:rPr>
          <w:sz w:val="20"/>
          <w:szCs w:val="20"/>
          <w:color w:val="auto"/>
        </w:rPr>
      </w:pPr>
    </w:p>
    <w:p>
      <w:pPr>
        <w:spacing w:after="0" w:line="280" w:lineRule="exact"/>
        <w:rPr>
          <w:sz w:val="20"/>
          <w:szCs w:val="20"/>
          <w:color w:val="auto"/>
        </w:rPr>
      </w:pPr>
    </w:p>
    <w:p>
      <w:pPr>
        <w:jc w:val="both"/>
        <w:ind w:left="260" w:right="40" w:firstLine="858"/>
        <w:spacing w:after="0" w:line="431"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16</w:t>
      </w:r>
      <w:r>
        <w:rPr>
          <w:rFonts w:ascii="Arial" w:cs="Arial" w:eastAsia="Arial" w:hAnsi="Arial"/>
          <w:sz w:val="24"/>
          <w:szCs w:val="24"/>
          <w:color w:val="auto"/>
        </w:rPr>
        <w:t>: A velocidade da moeda (</w:t>
      </w:r>
      <w:r>
        <w:rPr>
          <w:rFonts w:ascii="Arial" w:cs="Arial" w:eastAsia="Arial" w:hAnsi="Arial"/>
          <w:sz w:val="24"/>
          <w:szCs w:val="24"/>
          <w:i w:val="1"/>
          <w:iCs w:val="1"/>
          <w:color w:val="auto"/>
        </w:rPr>
        <w:t>V elM o</w:t>
      </w:r>
      <w:r>
        <w:rPr>
          <w:rFonts w:ascii="Arial" w:cs="Arial" w:eastAsia="Arial" w:hAnsi="Arial"/>
          <w:sz w:val="24"/>
          <w:szCs w:val="24"/>
          <w:color w:val="auto"/>
        </w:rPr>
        <w:t>) atua de forma inversa no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ind w:left="5020"/>
        <w:spacing w:after="0" w:line="181" w:lineRule="auto"/>
        <w:rPr>
          <w:sz w:val="20"/>
          <w:szCs w:val="20"/>
          <w:color w:val="auto"/>
        </w:rPr>
      </w:pPr>
      <w:r>
        <w:rPr>
          <w:rFonts w:ascii="Arial" w:cs="Arial" w:eastAsia="Arial" w:hAnsi="Arial"/>
          <w:sz w:val="23"/>
          <w:szCs w:val="23"/>
          <w:i w:val="1"/>
          <w:iCs w:val="1"/>
          <w:color w:val="auto"/>
          <w:vertAlign w:val="superscript"/>
        </w:rPr>
        <w:t>P ib</w:t>
      </w:r>
      <w:r>
        <w:rPr>
          <w:rFonts w:ascii="Arial" w:cs="Arial" w:eastAsia="Arial" w:hAnsi="Arial"/>
          <w:sz w:val="12"/>
          <w:szCs w:val="12"/>
          <w:i w:val="1"/>
          <w:iCs w:val="1"/>
          <w:color w:val="auto"/>
        </w:rPr>
        <w:t>t</w:t>
      </w:r>
      <w:r>
        <w:rPr>
          <w:rFonts w:ascii="Arial" w:cs="Arial" w:eastAsia="Arial" w:hAnsi="Arial"/>
          <w:sz w:val="12"/>
          <w:szCs w:val="12"/>
          <w:color w:val="auto"/>
        </w:rPr>
        <w:t>−1</w:t>
      </w:r>
    </w:p>
    <w:p>
      <w:pPr>
        <w:ind w:left="3780"/>
        <w:spacing w:after="0" w:line="185" w:lineRule="auto"/>
        <w:rPr>
          <w:sz w:val="20"/>
          <w:szCs w:val="20"/>
          <w:color w:val="auto"/>
        </w:rPr>
      </w:pPr>
      <w:r>
        <w:rPr>
          <w:rFonts w:ascii="Arial" w:cs="Arial" w:eastAsia="Arial" w:hAnsi="Arial"/>
          <w:sz w:val="26"/>
          <w:szCs w:val="26"/>
          <w:i w:val="1"/>
          <w:iCs w:val="1"/>
          <w:color w:val="auto"/>
          <w:vertAlign w:val="subscript"/>
        </w:rPr>
        <w:t>V elM o</w:t>
      </w:r>
      <w:r>
        <w:rPr>
          <w:rFonts w:ascii="Arial" w:cs="Arial" w:eastAsia="Arial" w:hAnsi="Arial"/>
          <w:sz w:val="19"/>
          <w:szCs w:val="19"/>
          <w:i w:val="1"/>
          <w:iCs w:val="1"/>
          <w:color w:val="auto"/>
          <w:vertAlign w:val="subscript"/>
        </w:rPr>
        <w:t>t</w:t>
      </w:r>
      <w:r>
        <w:rPr>
          <w:rFonts w:ascii="Arial" w:cs="Arial" w:eastAsia="Arial" w:hAnsi="Arial"/>
          <w:sz w:val="26"/>
          <w:szCs w:val="26"/>
          <w:color w:val="auto"/>
          <w:vertAlign w:val="subscript"/>
        </w:rPr>
        <w:t xml:space="preser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3133725</wp:posOffset>
                </wp:positionH>
                <wp:positionV relativeFrom="paragraph">
                  <wp:posOffset>-78105</wp:posOffset>
                </wp:positionV>
                <wp:extent cx="530225" cy="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02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75pt,-6.1499pt" to="288.5pt,-6.1499pt" o:allowincell="f" strokecolor="#000000" strokeweight="0.398pt"/>
            </w:pict>
          </mc:Fallback>
        </mc:AlternateContent>
      </w:r>
    </w:p>
    <w:p>
      <w:pPr>
        <w:spacing w:after="0" w:line="200" w:lineRule="exact"/>
        <w:rPr>
          <w:sz w:val="20"/>
          <w:szCs w:val="20"/>
          <w:color w:val="auto"/>
        </w:rPr>
      </w:pPr>
    </w:p>
    <w:p>
      <w:pPr>
        <w:spacing w:after="0" w:line="247" w:lineRule="exact"/>
        <w:rPr>
          <w:sz w:val="20"/>
          <w:szCs w:val="20"/>
          <w:color w:val="auto"/>
        </w:rPr>
      </w:pPr>
    </w:p>
    <w:p>
      <w:pPr>
        <w:ind w:left="1100"/>
        <w:spacing w:after="0"/>
        <w:rPr>
          <w:sz w:val="20"/>
          <w:szCs w:val="20"/>
          <w:color w:val="auto"/>
        </w:rPr>
      </w:pPr>
      <w:r>
        <w:rPr>
          <w:rFonts w:ascii="Arial" w:cs="Arial" w:eastAsia="Arial" w:hAnsi="Arial"/>
          <w:sz w:val="23"/>
          <w:szCs w:val="23"/>
          <w:i w:val="1"/>
          <w:iCs w:val="1"/>
          <w:color w:val="auto"/>
        </w:rPr>
        <w:t>H</w:t>
      </w:r>
      <w:r>
        <w:rPr>
          <w:rFonts w:ascii="Arial" w:cs="Arial" w:eastAsia="Arial" w:hAnsi="Arial"/>
          <w:sz w:val="30"/>
          <w:szCs w:val="30"/>
          <w:color w:val="auto"/>
          <w:vertAlign w:val="subscript"/>
        </w:rPr>
        <w:t>17</w:t>
      </w:r>
      <w:r>
        <w:rPr>
          <w:rFonts w:ascii="Arial" w:cs="Arial" w:eastAsia="Arial" w:hAnsi="Arial"/>
          <w:sz w:val="23"/>
          <w:szCs w:val="23"/>
          <w:color w:val="auto"/>
        </w:rPr>
        <w:t>: O spread ex-ante (</w:t>
      </w:r>
      <w:r>
        <w:rPr>
          <w:rFonts w:ascii="Arial" w:cs="Arial" w:eastAsia="Arial" w:hAnsi="Arial"/>
          <w:sz w:val="23"/>
          <w:szCs w:val="23"/>
          <w:i w:val="1"/>
          <w:iCs w:val="1"/>
          <w:color w:val="auto"/>
        </w:rPr>
        <w:t>SprEa</w:t>
      </w:r>
      <w:r>
        <w:rPr>
          <w:rFonts w:ascii="Arial" w:cs="Arial" w:eastAsia="Arial" w:hAnsi="Arial"/>
          <w:sz w:val="30"/>
          <w:szCs w:val="30"/>
          <w:i w:val="1"/>
          <w:iCs w:val="1"/>
          <w:color w:val="auto"/>
          <w:vertAlign w:val="subscript"/>
        </w:rPr>
        <w:t>t</w:t>
      </w:r>
      <w:r>
        <w:rPr>
          <w:rFonts w:ascii="Arial" w:cs="Arial" w:eastAsia="Arial" w:hAnsi="Arial"/>
          <w:sz w:val="30"/>
          <w:szCs w:val="30"/>
          <w:color w:val="auto"/>
          <w:vertAlign w:val="subscript"/>
        </w:rPr>
        <w:t>−1</w:t>
      </w:r>
      <w:r>
        <w:rPr>
          <w:rFonts w:ascii="Arial" w:cs="Arial" w:eastAsia="Arial" w:hAnsi="Arial"/>
          <w:sz w:val="23"/>
          <w:szCs w:val="23"/>
          <w:color w:val="auto"/>
        </w:rPr>
        <w:t>) atua de forma direta spread ex-post (</w:t>
      </w:r>
      <w:r>
        <w:rPr>
          <w:rFonts w:ascii="Arial" w:cs="Arial" w:eastAsia="Arial" w:hAnsi="Arial"/>
          <w:sz w:val="23"/>
          <w:szCs w:val="23"/>
          <w:i w:val="1"/>
          <w:iCs w:val="1"/>
          <w:color w:val="auto"/>
        </w:rPr>
        <w:t>SprEp</w:t>
      </w:r>
      <w:r>
        <w:rPr>
          <w:rFonts w:ascii="Arial" w:cs="Arial" w:eastAsia="Arial" w:hAnsi="Arial"/>
          <w:sz w:val="23"/>
          <w:szCs w:val="23"/>
          <w:color w:val="auto"/>
        </w:rPr>
        <w:t>)</w:t>
      </w:r>
    </w:p>
    <w:p>
      <w:pPr>
        <w:spacing w:after="0" w:line="214" w:lineRule="exact"/>
        <w:rPr>
          <w:sz w:val="20"/>
          <w:szCs w:val="20"/>
          <w:color w:val="auto"/>
        </w:rPr>
      </w:pPr>
    </w:p>
    <w:p>
      <w:pPr>
        <w:ind w:left="260"/>
        <w:spacing w:after="0"/>
        <w:rPr>
          <w:sz w:val="20"/>
          <w:szCs w:val="20"/>
          <w:color w:val="auto"/>
        </w:rPr>
      </w:pPr>
      <w:r>
        <w:rPr>
          <w:rFonts w:ascii="Arial" w:cs="Arial" w:eastAsia="Arial" w:hAnsi="Arial"/>
          <w:sz w:val="24"/>
          <w:szCs w:val="24"/>
          <w:color w:val="auto"/>
        </w:rPr>
        <w:t>e direto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279" w:lineRule="exact"/>
        <w:rPr>
          <w:sz w:val="20"/>
          <w:szCs w:val="20"/>
          <w:color w:val="auto"/>
        </w:rPr>
      </w:pPr>
    </w:p>
    <w:p>
      <w:pPr>
        <w:ind w:left="260" w:firstLine="850"/>
        <w:spacing w:after="0" w:line="533" w:lineRule="auto"/>
        <w:rPr>
          <w:sz w:val="20"/>
          <w:szCs w:val="20"/>
          <w:color w:val="auto"/>
        </w:rPr>
      </w:pPr>
      <w:r>
        <w:rPr>
          <w:rFonts w:ascii="Arial" w:cs="Arial" w:eastAsia="Arial" w:hAnsi="Arial"/>
          <w:sz w:val="22"/>
          <w:szCs w:val="22"/>
          <w:color w:val="auto"/>
        </w:rPr>
        <w:t xml:space="preserve">Para o spread ex-ante será utilizada a série </w:t>
      </w:r>
      <w:r>
        <w:rPr>
          <w:rFonts w:ascii="Arial" w:cs="Arial" w:eastAsia="Arial" w:hAnsi="Arial"/>
          <w:sz w:val="22"/>
          <w:szCs w:val="22"/>
          <w:i w:val="1"/>
          <w:iCs w:val="1"/>
          <w:color w:val="auto"/>
        </w:rPr>
        <w:t>sgs</w:t>
      </w:r>
      <w:r>
        <w:rPr>
          <w:rFonts w:ascii="Arial" w:cs="Arial" w:eastAsia="Arial" w:hAnsi="Arial"/>
          <w:sz w:val="22"/>
          <w:szCs w:val="22"/>
          <w:color w:val="auto"/>
        </w:rPr>
        <w:t xml:space="preserve"> − 20783 defasada em 1 período, obtida no portal de dados abertos o Banco Central. Espera-se que esta variável atue</w:t>
      </w:r>
    </w:p>
    <w:p>
      <w:pPr>
        <w:sectPr>
          <w:pgSz w:w="11900" w:h="16838" w:orient="portrait"/>
          <w:cols w:equalWidth="0" w:num="1">
            <w:col w:w="9360"/>
          </w:cols>
          <w:pgMar w:left="1440" w:top="991" w:right="1106" w:bottom="559" w:gutter="0" w:footer="0" w:header="0"/>
        </w:sectPr>
      </w:pPr>
    </w:p>
    <w:p>
      <w:pPr>
        <w:ind w:left="9060"/>
        <w:spacing w:after="0"/>
        <w:rPr>
          <w:sz w:val="20"/>
          <w:szCs w:val="20"/>
          <w:color w:val="auto"/>
        </w:rPr>
      </w:pPr>
      <w:r>
        <w:rPr>
          <w:rFonts w:ascii="Arial" w:cs="Arial" w:eastAsia="Arial" w:hAnsi="Arial"/>
          <w:sz w:val="24"/>
          <w:szCs w:val="24"/>
          <w:color w:val="auto"/>
        </w:rPr>
        <w:t>61</w:t>
      </w:r>
    </w:p>
    <w:p>
      <w:pPr>
        <w:spacing w:after="0" w:line="200" w:lineRule="exact"/>
        <w:rPr>
          <w:sz w:val="20"/>
          <w:szCs w:val="20"/>
          <w:color w:val="auto"/>
        </w:rPr>
      </w:pPr>
    </w:p>
    <w:p>
      <w:pPr>
        <w:spacing w:after="0" w:line="215" w:lineRule="exact"/>
        <w:rPr>
          <w:sz w:val="20"/>
          <w:szCs w:val="20"/>
          <w:color w:val="auto"/>
        </w:rPr>
      </w:pPr>
    </w:p>
    <w:p>
      <w:pPr>
        <w:ind w:left="1240"/>
        <w:spacing w:after="0"/>
        <w:rPr>
          <w:sz w:val="20"/>
          <w:szCs w:val="20"/>
          <w:color w:val="auto"/>
        </w:rPr>
      </w:pPr>
      <w:r>
        <w:rPr>
          <w:rFonts w:ascii="Arial" w:cs="Arial" w:eastAsia="Arial" w:hAnsi="Arial"/>
          <w:sz w:val="22"/>
          <w:szCs w:val="22"/>
          <w:color w:val="auto"/>
        </w:rPr>
        <w:t>Tabela 10 – Descrição e origens dos dados para construção dos modelos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154940</wp:posOffset>
                </wp:positionV>
                <wp:extent cx="6158865" cy="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58865"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497.9pt,12.2pt" o:allowincell="f" strokecolor="#000000" strokeweight="0.936pt"/>
            </w:pict>
          </mc:Fallback>
        </mc:AlternateContent>
      </w:r>
    </w:p>
    <w:p>
      <w:pPr>
        <w:spacing w:after="0" w:line="278" w:lineRule="exact"/>
        <w:rPr>
          <w:sz w:val="20"/>
          <w:szCs w:val="20"/>
          <w:color w:val="auto"/>
        </w:rPr>
      </w:pPr>
    </w:p>
    <w:tbl>
      <w:tblPr>
        <w:tblLayout w:type="fixed"/>
        <w:tblInd w:w="260" w:type="dxa"/>
        <w:tblCellMar>
          <w:top w:w="0" w:type="dxa"/>
          <w:left w:w="0" w:type="dxa"/>
          <w:bottom w:w="0" w:type="dxa"/>
          <w:right w:w="0" w:type="dxa"/>
        </w:tblCellMar>
      </w:tblPr>
      <w:tr>
        <w:trPr>
          <w:trHeight w:val="246"/>
        </w:trPr>
        <w:tc>
          <w:tcPr>
            <w:tcW w:w="1840" w:type="dxa"/>
            <w:vAlign w:val="bottom"/>
          </w:tcPr>
          <w:p>
            <w:pPr>
              <w:ind w:left="120"/>
              <w:spacing w:after="0"/>
              <w:rPr>
                <w:sz w:val="20"/>
                <w:szCs w:val="20"/>
                <w:color w:val="auto"/>
              </w:rPr>
            </w:pPr>
            <w:r>
              <w:rPr>
                <w:rFonts w:ascii="Arial" w:cs="Arial" w:eastAsia="Arial" w:hAnsi="Arial"/>
                <w:sz w:val="20"/>
                <w:szCs w:val="20"/>
                <w:color w:val="auto"/>
              </w:rPr>
              <w:t>Nome</w:t>
            </w:r>
          </w:p>
        </w:tc>
        <w:tc>
          <w:tcPr>
            <w:tcW w:w="3180" w:type="dxa"/>
            <w:vAlign w:val="bottom"/>
          </w:tcPr>
          <w:p>
            <w:pPr>
              <w:ind w:left="220"/>
              <w:spacing w:after="0"/>
              <w:rPr>
                <w:sz w:val="20"/>
                <w:szCs w:val="20"/>
                <w:color w:val="auto"/>
              </w:rPr>
            </w:pPr>
            <w:r>
              <w:rPr>
                <w:rFonts w:ascii="Arial" w:cs="Arial" w:eastAsia="Arial" w:hAnsi="Arial"/>
                <w:sz w:val="20"/>
                <w:szCs w:val="20"/>
                <w:color w:val="auto"/>
              </w:rPr>
              <w:t>Descrição</w:t>
            </w:r>
          </w:p>
        </w:tc>
        <w:tc>
          <w:tcPr>
            <w:tcW w:w="1900" w:type="dxa"/>
            <w:vAlign w:val="bottom"/>
          </w:tcPr>
          <w:p>
            <w:pPr>
              <w:ind w:left="120"/>
              <w:spacing w:after="0"/>
              <w:rPr>
                <w:sz w:val="20"/>
                <w:szCs w:val="20"/>
                <w:color w:val="auto"/>
              </w:rPr>
            </w:pPr>
            <w:r>
              <w:rPr>
                <w:rFonts w:ascii="Arial" w:cs="Arial" w:eastAsia="Arial" w:hAnsi="Arial"/>
                <w:sz w:val="20"/>
                <w:szCs w:val="20"/>
                <w:color w:val="auto"/>
              </w:rPr>
              <w:t>Identificação</w:t>
            </w:r>
          </w:p>
        </w:tc>
        <w:tc>
          <w:tcPr>
            <w:tcW w:w="1420" w:type="dxa"/>
            <w:vAlign w:val="bottom"/>
          </w:tcPr>
          <w:p>
            <w:pPr>
              <w:ind w:left="160"/>
              <w:spacing w:after="0"/>
              <w:rPr>
                <w:sz w:val="20"/>
                <w:szCs w:val="20"/>
                <w:color w:val="auto"/>
              </w:rPr>
            </w:pPr>
            <w:r>
              <w:rPr>
                <w:rFonts w:ascii="Arial" w:cs="Arial" w:eastAsia="Arial" w:hAnsi="Arial"/>
                <w:sz w:val="20"/>
                <w:szCs w:val="20"/>
                <w:color w:val="auto"/>
              </w:rPr>
              <w:t>Periodicidade</w:t>
            </w:r>
          </w:p>
        </w:tc>
        <w:tc>
          <w:tcPr>
            <w:tcW w:w="1380" w:type="dxa"/>
            <w:vAlign w:val="bottom"/>
          </w:tcPr>
          <w:p>
            <w:pPr>
              <w:ind w:left="100"/>
              <w:spacing w:after="0"/>
              <w:rPr>
                <w:sz w:val="20"/>
                <w:szCs w:val="20"/>
                <w:color w:val="auto"/>
              </w:rPr>
            </w:pPr>
            <w:r>
              <w:rPr>
                <w:rFonts w:ascii="Arial" w:cs="Arial" w:eastAsia="Arial" w:hAnsi="Arial"/>
                <w:sz w:val="20"/>
                <w:szCs w:val="20"/>
                <w:color w:val="auto"/>
              </w:rPr>
              <w:t>Fonte</w:t>
            </w:r>
          </w:p>
        </w:tc>
      </w:tr>
      <w:tr>
        <w:trPr>
          <w:trHeight w:val="57"/>
        </w:trPr>
        <w:tc>
          <w:tcPr>
            <w:tcW w:w="1840" w:type="dxa"/>
            <w:vAlign w:val="bottom"/>
            <w:tcBorders>
              <w:bottom w:val="single" w:sz="8" w:color="auto"/>
            </w:tcBorders>
          </w:tcPr>
          <w:p>
            <w:pPr>
              <w:spacing w:after="0"/>
              <w:rPr>
                <w:sz w:val="4"/>
                <w:szCs w:val="4"/>
                <w:color w:val="auto"/>
              </w:rPr>
            </w:pPr>
          </w:p>
        </w:tc>
        <w:tc>
          <w:tcPr>
            <w:tcW w:w="3180" w:type="dxa"/>
            <w:vAlign w:val="bottom"/>
            <w:tcBorders>
              <w:bottom w:val="single" w:sz="8" w:color="auto"/>
            </w:tcBorders>
          </w:tcPr>
          <w:p>
            <w:pPr>
              <w:spacing w:after="0"/>
              <w:rPr>
                <w:sz w:val="4"/>
                <w:szCs w:val="4"/>
                <w:color w:val="auto"/>
              </w:rPr>
            </w:pPr>
          </w:p>
        </w:tc>
        <w:tc>
          <w:tcPr>
            <w:tcW w:w="1900" w:type="dxa"/>
            <w:vAlign w:val="bottom"/>
            <w:tcBorders>
              <w:bottom w:val="single" w:sz="8" w:color="auto"/>
            </w:tcBorders>
          </w:tcPr>
          <w:p>
            <w:pPr>
              <w:spacing w:after="0"/>
              <w:rPr>
                <w:sz w:val="4"/>
                <w:szCs w:val="4"/>
                <w:color w:val="auto"/>
              </w:rPr>
            </w:pPr>
          </w:p>
        </w:tc>
        <w:tc>
          <w:tcPr>
            <w:tcW w:w="142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r>
      <w:tr>
        <w:trPr>
          <w:trHeight w:val="275"/>
        </w:trPr>
        <w:tc>
          <w:tcPr>
            <w:tcW w:w="1840" w:type="dxa"/>
            <w:vAlign w:val="bottom"/>
          </w:tcPr>
          <w:p>
            <w:pPr>
              <w:ind w:left="120"/>
              <w:spacing w:after="0"/>
              <w:rPr>
                <w:sz w:val="20"/>
                <w:szCs w:val="20"/>
                <w:color w:val="auto"/>
              </w:rPr>
            </w:pPr>
            <w:r>
              <w:rPr>
                <w:rFonts w:ascii="Arial" w:cs="Arial" w:eastAsia="Arial" w:hAnsi="Arial"/>
                <w:sz w:val="20"/>
                <w:szCs w:val="20"/>
                <w:b w:val="1"/>
                <w:bCs w:val="1"/>
                <w:color w:val="auto"/>
              </w:rPr>
              <w:t>Demonstrações</w:t>
            </w:r>
          </w:p>
        </w:tc>
        <w:tc>
          <w:tcPr>
            <w:tcW w:w="3180" w:type="dxa"/>
            <w:vAlign w:val="bottom"/>
          </w:tcPr>
          <w:p>
            <w:pPr>
              <w:ind w:left="220"/>
              <w:spacing w:after="0"/>
              <w:rPr>
                <w:sz w:val="20"/>
                <w:szCs w:val="20"/>
                <w:color w:val="auto"/>
              </w:rPr>
            </w:pPr>
            <w:r>
              <w:rPr>
                <w:rFonts w:ascii="Arial" w:cs="Arial" w:eastAsia="Arial" w:hAnsi="Arial"/>
                <w:sz w:val="20"/>
                <w:szCs w:val="20"/>
                <w:color w:val="auto"/>
              </w:rPr>
              <w:t>Balancetes (IFs e</w:t>
            </w:r>
          </w:p>
        </w:tc>
        <w:tc>
          <w:tcPr>
            <w:tcW w:w="1900" w:type="dxa"/>
            <w:vAlign w:val="bottom"/>
          </w:tcPr>
          <w:p>
            <w:pPr>
              <w:ind w:left="120"/>
              <w:spacing w:after="0"/>
              <w:rPr>
                <w:sz w:val="20"/>
                <w:szCs w:val="20"/>
                <w:color w:val="auto"/>
              </w:rPr>
            </w:pPr>
            <w:r>
              <w:rPr>
                <w:rFonts w:ascii="Arial" w:cs="Arial" w:eastAsia="Arial" w:hAnsi="Arial"/>
                <w:sz w:val="20"/>
                <w:szCs w:val="20"/>
                <w:color w:val="auto"/>
              </w:rPr>
              <w:t>370</w:t>
            </w:r>
          </w:p>
        </w:tc>
        <w:tc>
          <w:tcPr>
            <w:tcW w:w="1420" w:type="dxa"/>
            <w:vAlign w:val="bottom"/>
          </w:tcPr>
          <w:p>
            <w:pPr>
              <w:ind w:left="160"/>
              <w:spacing w:after="0"/>
              <w:rPr>
                <w:sz w:val="20"/>
                <w:szCs w:val="20"/>
                <w:color w:val="auto"/>
              </w:rPr>
            </w:pPr>
            <w:r>
              <w:rPr>
                <w:rFonts w:ascii="Arial" w:cs="Arial" w:eastAsia="Arial" w:hAnsi="Arial"/>
                <w:sz w:val="20"/>
                <w:szCs w:val="20"/>
                <w:color w:val="auto"/>
              </w:rPr>
              <w:t>Mensal</w:t>
            </w:r>
          </w:p>
        </w:tc>
        <w:tc>
          <w:tcPr>
            <w:tcW w:w="1380" w:type="dxa"/>
            <w:vAlign w:val="bottom"/>
          </w:tcPr>
          <w:p>
            <w:pPr>
              <w:ind w:left="100"/>
              <w:spacing w:after="0"/>
              <w:rPr>
                <w:sz w:val="20"/>
                <w:szCs w:val="20"/>
                <w:color w:val="auto"/>
              </w:rPr>
            </w:pPr>
            <w:r>
              <w:rPr>
                <w:rFonts w:ascii="Arial" w:cs="Arial" w:eastAsia="Arial" w:hAnsi="Arial"/>
                <w:sz w:val="20"/>
                <w:szCs w:val="20"/>
                <w:color w:val="auto"/>
              </w:rPr>
              <w:t>Banco</w:t>
            </w:r>
          </w:p>
        </w:tc>
      </w:tr>
      <w:tr>
        <w:trPr>
          <w:trHeight w:val="212"/>
        </w:trPr>
        <w:tc>
          <w:tcPr>
            <w:tcW w:w="1840" w:type="dxa"/>
            <w:vAlign w:val="bottom"/>
          </w:tcPr>
          <w:p>
            <w:pPr>
              <w:ind w:left="120"/>
              <w:spacing w:after="0" w:line="211" w:lineRule="exact"/>
              <w:rPr>
                <w:sz w:val="20"/>
                <w:szCs w:val="20"/>
                <w:color w:val="auto"/>
              </w:rPr>
            </w:pPr>
            <w:r>
              <w:rPr>
                <w:rFonts w:ascii="Arial" w:cs="Arial" w:eastAsia="Arial" w:hAnsi="Arial"/>
                <w:sz w:val="20"/>
                <w:szCs w:val="20"/>
                <w:b w:val="1"/>
                <w:bCs w:val="1"/>
                <w:color w:val="auto"/>
              </w:rPr>
              <w:t>Financeiras</w:t>
            </w:r>
          </w:p>
        </w:tc>
        <w:tc>
          <w:tcPr>
            <w:tcW w:w="3180" w:type="dxa"/>
            <w:vAlign w:val="bottom"/>
          </w:tcPr>
          <w:p>
            <w:pPr>
              <w:ind w:left="220"/>
              <w:spacing w:after="0" w:line="211" w:lineRule="exact"/>
              <w:rPr>
                <w:sz w:val="20"/>
                <w:szCs w:val="20"/>
                <w:color w:val="auto"/>
              </w:rPr>
            </w:pPr>
            <w:r>
              <w:rPr>
                <w:rFonts w:ascii="Arial" w:cs="Arial" w:eastAsia="Arial" w:hAnsi="Arial"/>
                <w:sz w:val="20"/>
                <w:szCs w:val="20"/>
                <w:color w:val="auto"/>
              </w:rPr>
              <w:t>Conglomerados)</w:t>
            </w:r>
          </w:p>
        </w:tc>
        <w:tc>
          <w:tcPr>
            <w:tcW w:w="1900" w:type="dxa"/>
            <w:vAlign w:val="bottom"/>
          </w:tcPr>
          <w:p>
            <w:pPr>
              <w:spacing w:after="0"/>
              <w:rPr>
                <w:sz w:val="18"/>
                <w:szCs w:val="18"/>
                <w:color w:val="auto"/>
              </w:rPr>
            </w:pPr>
          </w:p>
        </w:tc>
        <w:tc>
          <w:tcPr>
            <w:tcW w:w="1420" w:type="dxa"/>
            <w:vAlign w:val="bottom"/>
          </w:tcPr>
          <w:p>
            <w:pPr>
              <w:spacing w:after="0"/>
              <w:rPr>
                <w:sz w:val="18"/>
                <w:szCs w:val="18"/>
                <w:color w:val="auto"/>
              </w:rPr>
            </w:pPr>
          </w:p>
        </w:tc>
        <w:tc>
          <w:tcPr>
            <w:tcW w:w="1380" w:type="dxa"/>
            <w:vAlign w:val="bottom"/>
          </w:tcPr>
          <w:p>
            <w:pPr>
              <w:ind w:left="100"/>
              <w:spacing w:after="0" w:line="211" w:lineRule="exact"/>
              <w:rPr>
                <w:sz w:val="20"/>
                <w:szCs w:val="20"/>
                <w:color w:val="auto"/>
              </w:rPr>
            </w:pPr>
            <w:r>
              <w:rPr>
                <w:rFonts w:ascii="Arial" w:cs="Arial" w:eastAsia="Arial" w:hAnsi="Arial"/>
                <w:sz w:val="20"/>
                <w:szCs w:val="20"/>
                <w:color w:val="auto"/>
              </w:rPr>
              <w:t>Central</w:t>
            </w:r>
          </w:p>
        </w:tc>
      </w:tr>
      <w:tr>
        <w:trPr>
          <w:trHeight w:val="239"/>
        </w:trPr>
        <w:tc>
          <w:tcPr>
            <w:tcW w:w="1840" w:type="dxa"/>
            <w:vAlign w:val="bottom"/>
          </w:tcPr>
          <w:p>
            <w:pPr>
              <w:ind w:left="120"/>
              <w:spacing w:after="0"/>
              <w:rPr>
                <w:sz w:val="20"/>
                <w:szCs w:val="20"/>
                <w:color w:val="auto"/>
              </w:rPr>
            </w:pPr>
            <w:r>
              <w:rPr>
                <w:rFonts w:ascii="Arial" w:cs="Arial" w:eastAsia="Arial" w:hAnsi="Arial"/>
                <w:sz w:val="20"/>
                <w:szCs w:val="20"/>
                <w:b w:val="1"/>
                <w:bCs w:val="1"/>
                <w:color w:val="auto"/>
              </w:rPr>
              <w:t>PIB</w:t>
            </w:r>
          </w:p>
        </w:tc>
        <w:tc>
          <w:tcPr>
            <w:tcW w:w="3180" w:type="dxa"/>
            <w:vAlign w:val="bottom"/>
          </w:tcPr>
          <w:p>
            <w:pPr>
              <w:ind w:left="220"/>
              <w:spacing w:after="0"/>
              <w:rPr>
                <w:sz w:val="20"/>
                <w:szCs w:val="20"/>
                <w:color w:val="auto"/>
              </w:rPr>
            </w:pPr>
            <w:r>
              <w:rPr>
                <w:rFonts w:ascii="Arial" w:cs="Arial" w:eastAsia="Arial" w:hAnsi="Arial"/>
                <w:sz w:val="20"/>
                <w:szCs w:val="20"/>
                <w:color w:val="auto"/>
              </w:rPr>
              <w:t>O Produto Interno Bruto (PIB)</w:t>
            </w:r>
          </w:p>
        </w:tc>
        <w:tc>
          <w:tcPr>
            <w:tcW w:w="1900" w:type="dxa"/>
            <w:vAlign w:val="bottom"/>
          </w:tcPr>
          <w:p>
            <w:pPr>
              <w:ind w:left="120"/>
              <w:spacing w:after="0"/>
              <w:rPr>
                <w:sz w:val="20"/>
                <w:szCs w:val="20"/>
                <w:color w:val="auto"/>
              </w:rPr>
            </w:pPr>
            <w:r>
              <w:rPr>
                <w:rFonts w:ascii="Arial" w:cs="Arial" w:eastAsia="Arial" w:hAnsi="Arial"/>
                <w:sz w:val="20"/>
                <w:szCs w:val="20"/>
                <w:color w:val="auto"/>
              </w:rPr>
              <w:t>BM12_PIB12</w:t>
            </w:r>
          </w:p>
        </w:tc>
        <w:tc>
          <w:tcPr>
            <w:tcW w:w="1420" w:type="dxa"/>
            <w:vAlign w:val="bottom"/>
          </w:tcPr>
          <w:p>
            <w:pPr>
              <w:ind w:left="160"/>
              <w:spacing w:after="0"/>
              <w:rPr>
                <w:sz w:val="20"/>
                <w:szCs w:val="20"/>
                <w:color w:val="auto"/>
              </w:rPr>
            </w:pPr>
            <w:r>
              <w:rPr>
                <w:rFonts w:ascii="Arial" w:cs="Arial" w:eastAsia="Arial" w:hAnsi="Arial"/>
                <w:sz w:val="20"/>
                <w:szCs w:val="20"/>
                <w:color w:val="auto"/>
              </w:rPr>
              <w:t>Mensal</w:t>
            </w:r>
          </w:p>
        </w:tc>
        <w:tc>
          <w:tcPr>
            <w:tcW w:w="1380" w:type="dxa"/>
            <w:vAlign w:val="bottom"/>
          </w:tcPr>
          <w:p>
            <w:pPr>
              <w:ind w:left="100"/>
              <w:spacing w:after="0"/>
              <w:rPr>
                <w:sz w:val="20"/>
                <w:szCs w:val="20"/>
                <w:color w:val="auto"/>
              </w:rPr>
            </w:pPr>
            <w:r>
              <w:rPr>
                <w:rFonts w:ascii="Arial" w:cs="Arial" w:eastAsia="Arial" w:hAnsi="Arial"/>
                <w:sz w:val="20"/>
                <w:szCs w:val="20"/>
                <w:color w:val="auto"/>
              </w:rPr>
              <w:t>IPEA</w:t>
            </w:r>
          </w:p>
        </w:tc>
      </w:tr>
      <w:tr>
        <w:trPr>
          <w:trHeight w:val="239"/>
        </w:trPr>
        <w:tc>
          <w:tcPr>
            <w:tcW w:w="1840" w:type="dxa"/>
            <w:vAlign w:val="bottom"/>
          </w:tcPr>
          <w:p>
            <w:pPr>
              <w:spacing w:after="0"/>
              <w:rPr>
                <w:sz w:val="20"/>
                <w:szCs w:val="20"/>
                <w:color w:val="auto"/>
              </w:rPr>
            </w:pPr>
          </w:p>
        </w:tc>
        <w:tc>
          <w:tcPr>
            <w:tcW w:w="3180" w:type="dxa"/>
            <w:vAlign w:val="bottom"/>
          </w:tcPr>
          <w:p>
            <w:pPr>
              <w:ind w:left="220"/>
              <w:spacing w:after="0"/>
              <w:rPr>
                <w:sz w:val="20"/>
                <w:szCs w:val="20"/>
                <w:color w:val="auto"/>
              </w:rPr>
            </w:pPr>
            <w:r>
              <w:rPr>
                <w:rFonts w:ascii="Arial" w:cs="Arial" w:eastAsia="Arial" w:hAnsi="Arial"/>
                <w:sz w:val="20"/>
                <w:szCs w:val="20"/>
                <w:color w:val="auto"/>
              </w:rPr>
              <w:t>denominado como PIB mensal é</w:t>
            </w:r>
          </w:p>
        </w:tc>
        <w:tc>
          <w:tcPr>
            <w:tcW w:w="1900" w:type="dxa"/>
            <w:vAlign w:val="bottom"/>
          </w:tcPr>
          <w:p>
            <w:pPr>
              <w:spacing w:after="0"/>
              <w:rPr>
                <w:sz w:val="20"/>
                <w:szCs w:val="20"/>
                <w:color w:val="auto"/>
              </w:rPr>
            </w:pPr>
          </w:p>
        </w:tc>
        <w:tc>
          <w:tcPr>
            <w:tcW w:w="1420" w:type="dxa"/>
            <w:vAlign w:val="bottom"/>
          </w:tcPr>
          <w:p>
            <w:pPr>
              <w:spacing w:after="0"/>
              <w:rPr>
                <w:sz w:val="20"/>
                <w:szCs w:val="20"/>
                <w:color w:val="auto"/>
              </w:rPr>
            </w:pPr>
          </w:p>
        </w:tc>
        <w:tc>
          <w:tcPr>
            <w:tcW w:w="1380" w:type="dxa"/>
            <w:vAlign w:val="bottom"/>
          </w:tcPr>
          <w:p>
            <w:pPr>
              <w:spacing w:after="0"/>
              <w:rPr>
                <w:sz w:val="20"/>
                <w:szCs w:val="20"/>
                <w:color w:val="auto"/>
              </w:rPr>
            </w:pPr>
          </w:p>
        </w:tc>
      </w:tr>
      <w:tr>
        <w:trPr>
          <w:trHeight w:val="239"/>
        </w:trPr>
        <w:tc>
          <w:tcPr>
            <w:tcW w:w="1840" w:type="dxa"/>
            <w:vAlign w:val="bottom"/>
          </w:tcPr>
          <w:p>
            <w:pPr>
              <w:spacing w:after="0"/>
              <w:rPr>
                <w:sz w:val="20"/>
                <w:szCs w:val="20"/>
                <w:color w:val="auto"/>
              </w:rPr>
            </w:pPr>
          </w:p>
        </w:tc>
        <w:tc>
          <w:tcPr>
            <w:tcW w:w="3180" w:type="dxa"/>
            <w:vAlign w:val="bottom"/>
          </w:tcPr>
          <w:p>
            <w:pPr>
              <w:ind w:left="220"/>
              <w:spacing w:after="0"/>
              <w:rPr>
                <w:sz w:val="20"/>
                <w:szCs w:val="20"/>
                <w:color w:val="auto"/>
              </w:rPr>
            </w:pPr>
            <w:r>
              <w:rPr>
                <w:rFonts w:ascii="Arial" w:cs="Arial" w:eastAsia="Arial" w:hAnsi="Arial"/>
                <w:sz w:val="20"/>
                <w:szCs w:val="20"/>
                <w:color w:val="auto"/>
              </w:rPr>
              <w:t>um indicador com frequência</w:t>
            </w:r>
          </w:p>
        </w:tc>
        <w:tc>
          <w:tcPr>
            <w:tcW w:w="1900" w:type="dxa"/>
            <w:vAlign w:val="bottom"/>
          </w:tcPr>
          <w:p>
            <w:pPr>
              <w:spacing w:after="0"/>
              <w:rPr>
                <w:sz w:val="20"/>
                <w:szCs w:val="20"/>
                <w:color w:val="auto"/>
              </w:rPr>
            </w:pPr>
          </w:p>
        </w:tc>
        <w:tc>
          <w:tcPr>
            <w:tcW w:w="1420" w:type="dxa"/>
            <w:vAlign w:val="bottom"/>
          </w:tcPr>
          <w:p>
            <w:pPr>
              <w:spacing w:after="0"/>
              <w:rPr>
                <w:sz w:val="20"/>
                <w:szCs w:val="20"/>
                <w:color w:val="auto"/>
              </w:rPr>
            </w:pPr>
          </w:p>
        </w:tc>
        <w:tc>
          <w:tcPr>
            <w:tcW w:w="1380" w:type="dxa"/>
            <w:vAlign w:val="bottom"/>
          </w:tcPr>
          <w:p>
            <w:pPr>
              <w:spacing w:after="0"/>
              <w:rPr>
                <w:sz w:val="20"/>
                <w:szCs w:val="20"/>
                <w:color w:val="auto"/>
              </w:rPr>
            </w:pPr>
          </w:p>
        </w:tc>
      </w:tr>
      <w:tr>
        <w:trPr>
          <w:trHeight w:val="239"/>
        </w:trPr>
        <w:tc>
          <w:tcPr>
            <w:tcW w:w="1840" w:type="dxa"/>
            <w:vAlign w:val="bottom"/>
          </w:tcPr>
          <w:p>
            <w:pPr>
              <w:spacing w:after="0"/>
              <w:rPr>
                <w:sz w:val="20"/>
                <w:szCs w:val="20"/>
                <w:color w:val="auto"/>
              </w:rPr>
            </w:pPr>
          </w:p>
        </w:tc>
        <w:tc>
          <w:tcPr>
            <w:tcW w:w="3180" w:type="dxa"/>
            <w:vAlign w:val="bottom"/>
          </w:tcPr>
          <w:p>
            <w:pPr>
              <w:ind w:left="220"/>
              <w:spacing w:after="0"/>
              <w:rPr>
                <w:sz w:val="20"/>
                <w:szCs w:val="20"/>
                <w:color w:val="auto"/>
              </w:rPr>
            </w:pPr>
            <w:r>
              <w:rPr>
                <w:rFonts w:ascii="Arial" w:cs="Arial" w:eastAsia="Arial" w:hAnsi="Arial"/>
                <w:sz w:val="20"/>
                <w:szCs w:val="20"/>
                <w:color w:val="auto"/>
              </w:rPr>
              <w:t>mensal produzido pelo Banco</w:t>
            </w:r>
          </w:p>
        </w:tc>
        <w:tc>
          <w:tcPr>
            <w:tcW w:w="1900" w:type="dxa"/>
            <w:vAlign w:val="bottom"/>
          </w:tcPr>
          <w:p>
            <w:pPr>
              <w:spacing w:after="0"/>
              <w:rPr>
                <w:sz w:val="20"/>
                <w:szCs w:val="20"/>
                <w:color w:val="auto"/>
              </w:rPr>
            </w:pPr>
          </w:p>
        </w:tc>
        <w:tc>
          <w:tcPr>
            <w:tcW w:w="1420" w:type="dxa"/>
            <w:vAlign w:val="bottom"/>
          </w:tcPr>
          <w:p>
            <w:pPr>
              <w:spacing w:after="0"/>
              <w:rPr>
                <w:sz w:val="20"/>
                <w:szCs w:val="20"/>
                <w:color w:val="auto"/>
              </w:rPr>
            </w:pPr>
          </w:p>
        </w:tc>
        <w:tc>
          <w:tcPr>
            <w:tcW w:w="1380" w:type="dxa"/>
            <w:vAlign w:val="bottom"/>
          </w:tcPr>
          <w:p>
            <w:pPr>
              <w:spacing w:after="0"/>
              <w:rPr>
                <w:sz w:val="20"/>
                <w:szCs w:val="20"/>
                <w:color w:val="auto"/>
              </w:rPr>
            </w:pPr>
          </w:p>
        </w:tc>
      </w:tr>
      <w:tr>
        <w:trPr>
          <w:trHeight w:val="209"/>
        </w:trPr>
        <w:tc>
          <w:tcPr>
            <w:tcW w:w="1840" w:type="dxa"/>
            <w:vAlign w:val="bottom"/>
          </w:tcPr>
          <w:p>
            <w:pPr>
              <w:spacing w:after="0"/>
              <w:rPr>
                <w:sz w:val="18"/>
                <w:szCs w:val="18"/>
                <w:color w:val="auto"/>
              </w:rPr>
            </w:pPr>
          </w:p>
        </w:tc>
        <w:tc>
          <w:tcPr>
            <w:tcW w:w="3180" w:type="dxa"/>
            <w:vAlign w:val="bottom"/>
          </w:tcPr>
          <w:p>
            <w:pPr>
              <w:ind w:left="220"/>
              <w:spacing w:after="0" w:line="209" w:lineRule="exact"/>
              <w:rPr>
                <w:sz w:val="20"/>
                <w:szCs w:val="20"/>
                <w:color w:val="auto"/>
              </w:rPr>
            </w:pPr>
            <w:r>
              <w:rPr>
                <w:rFonts w:ascii="Arial" w:cs="Arial" w:eastAsia="Arial" w:hAnsi="Arial"/>
                <w:sz w:val="20"/>
                <w:szCs w:val="20"/>
                <w:color w:val="auto"/>
              </w:rPr>
              <w:t>Central do Brasil (BCB)</w:t>
            </w:r>
          </w:p>
        </w:tc>
        <w:tc>
          <w:tcPr>
            <w:tcW w:w="1900" w:type="dxa"/>
            <w:vAlign w:val="bottom"/>
          </w:tcPr>
          <w:p>
            <w:pPr>
              <w:spacing w:after="0"/>
              <w:rPr>
                <w:sz w:val="18"/>
                <w:szCs w:val="18"/>
                <w:color w:val="auto"/>
              </w:rPr>
            </w:pPr>
          </w:p>
        </w:tc>
        <w:tc>
          <w:tcPr>
            <w:tcW w:w="1420" w:type="dxa"/>
            <w:vAlign w:val="bottom"/>
          </w:tcPr>
          <w:p>
            <w:pPr>
              <w:spacing w:after="0"/>
              <w:rPr>
                <w:sz w:val="18"/>
                <w:szCs w:val="18"/>
                <w:color w:val="auto"/>
              </w:rPr>
            </w:pPr>
          </w:p>
        </w:tc>
        <w:tc>
          <w:tcPr>
            <w:tcW w:w="1380" w:type="dxa"/>
            <w:vAlign w:val="bottom"/>
          </w:tcPr>
          <w:p>
            <w:pPr>
              <w:spacing w:after="0"/>
              <w:rPr>
                <w:sz w:val="18"/>
                <w:szCs w:val="18"/>
                <w:color w:val="auto"/>
              </w:rPr>
            </w:pPr>
          </w:p>
        </w:tc>
      </w:tr>
      <w:tr>
        <w:trPr>
          <w:trHeight w:val="239"/>
        </w:trPr>
        <w:tc>
          <w:tcPr>
            <w:tcW w:w="1840" w:type="dxa"/>
            <w:vAlign w:val="bottom"/>
          </w:tcPr>
          <w:p>
            <w:pPr>
              <w:ind w:left="120"/>
              <w:spacing w:after="0"/>
              <w:rPr>
                <w:sz w:val="20"/>
                <w:szCs w:val="20"/>
                <w:color w:val="auto"/>
              </w:rPr>
            </w:pPr>
            <w:r>
              <w:rPr>
                <w:rFonts w:ascii="Arial" w:cs="Arial" w:eastAsia="Arial" w:hAnsi="Arial"/>
                <w:sz w:val="20"/>
                <w:szCs w:val="20"/>
                <w:b w:val="1"/>
                <w:bCs w:val="1"/>
                <w:color w:val="auto"/>
              </w:rPr>
              <w:t>Selic Over</w:t>
            </w:r>
          </w:p>
        </w:tc>
        <w:tc>
          <w:tcPr>
            <w:tcW w:w="3180" w:type="dxa"/>
            <w:vAlign w:val="bottom"/>
          </w:tcPr>
          <w:p>
            <w:pPr>
              <w:ind w:left="220"/>
              <w:spacing w:after="0"/>
              <w:rPr>
                <w:sz w:val="20"/>
                <w:szCs w:val="20"/>
                <w:color w:val="auto"/>
              </w:rPr>
            </w:pPr>
            <w:r>
              <w:rPr>
                <w:rFonts w:ascii="Arial" w:cs="Arial" w:eastAsia="Arial" w:hAnsi="Arial"/>
                <w:sz w:val="20"/>
                <w:szCs w:val="20"/>
                <w:color w:val="auto"/>
              </w:rPr>
              <w:t>Taxa de juros apurada nas</w:t>
            </w:r>
          </w:p>
        </w:tc>
        <w:tc>
          <w:tcPr>
            <w:tcW w:w="1900" w:type="dxa"/>
            <w:vAlign w:val="bottom"/>
          </w:tcPr>
          <w:p>
            <w:pPr>
              <w:ind w:left="120"/>
              <w:spacing w:after="0"/>
              <w:rPr>
                <w:sz w:val="20"/>
                <w:szCs w:val="20"/>
                <w:color w:val="auto"/>
              </w:rPr>
            </w:pPr>
            <w:r>
              <w:rPr>
                <w:rFonts w:ascii="Arial" w:cs="Arial" w:eastAsia="Arial" w:hAnsi="Arial"/>
                <w:sz w:val="20"/>
                <w:szCs w:val="20"/>
                <w:color w:val="auto"/>
              </w:rPr>
              <w:t>BM12_TJOVER12</w:t>
            </w:r>
          </w:p>
        </w:tc>
        <w:tc>
          <w:tcPr>
            <w:tcW w:w="1420" w:type="dxa"/>
            <w:vAlign w:val="bottom"/>
          </w:tcPr>
          <w:p>
            <w:pPr>
              <w:ind w:left="160"/>
              <w:spacing w:after="0"/>
              <w:rPr>
                <w:sz w:val="20"/>
                <w:szCs w:val="20"/>
                <w:color w:val="auto"/>
              </w:rPr>
            </w:pPr>
            <w:r>
              <w:rPr>
                <w:rFonts w:ascii="Arial" w:cs="Arial" w:eastAsia="Arial" w:hAnsi="Arial"/>
                <w:sz w:val="20"/>
                <w:szCs w:val="20"/>
                <w:color w:val="auto"/>
              </w:rPr>
              <w:t>Mensal</w:t>
            </w:r>
          </w:p>
        </w:tc>
        <w:tc>
          <w:tcPr>
            <w:tcW w:w="1380" w:type="dxa"/>
            <w:vAlign w:val="bottom"/>
          </w:tcPr>
          <w:p>
            <w:pPr>
              <w:ind w:left="100"/>
              <w:spacing w:after="0"/>
              <w:rPr>
                <w:sz w:val="20"/>
                <w:szCs w:val="20"/>
                <w:color w:val="auto"/>
              </w:rPr>
            </w:pPr>
            <w:r>
              <w:rPr>
                <w:rFonts w:ascii="Arial" w:cs="Arial" w:eastAsia="Arial" w:hAnsi="Arial"/>
                <w:sz w:val="20"/>
                <w:szCs w:val="20"/>
                <w:color w:val="auto"/>
              </w:rPr>
              <w:t>Banco</w:t>
            </w:r>
          </w:p>
        </w:tc>
      </w:tr>
      <w:tr>
        <w:trPr>
          <w:trHeight w:val="239"/>
        </w:trPr>
        <w:tc>
          <w:tcPr>
            <w:tcW w:w="1840" w:type="dxa"/>
            <w:vAlign w:val="bottom"/>
          </w:tcPr>
          <w:p>
            <w:pPr>
              <w:spacing w:after="0"/>
              <w:rPr>
                <w:sz w:val="20"/>
                <w:szCs w:val="20"/>
                <w:color w:val="auto"/>
              </w:rPr>
            </w:pPr>
          </w:p>
        </w:tc>
        <w:tc>
          <w:tcPr>
            <w:tcW w:w="3180" w:type="dxa"/>
            <w:vAlign w:val="bottom"/>
          </w:tcPr>
          <w:p>
            <w:pPr>
              <w:ind w:left="220"/>
              <w:spacing w:after="0"/>
              <w:rPr>
                <w:sz w:val="20"/>
                <w:szCs w:val="20"/>
                <w:color w:val="auto"/>
              </w:rPr>
            </w:pPr>
            <w:r>
              <w:rPr>
                <w:rFonts w:ascii="Arial" w:cs="Arial" w:eastAsia="Arial" w:hAnsi="Arial"/>
                <w:sz w:val="20"/>
                <w:szCs w:val="20"/>
                <w:color w:val="auto"/>
              </w:rPr>
              <w:t>operações de empréstimos de</w:t>
            </w:r>
          </w:p>
        </w:tc>
        <w:tc>
          <w:tcPr>
            <w:tcW w:w="1900" w:type="dxa"/>
            <w:vAlign w:val="bottom"/>
          </w:tcPr>
          <w:p>
            <w:pPr>
              <w:spacing w:after="0"/>
              <w:rPr>
                <w:sz w:val="20"/>
                <w:szCs w:val="20"/>
                <w:color w:val="auto"/>
              </w:rPr>
            </w:pPr>
          </w:p>
        </w:tc>
        <w:tc>
          <w:tcPr>
            <w:tcW w:w="1420" w:type="dxa"/>
            <w:vAlign w:val="bottom"/>
          </w:tcPr>
          <w:p>
            <w:pPr>
              <w:spacing w:after="0"/>
              <w:rPr>
                <w:sz w:val="20"/>
                <w:szCs w:val="20"/>
                <w:color w:val="auto"/>
              </w:rPr>
            </w:pPr>
          </w:p>
        </w:tc>
        <w:tc>
          <w:tcPr>
            <w:tcW w:w="1380" w:type="dxa"/>
            <w:vAlign w:val="bottom"/>
          </w:tcPr>
          <w:p>
            <w:pPr>
              <w:ind w:left="100"/>
              <w:spacing w:after="0"/>
              <w:rPr>
                <w:sz w:val="20"/>
                <w:szCs w:val="20"/>
                <w:color w:val="auto"/>
              </w:rPr>
            </w:pPr>
            <w:r>
              <w:rPr>
                <w:rFonts w:ascii="Arial" w:cs="Arial" w:eastAsia="Arial" w:hAnsi="Arial"/>
                <w:sz w:val="20"/>
                <w:szCs w:val="20"/>
                <w:color w:val="auto"/>
              </w:rPr>
              <w:t>Central</w:t>
            </w:r>
          </w:p>
        </w:tc>
      </w:tr>
      <w:tr>
        <w:trPr>
          <w:trHeight w:val="239"/>
        </w:trPr>
        <w:tc>
          <w:tcPr>
            <w:tcW w:w="1840" w:type="dxa"/>
            <w:vAlign w:val="bottom"/>
          </w:tcPr>
          <w:p>
            <w:pPr>
              <w:spacing w:after="0"/>
              <w:rPr>
                <w:sz w:val="20"/>
                <w:szCs w:val="20"/>
                <w:color w:val="auto"/>
              </w:rPr>
            </w:pPr>
          </w:p>
        </w:tc>
        <w:tc>
          <w:tcPr>
            <w:tcW w:w="3180" w:type="dxa"/>
            <w:vAlign w:val="bottom"/>
          </w:tcPr>
          <w:p>
            <w:pPr>
              <w:ind w:left="220"/>
              <w:spacing w:after="0"/>
              <w:rPr>
                <w:sz w:val="20"/>
                <w:szCs w:val="20"/>
                <w:color w:val="auto"/>
              </w:rPr>
            </w:pPr>
            <w:r>
              <w:rPr>
                <w:rFonts w:ascii="Arial" w:cs="Arial" w:eastAsia="Arial" w:hAnsi="Arial"/>
                <w:sz w:val="20"/>
                <w:szCs w:val="20"/>
                <w:color w:val="auto"/>
              </w:rPr>
              <w:t>um dia entre as instituições</w:t>
            </w:r>
          </w:p>
        </w:tc>
        <w:tc>
          <w:tcPr>
            <w:tcW w:w="1900" w:type="dxa"/>
            <w:vAlign w:val="bottom"/>
          </w:tcPr>
          <w:p>
            <w:pPr>
              <w:spacing w:after="0"/>
              <w:rPr>
                <w:sz w:val="20"/>
                <w:szCs w:val="20"/>
                <w:color w:val="auto"/>
              </w:rPr>
            </w:pPr>
          </w:p>
        </w:tc>
        <w:tc>
          <w:tcPr>
            <w:tcW w:w="1420" w:type="dxa"/>
            <w:vAlign w:val="bottom"/>
          </w:tcPr>
          <w:p>
            <w:pPr>
              <w:spacing w:after="0"/>
              <w:rPr>
                <w:sz w:val="20"/>
                <w:szCs w:val="20"/>
                <w:color w:val="auto"/>
              </w:rPr>
            </w:pPr>
          </w:p>
        </w:tc>
        <w:tc>
          <w:tcPr>
            <w:tcW w:w="1380" w:type="dxa"/>
            <w:vAlign w:val="bottom"/>
          </w:tcPr>
          <w:p>
            <w:pPr>
              <w:spacing w:after="0"/>
              <w:rPr>
                <w:sz w:val="20"/>
                <w:szCs w:val="20"/>
                <w:color w:val="auto"/>
              </w:rPr>
            </w:pPr>
          </w:p>
        </w:tc>
      </w:tr>
      <w:tr>
        <w:trPr>
          <w:trHeight w:val="239"/>
        </w:trPr>
        <w:tc>
          <w:tcPr>
            <w:tcW w:w="1840" w:type="dxa"/>
            <w:vAlign w:val="bottom"/>
          </w:tcPr>
          <w:p>
            <w:pPr>
              <w:spacing w:after="0"/>
              <w:rPr>
                <w:sz w:val="20"/>
                <w:szCs w:val="20"/>
                <w:color w:val="auto"/>
              </w:rPr>
            </w:pPr>
          </w:p>
        </w:tc>
        <w:tc>
          <w:tcPr>
            <w:tcW w:w="3180" w:type="dxa"/>
            <w:vAlign w:val="bottom"/>
          </w:tcPr>
          <w:p>
            <w:pPr>
              <w:ind w:left="220"/>
              <w:spacing w:after="0"/>
              <w:rPr>
                <w:sz w:val="20"/>
                <w:szCs w:val="20"/>
                <w:color w:val="auto"/>
              </w:rPr>
            </w:pPr>
            <w:r>
              <w:rPr>
                <w:rFonts w:ascii="Arial" w:cs="Arial" w:eastAsia="Arial" w:hAnsi="Arial"/>
                <w:sz w:val="20"/>
                <w:szCs w:val="20"/>
                <w:color w:val="auto"/>
              </w:rPr>
              <w:t>financeiras que utilizam títulos</w:t>
            </w:r>
          </w:p>
        </w:tc>
        <w:tc>
          <w:tcPr>
            <w:tcW w:w="1900" w:type="dxa"/>
            <w:vAlign w:val="bottom"/>
          </w:tcPr>
          <w:p>
            <w:pPr>
              <w:spacing w:after="0"/>
              <w:rPr>
                <w:sz w:val="20"/>
                <w:szCs w:val="20"/>
                <w:color w:val="auto"/>
              </w:rPr>
            </w:pPr>
          </w:p>
        </w:tc>
        <w:tc>
          <w:tcPr>
            <w:tcW w:w="1420" w:type="dxa"/>
            <w:vAlign w:val="bottom"/>
          </w:tcPr>
          <w:p>
            <w:pPr>
              <w:spacing w:after="0"/>
              <w:rPr>
                <w:sz w:val="20"/>
                <w:szCs w:val="20"/>
                <w:color w:val="auto"/>
              </w:rPr>
            </w:pPr>
          </w:p>
        </w:tc>
        <w:tc>
          <w:tcPr>
            <w:tcW w:w="1380" w:type="dxa"/>
            <w:vAlign w:val="bottom"/>
          </w:tcPr>
          <w:p>
            <w:pPr>
              <w:spacing w:after="0"/>
              <w:rPr>
                <w:sz w:val="20"/>
                <w:szCs w:val="20"/>
                <w:color w:val="auto"/>
              </w:rPr>
            </w:pPr>
          </w:p>
        </w:tc>
      </w:tr>
      <w:tr>
        <w:trPr>
          <w:trHeight w:val="212"/>
        </w:trPr>
        <w:tc>
          <w:tcPr>
            <w:tcW w:w="1840" w:type="dxa"/>
            <w:vAlign w:val="bottom"/>
          </w:tcPr>
          <w:p>
            <w:pPr>
              <w:spacing w:after="0"/>
              <w:rPr>
                <w:sz w:val="18"/>
                <w:szCs w:val="18"/>
                <w:color w:val="auto"/>
              </w:rPr>
            </w:pPr>
          </w:p>
        </w:tc>
        <w:tc>
          <w:tcPr>
            <w:tcW w:w="3180" w:type="dxa"/>
            <w:vAlign w:val="bottom"/>
          </w:tcPr>
          <w:p>
            <w:pPr>
              <w:ind w:left="220"/>
              <w:spacing w:after="0" w:line="211" w:lineRule="exact"/>
              <w:rPr>
                <w:sz w:val="20"/>
                <w:szCs w:val="20"/>
                <w:color w:val="auto"/>
              </w:rPr>
            </w:pPr>
            <w:r>
              <w:rPr>
                <w:rFonts w:ascii="Arial" w:cs="Arial" w:eastAsia="Arial" w:hAnsi="Arial"/>
                <w:sz w:val="20"/>
                <w:szCs w:val="20"/>
                <w:color w:val="auto"/>
              </w:rPr>
              <w:t>públicos federais como garantia</w:t>
            </w:r>
          </w:p>
        </w:tc>
        <w:tc>
          <w:tcPr>
            <w:tcW w:w="1900" w:type="dxa"/>
            <w:vAlign w:val="bottom"/>
          </w:tcPr>
          <w:p>
            <w:pPr>
              <w:spacing w:after="0"/>
              <w:rPr>
                <w:sz w:val="18"/>
                <w:szCs w:val="18"/>
                <w:color w:val="auto"/>
              </w:rPr>
            </w:pPr>
          </w:p>
        </w:tc>
        <w:tc>
          <w:tcPr>
            <w:tcW w:w="1420" w:type="dxa"/>
            <w:vAlign w:val="bottom"/>
          </w:tcPr>
          <w:p>
            <w:pPr>
              <w:spacing w:after="0"/>
              <w:rPr>
                <w:sz w:val="18"/>
                <w:szCs w:val="18"/>
                <w:color w:val="auto"/>
              </w:rPr>
            </w:pPr>
          </w:p>
        </w:tc>
        <w:tc>
          <w:tcPr>
            <w:tcW w:w="1380" w:type="dxa"/>
            <w:vAlign w:val="bottom"/>
          </w:tcPr>
          <w:p>
            <w:pPr>
              <w:spacing w:after="0"/>
              <w:rPr>
                <w:sz w:val="18"/>
                <w:szCs w:val="18"/>
                <w:color w:val="auto"/>
              </w:rPr>
            </w:pPr>
          </w:p>
        </w:tc>
      </w:tr>
      <w:tr>
        <w:trPr>
          <w:trHeight w:val="239"/>
        </w:trPr>
        <w:tc>
          <w:tcPr>
            <w:tcW w:w="1840" w:type="dxa"/>
            <w:vAlign w:val="bottom"/>
          </w:tcPr>
          <w:p>
            <w:pPr>
              <w:ind w:left="120"/>
              <w:spacing w:after="0"/>
              <w:rPr>
                <w:sz w:val="20"/>
                <w:szCs w:val="20"/>
                <w:color w:val="auto"/>
              </w:rPr>
            </w:pPr>
            <w:r>
              <w:rPr>
                <w:rFonts w:ascii="Arial" w:cs="Arial" w:eastAsia="Arial" w:hAnsi="Arial"/>
                <w:sz w:val="20"/>
                <w:szCs w:val="20"/>
                <w:b w:val="1"/>
                <w:bCs w:val="1"/>
                <w:color w:val="auto"/>
              </w:rPr>
              <w:t>Meios de</w:t>
            </w:r>
          </w:p>
        </w:tc>
        <w:tc>
          <w:tcPr>
            <w:tcW w:w="3180" w:type="dxa"/>
            <w:vAlign w:val="bottom"/>
          </w:tcPr>
          <w:p>
            <w:pPr>
              <w:ind w:left="220"/>
              <w:spacing w:after="0"/>
              <w:rPr>
                <w:sz w:val="20"/>
                <w:szCs w:val="20"/>
                <w:color w:val="auto"/>
              </w:rPr>
            </w:pPr>
            <w:r>
              <w:rPr>
                <w:rFonts w:ascii="Arial" w:cs="Arial" w:eastAsia="Arial" w:hAnsi="Arial"/>
                <w:sz w:val="20"/>
                <w:szCs w:val="20"/>
                <w:color w:val="auto"/>
              </w:rPr>
              <w:t>Meio de Pagamento - Ampliado -</w:t>
            </w:r>
          </w:p>
        </w:tc>
        <w:tc>
          <w:tcPr>
            <w:tcW w:w="1900" w:type="dxa"/>
            <w:vAlign w:val="bottom"/>
          </w:tcPr>
          <w:p>
            <w:pPr>
              <w:ind w:left="120"/>
              <w:spacing w:after="0"/>
              <w:rPr>
                <w:sz w:val="20"/>
                <w:szCs w:val="20"/>
                <w:color w:val="auto"/>
              </w:rPr>
            </w:pPr>
            <w:r>
              <w:rPr>
                <w:rFonts w:ascii="Arial" w:cs="Arial" w:eastAsia="Arial" w:hAnsi="Arial"/>
                <w:sz w:val="20"/>
                <w:szCs w:val="20"/>
                <w:color w:val="auto"/>
              </w:rPr>
              <w:t>BM12_M4NCN12</w:t>
            </w:r>
          </w:p>
        </w:tc>
        <w:tc>
          <w:tcPr>
            <w:tcW w:w="1420" w:type="dxa"/>
            <w:vAlign w:val="bottom"/>
          </w:tcPr>
          <w:p>
            <w:pPr>
              <w:ind w:left="160"/>
              <w:spacing w:after="0"/>
              <w:rPr>
                <w:sz w:val="20"/>
                <w:szCs w:val="20"/>
                <w:color w:val="auto"/>
              </w:rPr>
            </w:pPr>
            <w:r>
              <w:rPr>
                <w:rFonts w:ascii="Arial" w:cs="Arial" w:eastAsia="Arial" w:hAnsi="Arial"/>
                <w:sz w:val="20"/>
                <w:szCs w:val="20"/>
                <w:color w:val="auto"/>
              </w:rPr>
              <w:t>Mensal</w:t>
            </w:r>
          </w:p>
        </w:tc>
        <w:tc>
          <w:tcPr>
            <w:tcW w:w="1380" w:type="dxa"/>
            <w:vAlign w:val="bottom"/>
          </w:tcPr>
          <w:p>
            <w:pPr>
              <w:ind w:left="100"/>
              <w:spacing w:after="0"/>
              <w:rPr>
                <w:sz w:val="20"/>
                <w:szCs w:val="20"/>
                <w:color w:val="auto"/>
              </w:rPr>
            </w:pPr>
            <w:r>
              <w:rPr>
                <w:rFonts w:ascii="Arial" w:cs="Arial" w:eastAsia="Arial" w:hAnsi="Arial"/>
                <w:sz w:val="20"/>
                <w:szCs w:val="20"/>
                <w:color w:val="auto"/>
              </w:rPr>
              <w:t>IPEA</w:t>
            </w:r>
          </w:p>
        </w:tc>
      </w:tr>
      <w:tr>
        <w:trPr>
          <w:trHeight w:val="212"/>
        </w:trPr>
        <w:tc>
          <w:tcPr>
            <w:tcW w:w="1840" w:type="dxa"/>
            <w:vAlign w:val="bottom"/>
          </w:tcPr>
          <w:p>
            <w:pPr>
              <w:ind w:left="120"/>
              <w:spacing w:after="0" w:line="211" w:lineRule="exact"/>
              <w:rPr>
                <w:sz w:val="20"/>
                <w:szCs w:val="20"/>
                <w:color w:val="auto"/>
              </w:rPr>
            </w:pPr>
            <w:r>
              <w:rPr>
                <w:rFonts w:ascii="Arial" w:cs="Arial" w:eastAsia="Arial" w:hAnsi="Arial"/>
                <w:sz w:val="20"/>
                <w:szCs w:val="20"/>
                <w:b w:val="1"/>
                <w:bCs w:val="1"/>
                <w:color w:val="auto"/>
              </w:rPr>
              <w:t>Pagamentos</w:t>
            </w:r>
          </w:p>
        </w:tc>
        <w:tc>
          <w:tcPr>
            <w:tcW w:w="3180" w:type="dxa"/>
            <w:vAlign w:val="bottom"/>
          </w:tcPr>
          <w:p>
            <w:pPr>
              <w:ind w:left="220"/>
              <w:spacing w:after="0" w:line="211" w:lineRule="exact"/>
              <w:rPr>
                <w:sz w:val="20"/>
                <w:szCs w:val="20"/>
                <w:color w:val="auto"/>
              </w:rPr>
            </w:pPr>
            <w:r>
              <w:rPr>
                <w:rFonts w:ascii="Arial" w:cs="Arial" w:eastAsia="Arial" w:hAnsi="Arial"/>
                <w:sz w:val="20"/>
                <w:szCs w:val="20"/>
                <w:color w:val="auto"/>
              </w:rPr>
              <w:t>M4 - fim de período</w:t>
            </w:r>
          </w:p>
        </w:tc>
        <w:tc>
          <w:tcPr>
            <w:tcW w:w="1900" w:type="dxa"/>
            <w:vAlign w:val="bottom"/>
          </w:tcPr>
          <w:p>
            <w:pPr>
              <w:spacing w:after="0"/>
              <w:rPr>
                <w:sz w:val="18"/>
                <w:szCs w:val="18"/>
                <w:color w:val="auto"/>
              </w:rPr>
            </w:pPr>
          </w:p>
        </w:tc>
        <w:tc>
          <w:tcPr>
            <w:tcW w:w="1420" w:type="dxa"/>
            <w:vAlign w:val="bottom"/>
          </w:tcPr>
          <w:p>
            <w:pPr>
              <w:spacing w:after="0"/>
              <w:rPr>
                <w:sz w:val="18"/>
                <w:szCs w:val="18"/>
                <w:color w:val="auto"/>
              </w:rPr>
            </w:pPr>
          </w:p>
        </w:tc>
        <w:tc>
          <w:tcPr>
            <w:tcW w:w="1380" w:type="dxa"/>
            <w:vAlign w:val="bottom"/>
          </w:tcPr>
          <w:p>
            <w:pPr>
              <w:spacing w:after="0"/>
              <w:rPr>
                <w:sz w:val="18"/>
                <w:szCs w:val="18"/>
                <w:color w:val="auto"/>
              </w:rPr>
            </w:pPr>
          </w:p>
        </w:tc>
      </w:tr>
      <w:tr>
        <w:trPr>
          <w:trHeight w:val="250"/>
        </w:trPr>
        <w:tc>
          <w:tcPr>
            <w:tcW w:w="1840" w:type="dxa"/>
            <w:vAlign w:val="bottom"/>
          </w:tcPr>
          <w:p>
            <w:pPr>
              <w:ind w:left="120"/>
              <w:spacing w:after="0"/>
              <w:rPr>
                <w:sz w:val="20"/>
                <w:szCs w:val="20"/>
                <w:color w:val="auto"/>
              </w:rPr>
            </w:pPr>
            <w:r>
              <w:rPr>
                <w:rFonts w:ascii="Arial" w:cs="Arial" w:eastAsia="Arial" w:hAnsi="Arial"/>
                <w:sz w:val="20"/>
                <w:szCs w:val="20"/>
                <w:b w:val="1"/>
                <w:bCs w:val="1"/>
                <w:color w:val="auto"/>
              </w:rPr>
              <w:t>IPCA</w:t>
            </w:r>
          </w:p>
        </w:tc>
        <w:tc>
          <w:tcPr>
            <w:tcW w:w="3180" w:type="dxa"/>
            <w:vAlign w:val="bottom"/>
          </w:tcPr>
          <w:p>
            <w:pPr>
              <w:ind w:left="220"/>
              <w:spacing w:after="0"/>
              <w:rPr>
                <w:sz w:val="20"/>
                <w:szCs w:val="20"/>
                <w:color w:val="auto"/>
              </w:rPr>
            </w:pPr>
            <w:r>
              <w:rPr>
                <w:rFonts w:ascii="Arial" w:cs="Arial" w:eastAsia="Arial" w:hAnsi="Arial"/>
                <w:sz w:val="20"/>
                <w:szCs w:val="20"/>
                <w:color w:val="auto"/>
              </w:rPr>
              <w:t>IPCA Geral</w:t>
            </w:r>
          </w:p>
        </w:tc>
        <w:tc>
          <w:tcPr>
            <w:tcW w:w="3320" w:type="dxa"/>
            <w:vAlign w:val="bottom"/>
            <w:gridSpan w:val="2"/>
          </w:tcPr>
          <w:p>
            <w:pPr>
              <w:ind w:left="120"/>
              <w:spacing w:after="0"/>
              <w:rPr>
                <w:sz w:val="20"/>
                <w:szCs w:val="20"/>
                <w:color w:val="auto"/>
              </w:rPr>
            </w:pPr>
            <w:r>
              <w:rPr>
                <w:rFonts w:ascii="Arial" w:cs="Arial" w:eastAsia="Arial" w:hAnsi="Arial"/>
                <w:sz w:val="20"/>
                <w:szCs w:val="20"/>
                <w:color w:val="auto"/>
              </w:rPr>
              <w:t>PRECOS12_IPCAG12Mensal</w:t>
            </w:r>
          </w:p>
        </w:tc>
        <w:tc>
          <w:tcPr>
            <w:tcW w:w="1380" w:type="dxa"/>
            <w:vAlign w:val="bottom"/>
          </w:tcPr>
          <w:p>
            <w:pPr>
              <w:ind w:left="100"/>
              <w:spacing w:after="0"/>
              <w:rPr>
                <w:sz w:val="20"/>
                <w:szCs w:val="20"/>
                <w:color w:val="auto"/>
              </w:rPr>
            </w:pPr>
            <w:r>
              <w:rPr>
                <w:rFonts w:ascii="Arial" w:cs="Arial" w:eastAsia="Arial" w:hAnsi="Arial"/>
                <w:sz w:val="20"/>
                <w:szCs w:val="20"/>
                <w:color w:val="auto"/>
              </w:rPr>
              <w:t>IPEA</w:t>
            </w:r>
          </w:p>
        </w:tc>
      </w:tr>
      <w:tr>
        <w:trPr>
          <w:trHeight w:val="345"/>
        </w:trPr>
        <w:tc>
          <w:tcPr>
            <w:tcW w:w="1840" w:type="dxa"/>
            <w:vAlign w:val="bottom"/>
          </w:tcPr>
          <w:p>
            <w:pPr>
              <w:ind w:left="120"/>
              <w:spacing w:after="0"/>
              <w:rPr>
                <w:sz w:val="20"/>
                <w:szCs w:val="20"/>
                <w:color w:val="auto"/>
              </w:rPr>
            </w:pPr>
            <w:r>
              <w:rPr>
                <w:rFonts w:ascii="Arial" w:cs="Arial" w:eastAsia="Arial" w:hAnsi="Arial"/>
                <w:sz w:val="20"/>
                <w:szCs w:val="20"/>
                <w:b w:val="1"/>
                <w:bCs w:val="1"/>
                <w:color w:val="auto"/>
              </w:rPr>
              <w:t>Compulsório</w:t>
            </w:r>
          </w:p>
        </w:tc>
        <w:tc>
          <w:tcPr>
            <w:tcW w:w="3180" w:type="dxa"/>
            <w:vAlign w:val="bottom"/>
          </w:tcPr>
          <w:p>
            <w:pPr>
              <w:ind w:left="220"/>
              <w:spacing w:after="0"/>
              <w:rPr>
                <w:sz w:val="20"/>
                <w:szCs w:val="20"/>
                <w:color w:val="auto"/>
              </w:rPr>
            </w:pPr>
            <w:r>
              <w:rPr>
                <w:rFonts w:ascii="Arial" w:cs="Arial" w:eastAsia="Arial" w:hAnsi="Arial"/>
                <w:sz w:val="20"/>
                <w:szCs w:val="20"/>
                <w:color w:val="auto"/>
              </w:rPr>
              <w:t>Depósitos de poupança em</w:t>
            </w:r>
          </w:p>
        </w:tc>
        <w:tc>
          <w:tcPr>
            <w:tcW w:w="1900" w:type="dxa"/>
            <w:vAlign w:val="bottom"/>
          </w:tcPr>
          <w:p>
            <w:pPr>
              <w:ind w:left="100"/>
              <w:spacing w:after="0"/>
              <w:rPr>
                <w:sz w:val="20"/>
                <w:szCs w:val="20"/>
                <w:color w:val="auto"/>
              </w:rPr>
            </w:pPr>
            <w:r>
              <w:rPr>
                <w:rFonts w:ascii="Arial" w:cs="Arial" w:eastAsia="Arial" w:hAnsi="Arial"/>
                <w:sz w:val="20"/>
                <w:szCs w:val="20"/>
                <w:color w:val="auto"/>
              </w:rPr>
              <w:t>1848</w:t>
            </w:r>
          </w:p>
        </w:tc>
        <w:tc>
          <w:tcPr>
            <w:tcW w:w="1420" w:type="dxa"/>
            <w:vAlign w:val="bottom"/>
          </w:tcPr>
          <w:p>
            <w:pPr>
              <w:ind w:left="160"/>
              <w:spacing w:after="0"/>
              <w:rPr>
                <w:sz w:val="20"/>
                <w:szCs w:val="20"/>
                <w:color w:val="auto"/>
              </w:rPr>
            </w:pPr>
            <w:r>
              <w:rPr>
                <w:rFonts w:ascii="Arial" w:cs="Arial" w:eastAsia="Arial" w:hAnsi="Arial"/>
                <w:sz w:val="20"/>
                <w:szCs w:val="20"/>
                <w:color w:val="auto"/>
              </w:rPr>
              <w:t>Mensal</w:t>
            </w:r>
          </w:p>
        </w:tc>
        <w:tc>
          <w:tcPr>
            <w:tcW w:w="1380" w:type="dxa"/>
            <w:vAlign w:val="bottom"/>
          </w:tcPr>
          <w:p>
            <w:pPr>
              <w:ind w:left="100"/>
              <w:spacing w:after="0"/>
              <w:rPr>
                <w:sz w:val="20"/>
                <w:szCs w:val="20"/>
                <w:color w:val="auto"/>
              </w:rPr>
            </w:pPr>
            <w:r>
              <w:rPr>
                <w:rFonts w:ascii="Arial" w:cs="Arial" w:eastAsia="Arial" w:hAnsi="Arial"/>
                <w:sz w:val="20"/>
                <w:szCs w:val="20"/>
                <w:color w:val="auto"/>
              </w:rPr>
              <w:t>Banco</w:t>
            </w:r>
          </w:p>
        </w:tc>
      </w:tr>
      <w:tr>
        <w:trPr>
          <w:trHeight w:val="212"/>
        </w:trPr>
        <w:tc>
          <w:tcPr>
            <w:tcW w:w="1840" w:type="dxa"/>
            <w:vAlign w:val="bottom"/>
          </w:tcPr>
          <w:p>
            <w:pPr>
              <w:ind w:left="120"/>
              <w:spacing w:after="0" w:line="211" w:lineRule="exact"/>
              <w:rPr>
                <w:sz w:val="20"/>
                <w:szCs w:val="20"/>
                <w:color w:val="auto"/>
              </w:rPr>
            </w:pPr>
            <w:r>
              <w:rPr>
                <w:rFonts w:ascii="Arial" w:cs="Arial" w:eastAsia="Arial" w:hAnsi="Arial"/>
                <w:sz w:val="20"/>
                <w:szCs w:val="20"/>
                <w:b w:val="1"/>
                <w:bCs w:val="1"/>
                <w:color w:val="auto"/>
              </w:rPr>
              <w:t>Poupança</w:t>
            </w:r>
          </w:p>
        </w:tc>
        <w:tc>
          <w:tcPr>
            <w:tcW w:w="3180" w:type="dxa"/>
            <w:vAlign w:val="bottom"/>
          </w:tcPr>
          <w:p>
            <w:pPr>
              <w:ind w:left="220"/>
              <w:spacing w:after="0" w:line="211" w:lineRule="exact"/>
              <w:rPr>
                <w:sz w:val="20"/>
                <w:szCs w:val="20"/>
                <w:color w:val="auto"/>
              </w:rPr>
            </w:pPr>
            <w:r>
              <w:rPr>
                <w:rFonts w:ascii="Arial" w:cs="Arial" w:eastAsia="Arial" w:hAnsi="Arial"/>
                <w:sz w:val="20"/>
                <w:szCs w:val="20"/>
                <w:color w:val="auto"/>
              </w:rPr>
              <w:t>espécie (remunerados)</w:t>
            </w:r>
          </w:p>
        </w:tc>
        <w:tc>
          <w:tcPr>
            <w:tcW w:w="1900" w:type="dxa"/>
            <w:vAlign w:val="bottom"/>
          </w:tcPr>
          <w:p>
            <w:pPr>
              <w:spacing w:after="0"/>
              <w:rPr>
                <w:sz w:val="18"/>
                <w:szCs w:val="18"/>
                <w:color w:val="auto"/>
              </w:rPr>
            </w:pPr>
          </w:p>
        </w:tc>
        <w:tc>
          <w:tcPr>
            <w:tcW w:w="1420" w:type="dxa"/>
            <w:vAlign w:val="bottom"/>
          </w:tcPr>
          <w:p>
            <w:pPr>
              <w:spacing w:after="0"/>
              <w:rPr>
                <w:sz w:val="18"/>
                <w:szCs w:val="18"/>
                <w:color w:val="auto"/>
              </w:rPr>
            </w:pPr>
          </w:p>
        </w:tc>
        <w:tc>
          <w:tcPr>
            <w:tcW w:w="1380" w:type="dxa"/>
            <w:vAlign w:val="bottom"/>
          </w:tcPr>
          <w:p>
            <w:pPr>
              <w:ind w:left="100"/>
              <w:spacing w:after="0" w:line="211" w:lineRule="exact"/>
              <w:rPr>
                <w:sz w:val="20"/>
                <w:szCs w:val="20"/>
                <w:color w:val="auto"/>
              </w:rPr>
            </w:pPr>
            <w:r>
              <w:rPr>
                <w:rFonts w:ascii="Arial" w:cs="Arial" w:eastAsia="Arial" w:hAnsi="Arial"/>
                <w:sz w:val="20"/>
                <w:szCs w:val="20"/>
                <w:color w:val="auto"/>
              </w:rPr>
              <w:t>Central</w:t>
            </w:r>
          </w:p>
        </w:tc>
      </w:tr>
      <w:tr>
        <w:trPr>
          <w:trHeight w:val="239"/>
        </w:trPr>
        <w:tc>
          <w:tcPr>
            <w:tcW w:w="1840" w:type="dxa"/>
            <w:vAlign w:val="bottom"/>
          </w:tcPr>
          <w:p>
            <w:pPr>
              <w:ind w:left="120"/>
              <w:spacing w:after="0"/>
              <w:rPr>
                <w:sz w:val="20"/>
                <w:szCs w:val="20"/>
                <w:color w:val="auto"/>
              </w:rPr>
            </w:pPr>
            <w:r>
              <w:rPr>
                <w:rFonts w:ascii="Arial" w:cs="Arial" w:eastAsia="Arial" w:hAnsi="Arial"/>
                <w:sz w:val="20"/>
                <w:szCs w:val="20"/>
                <w:b w:val="1"/>
                <w:bCs w:val="1"/>
                <w:color w:val="auto"/>
              </w:rPr>
              <w:t>Compulsório a</w:t>
            </w:r>
          </w:p>
        </w:tc>
        <w:tc>
          <w:tcPr>
            <w:tcW w:w="3180" w:type="dxa"/>
            <w:vAlign w:val="bottom"/>
          </w:tcPr>
          <w:p>
            <w:pPr>
              <w:ind w:left="220"/>
              <w:spacing w:after="0"/>
              <w:rPr>
                <w:sz w:val="20"/>
                <w:szCs w:val="20"/>
                <w:color w:val="auto"/>
              </w:rPr>
            </w:pPr>
            <w:r>
              <w:rPr>
                <w:rFonts w:ascii="Arial" w:cs="Arial" w:eastAsia="Arial" w:hAnsi="Arial"/>
                <w:sz w:val="20"/>
                <w:szCs w:val="20"/>
                <w:color w:val="auto"/>
              </w:rPr>
              <w:t>Recursos a vista em espécie</w:t>
            </w:r>
          </w:p>
        </w:tc>
        <w:tc>
          <w:tcPr>
            <w:tcW w:w="1900" w:type="dxa"/>
            <w:vAlign w:val="bottom"/>
          </w:tcPr>
          <w:p>
            <w:pPr>
              <w:ind w:left="100"/>
              <w:spacing w:after="0"/>
              <w:rPr>
                <w:sz w:val="20"/>
                <w:szCs w:val="20"/>
                <w:color w:val="auto"/>
              </w:rPr>
            </w:pPr>
            <w:r>
              <w:rPr>
                <w:rFonts w:ascii="Arial" w:cs="Arial" w:eastAsia="Arial" w:hAnsi="Arial"/>
                <w:sz w:val="20"/>
                <w:szCs w:val="20"/>
                <w:color w:val="auto"/>
              </w:rPr>
              <w:t>1849</w:t>
            </w:r>
          </w:p>
        </w:tc>
        <w:tc>
          <w:tcPr>
            <w:tcW w:w="1420" w:type="dxa"/>
            <w:vAlign w:val="bottom"/>
          </w:tcPr>
          <w:p>
            <w:pPr>
              <w:ind w:left="160"/>
              <w:spacing w:after="0"/>
              <w:rPr>
                <w:sz w:val="20"/>
                <w:szCs w:val="20"/>
                <w:color w:val="auto"/>
              </w:rPr>
            </w:pPr>
            <w:r>
              <w:rPr>
                <w:rFonts w:ascii="Arial" w:cs="Arial" w:eastAsia="Arial" w:hAnsi="Arial"/>
                <w:sz w:val="20"/>
                <w:szCs w:val="20"/>
                <w:color w:val="auto"/>
              </w:rPr>
              <w:t>Mensal</w:t>
            </w:r>
          </w:p>
        </w:tc>
        <w:tc>
          <w:tcPr>
            <w:tcW w:w="1380" w:type="dxa"/>
            <w:vAlign w:val="bottom"/>
          </w:tcPr>
          <w:p>
            <w:pPr>
              <w:ind w:left="100"/>
              <w:spacing w:after="0"/>
              <w:rPr>
                <w:sz w:val="20"/>
                <w:szCs w:val="20"/>
                <w:color w:val="auto"/>
              </w:rPr>
            </w:pPr>
            <w:r>
              <w:rPr>
                <w:rFonts w:ascii="Arial" w:cs="Arial" w:eastAsia="Arial" w:hAnsi="Arial"/>
                <w:sz w:val="20"/>
                <w:szCs w:val="20"/>
                <w:color w:val="auto"/>
              </w:rPr>
              <w:t>Banco</w:t>
            </w:r>
          </w:p>
        </w:tc>
      </w:tr>
      <w:tr>
        <w:trPr>
          <w:trHeight w:val="209"/>
        </w:trPr>
        <w:tc>
          <w:tcPr>
            <w:tcW w:w="1840" w:type="dxa"/>
            <w:vAlign w:val="bottom"/>
          </w:tcPr>
          <w:p>
            <w:pPr>
              <w:ind w:left="120"/>
              <w:spacing w:after="0" w:line="209" w:lineRule="exact"/>
              <w:rPr>
                <w:sz w:val="20"/>
                <w:szCs w:val="20"/>
                <w:color w:val="auto"/>
              </w:rPr>
            </w:pPr>
            <w:r>
              <w:rPr>
                <w:rFonts w:ascii="Arial" w:cs="Arial" w:eastAsia="Arial" w:hAnsi="Arial"/>
                <w:sz w:val="20"/>
                <w:szCs w:val="20"/>
                <w:b w:val="1"/>
                <w:bCs w:val="1"/>
                <w:color w:val="auto"/>
              </w:rPr>
              <w:t>vista</w:t>
            </w:r>
          </w:p>
        </w:tc>
        <w:tc>
          <w:tcPr>
            <w:tcW w:w="3180" w:type="dxa"/>
            <w:vAlign w:val="bottom"/>
          </w:tcPr>
          <w:p>
            <w:pPr>
              <w:ind w:left="220"/>
              <w:spacing w:after="0" w:line="209" w:lineRule="exact"/>
              <w:rPr>
                <w:sz w:val="20"/>
                <w:szCs w:val="20"/>
                <w:color w:val="auto"/>
              </w:rPr>
            </w:pPr>
            <w:r>
              <w:rPr>
                <w:rFonts w:ascii="Arial" w:cs="Arial" w:eastAsia="Arial" w:hAnsi="Arial"/>
                <w:sz w:val="20"/>
                <w:szCs w:val="20"/>
                <w:color w:val="auto"/>
              </w:rPr>
              <w:t>(não remunerados)</w:t>
            </w:r>
          </w:p>
        </w:tc>
        <w:tc>
          <w:tcPr>
            <w:tcW w:w="1900" w:type="dxa"/>
            <w:vAlign w:val="bottom"/>
          </w:tcPr>
          <w:p>
            <w:pPr>
              <w:spacing w:after="0"/>
              <w:rPr>
                <w:sz w:val="18"/>
                <w:szCs w:val="18"/>
                <w:color w:val="auto"/>
              </w:rPr>
            </w:pPr>
          </w:p>
        </w:tc>
        <w:tc>
          <w:tcPr>
            <w:tcW w:w="1420" w:type="dxa"/>
            <w:vAlign w:val="bottom"/>
          </w:tcPr>
          <w:p>
            <w:pPr>
              <w:spacing w:after="0"/>
              <w:rPr>
                <w:sz w:val="18"/>
                <w:szCs w:val="18"/>
                <w:color w:val="auto"/>
              </w:rPr>
            </w:pPr>
          </w:p>
        </w:tc>
        <w:tc>
          <w:tcPr>
            <w:tcW w:w="1380" w:type="dxa"/>
            <w:vAlign w:val="bottom"/>
          </w:tcPr>
          <w:p>
            <w:pPr>
              <w:ind w:left="100"/>
              <w:spacing w:after="0" w:line="209" w:lineRule="exact"/>
              <w:rPr>
                <w:sz w:val="20"/>
                <w:szCs w:val="20"/>
                <w:color w:val="auto"/>
              </w:rPr>
            </w:pPr>
            <w:r>
              <w:rPr>
                <w:rFonts w:ascii="Arial" w:cs="Arial" w:eastAsia="Arial" w:hAnsi="Arial"/>
                <w:sz w:val="20"/>
                <w:szCs w:val="20"/>
                <w:color w:val="auto"/>
              </w:rPr>
              <w:t>Central</w:t>
            </w:r>
          </w:p>
        </w:tc>
      </w:tr>
      <w:tr>
        <w:trPr>
          <w:trHeight w:val="239"/>
        </w:trPr>
        <w:tc>
          <w:tcPr>
            <w:tcW w:w="1840" w:type="dxa"/>
            <w:vAlign w:val="bottom"/>
          </w:tcPr>
          <w:p>
            <w:pPr>
              <w:ind w:left="120"/>
              <w:spacing w:after="0"/>
              <w:rPr>
                <w:sz w:val="20"/>
                <w:szCs w:val="20"/>
                <w:color w:val="auto"/>
              </w:rPr>
            </w:pPr>
            <w:r>
              <w:rPr>
                <w:rFonts w:ascii="Arial" w:cs="Arial" w:eastAsia="Arial" w:hAnsi="Arial"/>
                <w:sz w:val="20"/>
                <w:szCs w:val="20"/>
                <w:b w:val="1"/>
                <w:bCs w:val="1"/>
                <w:color w:val="auto"/>
              </w:rPr>
              <w:t>Compulsório a</w:t>
            </w:r>
          </w:p>
        </w:tc>
        <w:tc>
          <w:tcPr>
            <w:tcW w:w="3180" w:type="dxa"/>
            <w:vAlign w:val="bottom"/>
          </w:tcPr>
          <w:p>
            <w:pPr>
              <w:ind w:left="220"/>
              <w:spacing w:after="0"/>
              <w:rPr>
                <w:sz w:val="20"/>
                <w:szCs w:val="20"/>
                <w:color w:val="auto"/>
              </w:rPr>
            </w:pPr>
            <w:r>
              <w:rPr>
                <w:rFonts w:ascii="Arial" w:cs="Arial" w:eastAsia="Arial" w:hAnsi="Arial"/>
                <w:sz w:val="20"/>
                <w:szCs w:val="20"/>
                <w:color w:val="auto"/>
              </w:rPr>
              <w:t>Depósitos a prazo em espécie</w:t>
            </w:r>
          </w:p>
        </w:tc>
        <w:tc>
          <w:tcPr>
            <w:tcW w:w="1900" w:type="dxa"/>
            <w:vAlign w:val="bottom"/>
          </w:tcPr>
          <w:p>
            <w:pPr>
              <w:ind w:left="100"/>
              <w:spacing w:after="0"/>
              <w:rPr>
                <w:sz w:val="20"/>
                <w:szCs w:val="20"/>
                <w:color w:val="auto"/>
              </w:rPr>
            </w:pPr>
            <w:r>
              <w:rPr>
                <w:rFonts w:ascii="Arial" w:cs="Arial" w:eastAsia="Arial" w:hAnsi="Arial"/>
                <w:sz w:val="20"/>
                <w:szCs w:val="20"/>
                <w:color w:val="auto"/>
              </w:rPr>
              <w:t>1850</w:t>
            </w:r>
          </w:p>
        </w:tc>
        <w:tc>
          <w:tcPr>
            <w:tcW w:w="1420" w:type="dxa"/>
            <w:vAlign w:val="bottom"/>
          </w:tcPr>
          <w:p>
            <w:pPr>
              <w:ind w:left="160"/>
              <w:spacing w:after="0"/>
              <w:rPr>
                <w:sz w:val="20"/>
                <w:szCs w:val="20"/>
                <w:color w:val="auto"/>
              </w:rPr>
            </w:pPr>
            <w:r>
              <w:rPr>
                <w:rFonts w:ascii="Arial" w:cs="Arial" w:eastAsia="Arial" w:hAnsi="Arial"/>
                <w:sz w:val="20"/>
                <w:szCs w:val="20"/>
                <w:color w:val="auto"/>
              </w:rPr>
              <w:t>Mensal</w:t>
            </w:r>
          </w:p>
        </w:tc>
        <w:tc>
          <w:tcPr>
            <w:tcW w:w="1380" w:type="dxa"/>
            <w:vAlign w:val="bottom"/>
          </w:tcPr>
          <w:p>
            <w:pPr>
              <w:ind w:left="100"/>
              <w:spacing w:after="0"/>
              <w:rPr>
                <w:sz w:val="20"/>
                <w:szCs w:val="20"/>
                <w:color w:val="auto"/>
              </w:rPr>
            </w:pPr>
            <w:r>
              <w:rPr>
                <w:rFonts w:ascii="Arial" w:cs="Arial" w:eastAsia="Arial" w:hAnsi="Arial"/>
                <w:sz w:val="20"/>
                <w:szCs w:val="20"/>
                <w:color w:val="auto"/>
              </w:rPr>
              <w:t>Banco</w:t>
            </w:r>
          </w:p>
        </w:tc>
      </w:tr>
      <w:tr>
        <w:trPr>
          <w:trHeight w:val="209"/>
        </w:trPr>
        <w:tc>
          <w:tcPr>
            <w:tcW w:w="1840" w:type="dxa"/>
            <w:vAlign w:val="bottom"/>
          </w:tcPr>
          <w:p>
            <w:pPr>
              <w:ind w:left="120"/>
              <w:spacing w:after="0" w:line="209" w:lineRule="exact"/>
              <w:rPr>
                <w:sz w:val="20"/>
                <w:szCs w:val="20"/>
                <w:color w:val="auto"/>
              </w:rPr>
            </w:pPr>
            <w:r>
              <w:rPr>
                <w:rFonts w:ascii="Arial" w:cs="Arial" w:eastAsia="Arial" w:hAnsi="Arial"/>
                <w:sz w:val="20"/>
                <w:szCs w:val="20"/>
                <w:b w:val="1"/>
                <w:bCs w:val="1"/>
                <w:color w:val="auto"/>
              </w:rPr>
              <w:t>prazo</w:t>
            </w:r>
          </w:p>
        </w:tc>
        <w:tc>
          <w:tcPr>
            <w:tcW w:w="3180" w:type="dxa"/>
            <w:vAlign w:val="bottom"/>
          </w:tcPr>
          <w:p>
            <w:pPr>
              <w:ind w:left="220"/>
              <w:spacing w:after="0" w:line="209" w:lineRule="exact"/>
              <w:rPr>
                <w:sz w:val="20"/>
                <w:szCs w:val="20"/>
                <w:color w:val="auto"/>
              </w:rPr>
            </w:pPr>
            <w:r>
              <w:rPr>
                <w:rFonts w:ascii="Arial" w:cs="Arial" w:eastAsia="Arial" w:hAnsi="Arial"/>
                <w:sz w:val="20"/>
                <w:szCs w:val="20"/>
                <w:color w:val="auto"/>
              </w:rPr>
              <w:t>(remunerados)</w:t>
            </w:r>
          </w:p>
        </w:tc>
        <w:tc>
          <w:tcPr>
            <w:tcW w:w="1900" w:type="dxa"/>
            <w:vAlign w:val="bottom"/>
          </w:tcPr>
          <w:p>
            <w:pPr>
              <w:spacing w:after="0"/>
              <w:rPr>
                <w:sz w:val="18"/>
                <w:szCs w:val="18"/>
                <w:color w:val="auto"/>
              </w:rPr>
            </w:pPr>
          </w:p>
        </w:tc>
        <w:tc>
          <w:tcPr>
            <w:tcW w:w="1420" w:type="dxa"/>
            <w:vAlign w:val="bottom"/>
          </w:tcPr>
          <w:p>
            <w:pPr>
              <w:spacing w:after="0"/>
              <w:rPr>
                <w:sz w:val="18"/>
                <w:szCs w:val="18"/>
                <w:color w:val="auto"/>
              </w:rPr>
            </w:pPr>
          </w:p>
        </w:tc>
        <w:tc>
          <w:tcPr>
            <w:tcW w:w="1380" w:type="dxa"/>
            <w:vAlign w:val="bottom"/>
          </w:tcPr>
          <w:p>
            <w:pPr>
              <w:ind w:left="100"/>
              <w:spacing w:after="0" w:line="209" w:lineRule="exact"/>
              <w:rPr>
                <w:sz w:val="20"/>
                <w:szCs w:val="20"/>
                <w:color w:val="auto"/>
              </w:rPr>
            </w:pPr>
            <w:r>
              <w:rPr>
                <w:rFonts w:ascii="Arial" w:cs="Arial" w:eastAsia="Arial" w:hAnsi="Arial"/>
                <w:sz w:val="20"/>
                <w:szCs w:val="20"/>
                <w:color w:val="auto"/>
              </w:rPr>
              <w:t>Central</w:t>
            </w:r>
          </w:p>
        </w:tc>
      </w:tr>
      <w:tr>
        <w:trPr>
          <w:trHeight w:val="239"/>
        </w:trPr>
        <w:tc>
          <w:tcPr>
            <w:tcW w:w="1840" w:type="dxa"/>
            <w:vAlign w:val="bottom"/>
          </w:tcPr>
          <w:p>
            <w:pPr>
              <w:ind w:left="120"/>
              <w:spacing w:after="0"/>
              <w:rPr>
                <w:sz w:val="20"/>
                <w:szCs w:val="20"/>
                <w:color w:val="auto"/>
              </w:rPr>
            </w:pPr>
            <w:r>
              <w:rPr>
                <w:rFonts w:ascii="Arial" w:cs="Arial" w:eastAsia="Arial" w:hAnsi="Arial"/>
                <w:sz w:val="20"/>
                <w:szCs w:val="20"/>
                <w:b w:val="1"/>
                <w:bCs w:val="1"/>
                <w:color w:val="auto"/>
              </w:rPr>
              <w:t>Base Monetária</w:t>
            </w:r>
          </w:p>
        </w:tc>
        <w:tc>
          <w:tcPr>
            <w:tcW w:w="3180" w:type="dxa"/>
            <w:vAlign w:val="bottom"/>
          </w:tcPr>
          <w:p>
            <w:pPr>
              <w:ind w:left="220"/>
              <w:spacing w:after="0"/>
              <w:rPr>
                <w:sz w:val="20"/>
                <w:szCs w:val="20"/>
                <w:color w:val="auto"/>
              </w:rPr>
            </w:pPr>
            <w:r>
              <w:rPr>
                <w:rFonts w:ascii="Arial" w:cs="Arial" w:eastAsia="Arial" w:hAnsi="Arial"/>
                <w:sz w:val="20"/>
                <w:szCs w:val="20"/>
                <w:color w:val="auto"/>
              </w:rPr>
              <w:t>Base Monetária Ampliada (saldo</w:t>
            </w:r>
          </w:p>
        </w:tc>
        <w:tc>
          <w:tcPr>
            <w:tcW w:w="1900" w:type="dxa"/>
            <w:vAlign w:val="bottom"/>
          </w:tcPr>
          <w:p>
            <w:pPr>
              <w:ind w:left="100"/>
              <w:spacing w:after="0"/>
              <w:rPr>
                <w:sz w:val="20"/>
                <w:szCs w:val="20"/>
                <w:color w:val="auto"/>
              </w:rPr>
            </w:pPr>
            <w:r>
              <w:rPr>
                <w:rFonts w:ascii="Arial" w:cs="Arial" w:eastAsia="Arial" w:hAnsi="Arial"/>
                <w:sz w:val="20"/>
                <w:szCs w:val="20"/>
                <w:color w:val="auto"/>
              </w:rPr>
              <w:t>1833</w:t>
            </w:r>
          </w:p>
        </w:tc>
        <w:tc>
          <w:tcPr>
            <w:tcW w:w="1420" w:type="dxa"/>
            <w:vAlign w:val="bottom"/>
          </w:tcPr>
          <w:p>
            <w:pPr>
              <w:ind w:left="160"/>
              <w:spacing w:after="0"/>
              <w:rPr>
                <w:sz w:val="20"/>
                <w:szCs w:val="20"/>
                <w:color w:val="auto"/>
              </w:rPr>
            </w:pPr>
            <w:r>
              <w:rPr>
                <w:rFonts w:ascii="Arial" w:cs="Arial" w:eastAsia="Arial" w:hAnsi="Arial"/>
                <w:sz w:val="20"/>
                <w:szCs w:val="20"/>
                <w:color w:val="auto"/>
              </w:rPr>
              <w:t>Mensal</w:t>
            </w:r>
          </w:p>
        </w:tc>
        <w:tc>
          <w:tcPr>
            <w:tcW w:w="1380" w:type="dxa"/>
            <w:vAlign w:val="bottom"/>
          </w:tcPr>
          <w:p>
            <w:pPr>
              <w:ind w:left="100"/>
              <w:spacing w:after="0"/>
              <w:rPr>
                <w:sz w:val="20"/>
                <w:szCs w:val="20"/>
                <w:color w:val="auto"/>
              </w:rPr>
            </w:pPr>
            <w:r>
              <w:rPr>
                <w:rFonts w:ascii="Arial" w:cs="Arial" w:eastAsia="Arial" w:hAnsi="Arial"/>
                <w:sz w:val="20"/>
                <w:szCs w:val="20"/>
                <w:color w:val="auto"/>
              </w:rPr>
              <w:t>Banco</w:t>
            </w:r>
          </w:p>
        </w:tc>
      </w:tr>
      <w:tr>
        <w:trPr>
          <w:trHeight w:val="250"/>
        </w:trPr>
        <w:tc>
          <w:tcPr>
            <w:tcW w:w="1840" w:type="dxa"/>
            <w:vAlign w:val="bottom"/>
          </w:tcPr>
          <w:p>
            <w:pPr>
              <w:ind w:left="120"/>
              <w:spacing w:after="0"/>
              <w:rPr>
                <w:sz w:val="20"/>
                <w:szCs w:val="20"/>
                <w:color w:val="auto"/>
              </w:rPr>
            </w:pPr>
            <w:r>
              <w:rPr>
                <w:rFonts w:ascii="Arial" w:cs="Arial" w:eastAsia="Arial" w:hAnsi="Arial"/>
                <w:sz w:val="20"/>
                <w:szCs w:val="20"/>
                <w:b w:val="1"/>
                <w:bCs w:val="1"/>
                <w:color w:val="auto"/>
              </w:rPr>
              <w:t>Ampliada</w:t>
            </w:r>
          </w:p>
        </w:tc>
        <w:tc>
          <w:tcPr>
            <w:tcW w:w="3180" w:type="dxa"/>
            <w:vAlign w:val="bottom"/>
          </w:tcPr>
          <w:p>
            <w:pPr>
              <w:ind w:left="220"/>
              <w:spacing w:after="0"/>
              <w:rPr>
                <w:sz w:val="20"/>
                <w:szCs w:val="20"/>
                <w:color w:val="auto"/>
              </w:rPr>
            </w:pPr>
            <w:r>
              <w:rPr>
                <w:rFonts w:ascii="Arial" w:cs="Arial" w:eastAsia="Arial" w:hAnsi="Arial"/>
                <w:sz w:val="20"/>
                <w:szCs w:val="20"/>
                <w:color w:val="auto"/>
              </w:rPr>
              <w:t>em final de período)</w:t>
            </w:r>
          </w:p>
        </w:tc>
        <w:tc>
          <w:tcPr>
            <w:tcW w:w="1900" w:type="dxa"/>
            <w:vAlign w:val="bottom"/>
          </w:tcPr>
          <w:p>
            <w:pPr>
              <w:spacing w:after="0"/>
              <w:rPr>
                <w:sz w:val="21"/>
                <w:szCs w:val="21"/>
                <w:color w:val="auto"/>
              </w:rPr>
            </w:pPr>
          </w:p>
        </w:tc>
        <w:tc>
          <w:tcPr>
            <w:tcW w:w="1420" w:type="dxa"/>
            <w:vAlign w:val="bottom"/>
          </w:tcPr>
          <w:p>
            <w:pPr>
              <w:spacing w:after="0"/>
              <w:rPr>
                <w:sz w:val="21"/>
                <w:szCs w:val="21"/>
                <w:color w:val="auto"/>
              </w:rPr>
            </w:pPr>
          </w:p>
        </w:tc>
        <w:tc>
          <w:tcPr>
            <w:tcW w:w="1380" w:type="dxa"/>
            <w:vAlign w:val="bottom"/>
          </w:tcPr>
          <w:p>
            <w:pPr>
              <w:ind w:left="100"/>
              <w:spacing w:after="0"/>
              <w:rPr>
                <w:sz w:val="20"/>
                <w:szCs w:val="20"/>
                <w:color w:val="auto"/>
              </w:rPr>
            </w:pPr>
            <w:r>
              <w:rPr>
                <w:rFonts w:ascii="Arial" w:cs="Arial" w:eastAsia="Arial" w:hAnsi="Arial"/>
                <w:sz w:val="20"/>
                <w:szCs w:val="20"/>
                <w:color w:val="auto"/>
              </w:rPr>
              <w:t>Central</w:t>
            </w:r>
          </w:p>
        </w:tc>
      </w:tr>
      <w:tr>
        <w:trPr>
          <w:trHeight w:val="23"/>
        </w:trPr>
        <w:tc>
          <w:tcPr>
            <w:tcW w:w="1840" w:type="dxa"/>
            <w:vAlign w:val="bottom"/>
            <w:tcBorders>
              <w:bottom w:val="single" w:sz="8" w:color="auto"/>
            </w:tcBorders>
          </w:tcPr>
          <w:p>
            <w:pPr>
              <w:spacing w:after="0"/>
              <w:rPr>
                <w:sz w:val="2"/>
                <w:szCs w:val="2"/>
                <w:color w:val="auto"/>
              </w:rPr>
            </w:pPr>
          </w:p>
        </w:tc>
        <w:tc>
          <w:tcPr>
            <w:tcW w:w="3180" w:type="dxa"/>
            <w:vAlign w:val="bottom"/>
            <w:tcBorders>
              <w:bottom w:val="single" w:sz="8" w:color="auto"/>
            </w:tcBorders>
          </w:tcPr>
          <w:p>
            <w:pPr>
              <w:spacing w:after="0"/>
              <w:rPr>
                <w:sz w:val="2"/>
                <w:szCs w:val="2"/>
                <w:color w:val="auto"/>
              </w:rPr>
            </w:pPr>
          </w:p>
        </w:tc>
        <w:tc>
          <w:tcPr>
            <w:tcW w:w="1900" w:type="dxa"/>
            <w:vAlign w:val="bottom"/>
            <w:tcBorders>
              <w:bottom w:val="single" w:sz="8" w:color="auto"/>
            </w:tcBorders>
          </w:tcPr>
          <w:p>
            <w:pPr>
              <w:spacing w:after="0"/>
              <w:rPr>
                <w:sz w:val="2"/>
                <w:szCs w:val="2"/>
                <w:color w:val="auto"/>
              </w:rPr>
            </w:pPr>
          </w:p>
        </w:tc>
        <w:tc>
          <w:tcPr>
            <w:tcW w:w="1420" w:type="dxa"/>
            <w:vAlign w:val="bottom"/>
            <w:tcBorders>
              <w:bottom w:val="single" w:sz="8" w:color="auto"/>
            </w:tcBorders>
          </w:tcPr>
          <w:p>
            <w:pPr>
              <w:spacing w:after="0"/>
              <w:rPr>
                <w:sz w:val="2"/>
                <w:szCs w:val="2"/>
                <w:color w:val="auto"/>
              </w:rPr>
            </w:pPr>
          </w:p>
        </w:tc>
        <w:tc>
          <w:tcPr>
            <w:tcW w:w="1380" w:type="dxa"/>
            <w:vAlign w:val="bottom"/>
            <w:tcBorders>
              <w:bottom w:val="single" w:sz="8" w:color="auto"/>
            </w:tcBorders>
          </w:tcPr>
          <w:p>
            <w:pPr>
              <w:spacing w:after="0"/>
              <w:rPr>
                <w:sz w:val="2"/>
                <w:szCs w:val="2"/>
                <w:color w:val="auto"/>
              </w:rPr>
            </w:pPr>
          </w:p>
        </w:tc>
      </w:tr>
    </w:tbl>
    <w:p>
      <w:pPr>
        <w:spacing w:after="0" w:line="52" w:lineRule="exact"/>
        <w:rPr>
          <w:sz w:val="20"/>
          <w:szCs w:val="20"/>
          <w:color w:val="auto"/>
        </w:rPr>
      </w:pPr>
    </w:p>
    <w:p>
      <w:pPr>
        <w:ind w:left="254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com base nas fontes citadas</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260" w:right="640"/>
        <w:spacing w:after="0" w:line="431" w:lineRule="auto"/>
        <w:rPr>
          <w:sz w:val="20"/>
          <w:szCs w:val="20"/>
          <w:color w:val="auto"/>
        </w:rPr>
      </w:pPr>
      <w:r>
        <w:rPr>
          <w:rFonts w:ascii="Arial" w:cs="Arial" w:eastAsia="Arial" w:hAnsi="Arial"/>
          <w:sz w:val="24"/>
          <w:szCs w:val="24"/>
          <w:color w:val="auto"/>
        </w:rPr>
        <w:t>capturando as expectativas das instituições financeiras exercendo influência direta no spread ex-post e direta na rentabilidade bancária.</w:t>
      </w:r>
    </w:p>
    <w:p>
      <w:pPr>
        <w:spacing w:after="0" w:line="124" w:lineRule="exact"/>
        <w:rPr>
          <w:sz w:val="20"/>
          <w:szCs w:val="20"/>
          <w:color w:val="auto"/>
        </w:rPr>
      </w:pPr>
    </w:p>
    <w:p>
      <w:pPr>
        <w:jc w:val="center"/>
        <w:ind w:right="380"/>
        <w:spacing w:after="0"/>
        <w:rPr>
          <w:sz w:val="20"/>
          <w:szCs w:val="20"/>
          <w:color w:val="auto"/>
        </w:rPr>
      </w:pPr>
      <w:r>
        <w:rPr>
          <w:rFonts w:ascii="Arial" w:cs="Arial" w:eastAsia="Arial" w:hAnsi="Arial"/>
          <w:sz w:val="24"/>
          <w:szCs w:val="24"/>
          <w:i w:val="1"/>
          <w:iCs w:val="1"/>
          <w:color w:val="auto"/>
        </w:rPr>
        <w:t>SprEa</w:t>
      </w:r>
      <w:r>
        <w:rPr>
          <w:rFonts w:ascii="Arial" w:cs="Arial" w:eastAsia="Arial" w:hAnsi="Arial"/>
          <w:sz w:val="31"/>
          <w:szCs w:val="31"/>
          <w:i w:val="1"/>
          <w:iCs w:val="1"/>
          <w:color w:val="auto"/>
          <w:vertAlign w:val="subscript"/>
        </w:rPr>
        <w:t>t</w:t>
      </w:r>
      <w:r>
        <w:rPr>
          <w:rFonts w:ascii="Arial" w:cs="Arial" w:eastAsia="Arial" w:hAnsi="Arial"/>
          <w:sz w:val="24"/>
          <w:szCs w:val="24"/>
          <w:color w:val="auto"/>
        </w:rPr>
        <w:t xml:space="preserve"> = </w:t>
      </w:r>
      <w:r>
        <w:rPr>
          <w:rFonts w:ascii="Arial" w:cs="Arial" w:eastAsia="Arial" w:hAnsi="Arial"/>
          <w:sz w:val="24"/>
          <w:szCs w:val="24"/>
          <w:i w:val="1"/>
          <w:iCs w:val="1"/>
          <w:color w:val="auto"/>
        </w:rPr>
        <w:t>SEA</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p>
    <w:p>
      <w:pPr>
        <w:spacing w:after="0" w:line="200" w:lineRule="exact"/>
        <w:rPr>
          <w:sz w:val="20"/>
          <w:szCs w:val="20"/>
          <w:color w:val="auto"/>
        </w:rPr>
      </w:pPr>
    </w:p>
    <w:p>
      <w:pPr>
        <w:spacing w:after="0" w:line="241" w:lineRule="exact"/>
        <w:rPr>
          <w:sz w:val="20"/>
          <w:szCs w:val="20"/>
          <w:color w:val="auto"/>
        </w:rPr>
      </w:pPr>
    </w:p>
    <w:p>
      <w:pPr>
        <w:jc w:val="both"/>
        <w:ind w:left="260" w:right="600" w:hanging="7"/>
        <w:spacing w:after="0" w:line="431" w:lineRule="auto"/>
        <w:rPr>
          <w:sz w:val="20"/>
          <w:szCs w:val="20"/>
          <w:color w:val="auto"/>
        </w:rPr>
      </w:pPr>
      <w:r>
        <w:rPr>
          <w:rFonts w:ascii="Arial" w:cs="Arial" w:eastAsia="Arial" w:hAnsi="Arial"/>
          <w:sz w:val="24"/>
          <w:szCs w:val="24"/>
          <w:color w:val="auto"/>
        </w:rPr>
        <w:t>A Tabela 10 traz um resumo dos dados a serem utilizados na construção do modelo, trazendo uma breve descrição, fonte, código e periodicidade.</w:t>
      </w:r>
    </w:p>
    <w:p>
      <w:pPr>
        <w:spacing w:after="0" w:line="85" w:lineRule="exact"/>
        <w:rPr>
          <w:sz w:val="20"/>
          <w:szCs w:val="20"/>
          <w:color w:val="auto"/>
        </w:rPr>
      </w:pPr>
    </w:p>
    <w:p>
      <w:pPr>
        <w:jc w:val="both"/>
        <w:ind w:left="260" w:right="580" w:firstLine="850"/>
        <w:spacing w:after="0" w:line="419" w:lineRule="auto"/>
        <w:rPr>
          <w:sz w:val="20"/>
          <w:szCs w:val="20"/>
          <w:color w:val="auto"/>
        </w:rPr>
      </w:pPr>
      <w:r>
        <w:rPr>
          <w:rFonts w:ascii="Arial" w:cs="Arial" w:eastAsia="Arial" w:hAnsi="Arial"/>
          <w:sz w:val="24"/>
          <w:szCs w:val="24"/>
          <w:color w:val="auto"/>
        </w:rPr>
        <w:t>Na fase analítica será aplicada a técnica de Cross Validation k-fold, que visa dividir de forma aleatória o conjunto de dados em k grupos, de dimensão aproximada. Onde o primeiro grupo é tratado como conjunto de validação, e o método é ajustado no k - 1 conjuntos restantes. Esse método é útil para testar variáveis, selecionar parâmetros, função preditiva e acurácia para seleção do modelo final (JAMES et al., 2017).</w:t>
      </w:r>
    </w:p>
    <w:p>
      <w:pPr>
        <w:spacing w:after="0" w:line="98" w:lineRule="exact"/>
        <w:rPr>
          <w:sz w:val="20"/>
          <w:szCs w:val="20"/>
          <w:color w:val="auto"/>
        </w:rPr>
      </w:pPr>
    </w:p>
    <w:p>
      <w:pPr>
        <w:ind w:left="260" w:right="640" w:firstLine="850"/>
        <w:spacing w:after="0" w:line="436" w:lineRule="auto"/>
        <w:rPr>
          <w:sz w:val="20"/>
          <w:szCs w:val="20"/>
          <w:color w:val="auto"/>
        </w:rPr>
      </w:pPr>
      <w:r>
        <w:rPr>
          <w:rFonts w:ascii="Arial" w:cs="Arial" w:eastAsia="Arial" w:hAnsi="Arial"/>
          <w:sz w:val="24"/>
          <w:szCs w:val="24"/>
          <w:color w:val="auto"/>
        </w:rPr>
        <w:t>O mecanismo do k-fold consiste em calcular o erro quadrático médio nas observações do grupo retido, repetindo esse procedimento k vezes, onde a cada</w:t>
      </w:r>
    </w:p>
    <w:p>
      <w:pPr>
        <w:sectPr>
          <w:pgSz w:w="11900" w:h="16838" w:orient="portrait"/>
          <w:cols w:equalWidth="0" w:num="1">
            <w:col w:w="9960"/>
          </w:cols>
          <w:pgMar w:left="1440" w:top="991" w:right="506" w:bottom="289" w:gutter="0" w:footer="0" w:header="0"/>
        </w:sectPr>
      </w:pPr>
    </w:p>
    <w:p>
      <w:pPr>
        <w:ind w:left="9060"/>
        <w:spacing w:after="0"/>
        <w:rPr>
          <w:sz w:val="20"/>
          <w:szCs w:val="20"/>
          <w:color w:val="auto"/>
        </w:rPr>
      </w:pPr>
      <w:r>
        <w:rPr>
          <w:rFonts w:ascii="Arial" w:cs="Arial" w:eastAsia="Arial" w:hAnsi="Arial"/>
          <w:sz w:val="24"/>
          <w:szCs w:val="24"/>
          <w:color w:val="auto"/>
        </w:rPr>
        <w:t>62</w:t>
      </w:r>
    </w:p>
    <w:p>
      <w:pPr>
        <w:spacing w:after="0" w:line="200" w:lineRule="exact"/>
        <w:rPr>
          <w:sz w:val="20"/>
          <w:szCs w:val="20"/>
          <w:color w:val="auto"/>
        </w:rPr>
      </w:pPr>
    </w:p>
    <w:p>
      <w:pPr>
        <w:spacing w:after="0" w:line="246" w:lineRule="exact"/>
        <w:rPr>
          <w:sz w:val="20"/>
          <w:szCs w:val="20"/>
          <w:color w:val="auto"/>
        </w:rPr>
      </w:pPr>
    </w:p>
    <w:p>
      <w:pPr>
        <w:jc w:val="both"/>
        <w:ind w:left="260" w:right="40"/>
        <w:spacing w:after="0" w:line="362" w:lineRule="auto"/>
        <w:rPr>
          <w:sz w:val="20"/>
          <w:szCs w:val="20"/>
          <w:color w:val="auto"/>
        </w:rPr>
      </w:pPr>
      <w:r>
        <w:rPr>
          <w:rFonts w:ascii="Arial" w:cs="Arial" w:eastAsia="Arial" w:hAnsi="Arial"/>
          <w:sz w:val="24"/>
          <w:szCs w:val="24"/>
          <w:color w:val="auto"/>
        </w:rPr>
        <w:t>rodada, um grupo diferente é tratado como um conjunto de validação. Este processo resulta em k estimativas do erro de teste, MSE1, MSE2,. . . , MSEk. A estimativa de CV k-fold é obtida pela média desses valores (JAMES et al., 2017).</w:t>
      </w:r>
    </w:p>
    <w:p>
      <w:pPr>
        <w:ind w:left="4680"/>
        <w:spacing w:after="0" w:line="210" w:lineRule="auto"/>
        <w:rPr>
          <w:sz w:val="20"/>
          <w:szCs w:val="20"/>
          <w:color w:val="auto"/>
        </w:rPr>
      </w:pPr>
      <w:r>
        <w:rPr>
          <w:rFonts w:ascii="Arial" w:cs="Arial" w:eastAsia="Arial" w:hAnsi="Arial"/>
          <w:sz w:val="48"/>
          <w:szCs w:val="48"/>
          <w:color w:val="auto"/>
          <w:vertAlign w:val="subscript"/>
        </w:rPr>
        <w:t>1</w:t>
      </w:r>
      <w:r>
        <w:rPr>
          <w:rFonts w:ascii="Arial" w:cs="Arial" w:eastAsia="Arial" w:hAnsi="Arial"/>
          <w:sz w:val="19"/>
          <w:szCs w:val="19"/>
          <w:color w:val="auto"/>
          <w:vertAlign w:val="subscript"/>
        </w:rPr>
        <w:t xml:space="preserve"> </w:t>
      </w:r>
      <w:r>
        <w:rPr>
          <w:rFonts w:ascii="Arial" w:cs="Arial" w:eastAsia="Arial" w:hAnsi="Arial"/>
          <w:sz w:val="19"/>
          <w:szCs w:val="19"/>
          <w:color w:val="auto"/>
        </w:rPr>
        <w:t>X</w:t>
      </w:r>
      <w:r>
        <w:rPr>
          <w:rFonts w:ascii="Arial" w:cs="Arial" w:eastAsia="Arial" w:hAnsi="Arial"/>
          <w:sz w:val="31"/>
          <w:szCs w:val="31"/>
          <w:i w:val="1"/>
          <w:iCs w:val="1"/>
          <w:color w:val="auto"/>
          <w:vertAlign w:val="superscript"/>
        </w:rPr>
        <w:t>k</w:t>
      </w:r>
    </w:p>
    <w:p>
      <w:pPr>
        <w:ind w:left="3780"/>
        <w:spacing w:after="0" w:line="207" w:lineRule="auto"/>
        <w:rPr>
          <w:sz w:val="20"/>
          <w:szCs w:val="20"/>
          <w:color w:val="auto"/>
        </w:rPr>
      </w:pPr>
      <w:r>
        <w:rPr>
          <w:rFonts w:ascii="Arial" w:cs="Arial" w:eastAsia="Arial" w:hAnsi="Arial"/>
          <w:sz w:val="48"/>
          <w:szCs w:val="48"/>
          <w:i w:val="1"/>
          <w:iCs w:val="1"/>
          <w:color w:val="auto"/>
          <w:vertAlign w:val="superscript"/>
        </w:rPr>
        <w:t>CV</w:t>
      </w:r>
      <w:r>
        <w:rPr>
          <w:rFonts w:ascii="Arial" w:cs="Arial" w:eastAsia="Arial" w:hAnsi="Arial"/>
          <w:sz w:val="15"/>
          <w:szCs w:val="15"/>
          <w:color w:val="auto"/>
        </w:rPr>
        <w:t>(</w:t>
      </w:r>
      <w:r>
        <w:rPr>
          <w:rFonts w:ascii="Arial" w:cs="Arial" w:eastAsia="Arial" w:hAnsi="Arial"/>
          <w:sz w:val="15"/>
          <w:szCs w:val="15"/>
          <w:i w:val="1"/>
          <w:iCs w:val="1"/>
          <w:color w:val="auto"/>
        </w:rPr>
        <w:t>k</w:t>
      </w:r>
      <w:r>
        <w:rPr>
          <w:rFonts w:ascii="Arial" w:cs="Arial" w:eastAsia="Arial" w:hAnsi="Arial"/>
          <w:sz w:val="15"/>
          <w:szCs w:val="15"/>
          <w:color w:val="auto"/>
        </w:rPr>
        <w: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bscript"/>
        </w:rPr>
        <w:t>k</w:t>
      </w:r>
      <w:r>
        <w:rPr>
          <w:rFonts w:ascii="Arial" w:cs="Arial" w:eastAsia="Arial" w:hAnsi="Arial"/>
          <w:sz w:val="31"/>
          <w:szCs w:val="31"/>
          <w:i w:val="1"/>
          <w:iCs w:val="1"/>
          <w:color w:val="auto"/>
        </w:rPr>
        <w:t xml:space="preserve"> </w:t>
      </w:r>
      <w:r>
        <w:rPr>
          <w:rFonts w:ascii="Arial" w:cs="Arial" w:eastAsia="Arial" w:hAnsi="Arial"/>
          <w:sz w:val="31"/>
          <w:szCs w:val="31"/>
          <w:i w:val="1"/>
          <w:iCs w:val="1"/>
          <w:color w:val="auto"/>
          <w:vertAlign w:val="subscript"/>
        </w:rPr>
        <w:t>i</w:t>
      </w:r>
      <w:r>
        <w:rPr>
          <w:rFonts w:ascii="Arial" w:cs="Arial" w:eastAsia="Arial" w:hAnsi="Arial"/>
          <w:sz w:val="31"/>
          <w:szCs w:val="31"/>
          <w:color w:val="auto"/>
          <w:vertAlign w:val="subscript"/>
        </w:rPr>
        <w:t>=1</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M 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2971800</wp:posOffset>
                </wp:positionH>
                <wp:positionV relativeFrom="paragraph">
                  <wp:posOffset>-233045</wp:posOffset>
                </wp:positionV>
                <wp:extent cx="81915"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19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pt,-18.3499pt" to="240.45pt,-18.3499pt" o:allowincell="f" strokecolor="#000000" strokeweight="0.398pt"/>
            </w:pict>
          </mc:Fallback>
        </mc:AlternateContent>
      </w:r>
    </w:p>
    <w:p>
      <w:pPr>
        <w:spacing w:after="0" w:line="283" w:lineRule="exact"/>
        <w:rPr>
          <w:sz w:val="20"/>
          <w:szCs w:val="20"/>
          <w:color w:val="auto"/>
        </w:rPr>
      </w:pPr>
    </w:p>
    <w:p>
      <w:pPr>
        <w:jc w:val="both"/>
        <w:ind w:left="260" w:right="60" w:firstLine="856"/>
        <w:spacing w:after="0" w:line="419" w:lineRule="auto"/>
        <w:rPr>
          <w:sz w:val="20"/>
          <w:szCs w:val="20"/>
          <w:color w:val="auto"/>
        </w:rPr>
      </w:pPr>
      <w:r>
        <w:rPr>
          <w:rFonts w:ascii="Arial" w:cs="Arial" w:eastAsia="Arial" w:hAnsi="Arial"/>
          <w:sz w:val="24"/>
          <w:szCs w:val="24"/>
          <w:color w:val="auto"/>
        </w:rPr>
        <w:t>Serão testados métodos de aprendizado não supervisionado. O aprendizado não supervisionado tende a ser mais subjetivo para análises com foco preditivo. O aprendizado não supervisionado geralmente é empregado como uma etapa da análise exploratória de dados, não há como verificar o resultado pois não é conhecida a verdadeira resposta (JAMES et al., 2017).</w:t>
      </w:r>
    </w:p>
    <w:p>
      <w:pPr>
        <w:spacing w:after="0" w:line="101" w:lineRule="exact"/>
        <w:rPr>
          <w:sz w:val="20"/>
          <w:szCs w:val="20"/>
          <w:color w:val="auto"/>
        </w:rPr>
      </w:pPr>
    </w:p>
    <w:p>
      <w:pPr>
        <w:jc w:val="both"/>
        <w:ind w:left="260" w:right="60" w:firstLine="850"/>
        <w:spacing w:after="0" w:line="419" w:lineRule="auto"/>
        <w:rPr>
          <w:sz w:val="20"/>
          <w:szCs w:val="20"/>
          <w:color w:val="auto"/>
        </w:rPr>
      </w:pPr>
      <w:r>
        <w:rPr>
          <w:rFonts w:ascii="Arial" w:cs="Arial" w:eastAsia="Arial" w:hAnsi="Arial"/>
          <w:sz w:val="24"/>
          <w:szCs w:val="24"/>
          <w:color w:val="auto"/>
        </w:rPr>
        <w:t>Entre os métodos de aprendizagem não supervisionada estão o Principal Component Analysis e o Clustering. No método de Clustering, a dinâmica está em dividir o conjunto de dados em subgrupos distintos que contenham homogeneidades entre as observações. Existem as técnicas K-Means, Hierarchical Clustering e Practical Issues in Clustering (JAMES et al., 2017)</w:t>
      </w:r>
    </w:p>
    <w:p>
      <w:pPr>
        <w:spacing w:after="0" w:line="101" w:lineRule="exact"/>
        <w:rPr>
          <w:sz w:val="20"/>
          <w:szCs w:val="20"/>
          <w:color w:val="auto"/>
        </w:rPr>
      </w:pPr>
    </w:p>
    <w:p>
      <w:pPr>
        <w:ind w:left="260" w:right="20" w:firstLine="850"/>
        <w:spacing w:after="0" w:line="415" w:lineRule="auto"/>
        <w:rPr>
          <w:sz w:val="20"/>
          <w:szCs w:val="20"/>
          <w:color w:val="auto"/>
        </w:rPr>
      </w:pPr>
      <w:r>
        <w:rPr>
          <w:rFonts w:ascii="Arial" w:cs="Arial" w:eastAsia="Arial" w:hAnsi="Arial"/>
          <w:sz w:val="24"/>
          <w:szCs w:val="24"/>
          <w:color w:val="auto"/>
        </w:rPr>
        <w:t>A técnica de aprendizado não supervisionado a ser aplicada será o K-Means, que possui como característica o particionamento do conjunto de dados em k grupos</w:t>
      </w:r>
    </w:p>
    <w:p>
      <w:pPr>
        <w:spacing w:after="0" w:line="2" w:lineRule="exact"/>
        <w:rPr>
          <w:sz w:val="20"/>
          <w:szCs w:val="20"/>
          <w:color w:val="auto"/>
        </w:rPr>
      </w:pPr>
    </w:p>
    <w:p>
      <w:pPr>
        <w:jc w:val="both"/>
        <w:ind w:left="260" w:right="60" w:hanging="36"/>
        <w:spacing w:after="0" w:line="423" w:lineRule="auto"/>
        <w:rPr>
          <w:sz w:val="20"/>
          <w:szCs w:val="20"/>
          <w:color w:val="auto"/>
        </w:rPr>
      </w:pPr>
      <w:r>
        <w:rPr>
          <w:rFonts w:ascii="Arial" w:cs="Arial" w:eastAsia="Arial" w:hAnsi="Arial"/>
          <w:sz w:val="24"/>
          <w:szCs w:val="24"/>
          <w:color w:val="auto"/>
        </w:rPr>
        <w:t>— clusters —, especificados e não sobrepostos, o que implica que cada observação pertence ao menos a um grupo e não pertence a nenhum outro grupo. O propósito principal é buscar a mínima variação dentro de cada cluster (JAMES et al., 2017).</w:t>
      </w:r>
    </w:p>
    <w:tbl>
      <w:tblPr>
        <w:tblLayout w:type="fixed"/>
        <w:tblInd w:w="2420" w:type="dxa"/>
        <w:tblCellMar>
          <w:top w:w="0" w:type="dxa"/>
          <w:left w:w="0" w:type="dxa"/>
          <w:bottom w:w="0" w:type="dxa"/>
          <w:right w:w="0" w:type="dxa"/>
        </w:tblCellMar>
      </w:tblPr>
      <w:tr>
        <w:trPr>
          <w:trHeight w:val="182"/>
        </w:trPr>
        <w:tc>
          <w:tcPr>
            <w:tcW w:w="2180" w:type="dxa"/>
            <w:vAlign w:val="bottom"/>
          </w:tcPr>
          <w:p>
            <w:pPr>
              <w:jc w:val="center"/>
              <w:ind w:left="1661"/>
              <w:spacing w:after="0" w:line="181" w:lineRule="exact"/>
              <w:rPr>
                <w:sz w:val="20"/>
                <w:szCs w:val="20"/>
                <w:color w:val="auto"/>
              </w:rPr>
            </w:pPr>
            <w:r>
              <w:rPr>
                <w:rFonts w:ascii="Arial" w:cs="Arial" w:eastAsia="Arial" w:hAnsi="Arial"/>
                <w:sz w:val="16"/>
                <w:szCs w:val="16"/>
                <w:i w:val="1"/>
                <w:iCs w:val="1"/>
                <w:color w:val="auto"/>
              </w:rPr>
              <w:t>K</w:t>
            </w:r>
          </w:p>
        </w:tc>
        <w:tc>
          <w:tcPr>
            <w:tcW w:w="360" w:type="dxa"/>
            <w:vAlign w:val="bottom"/>
            <w:gridSpan w:val="2"/>
            <w:vMerge w:val="restart"/>
          </w:tcPr>
          <w:p>
            <w:pPr>
              <w:jc w:val="right"/>
              <w:spacing w:after="0"/>
              <w:rPr>
                <w:sz w:val="20"/>
                <w:szCs w:val="20"/>
                <w:color w:val="auto"/>
              </w:rPr>
            </w:pPr>
            <w:r>
              <w:rPr>
                <w:rFonts w:ascii="Arial" w:cs="Arial" w:eastAsia="Arial" w:hAnsi="Arial"/>
                <w:sz w:val="24"/>
                <w:szCs w:val="24"/>
                <w:color w:val="auto"/>
              </w:rPr>
              <w:t>1</w:t>
            </w:r>
          </w:p>
        </w:tc>
        <w:tc>
          <w:tcPr>
            <w:tcW w:w="6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520" w:type="dxa"/>
            <w:vAlign w:val="bottom"/>
          </w:tcPr>
          <w:p>
            <w:pPr>
              <w:ind w:left="140"/>
              <w:spacing w:after="0" w:line="181" w:lineRule="exact"/>
              <w:rPr>
                <w:sz w:val="20"/>
                <w:szCs w:val="20"/>
                <w:color w:val="auto"/>
              </w:rPr>
            </w:pPr>
            <w:r>
              <w:rPr>
                <w:rFonts w:ascii="Arial" w:cs="Arial" w:eastAsia="Arial" w:hAnsi="Arial"/>
                <w:sz w:val="16"/>
                <w:szCs w:val="16"/>
                <w:i w:val="1"/>
                <w:iCs w:val="1"/>
                <w:color w:val="auto"/>
              </w:rPr>
              <w:t>p</w:t>
            </w:r>
          </w:p>
        </w:tc>
        <w:tc>
          <w:tcPr>
            <w:tcW w:w="0" w:type="dxa"/>
            <w:vAlign w:val="bottom"/>
          </w:tcPr>
          <w:p>
            <w:pPr>
              <w:spacing w:after="0"/>
              <w:rPr>
                <w:sz w:val="1"/>
                <w:szCs w:val="1"/>
                <w:color w:val="auto"/>
              </w:rPr>
            </w:pPr>
          </w:p>
        </w:tc>
      </w:tr>
      <w:tr>
        <w:trPr>
          <w:trHeight w:val="163"/>
        </w:trPr>
        <w:tc>
          <w:tcPr>
            <w:tcW w:w="2180" w:type="dxa"/>
            <w:vAlign w:val="bottom"/>
            <w:vMerge w:val="restart"/>
          </w:tcPr>
          <w:p>
            <w:pPr>
              <w:jc w:val="center"/>
              <w:ind w:left="1661"/>
              <w:spacing w:after="0"/>
              <w:rPr>
                <w:sz w:val="20"/>
                <w:szCs w:val="20"/>
                <w:color w:val="auto"/>
              </w:rPr>
            </w:pPr>
            <w:r>
              <w:rPr>
                <w:rFonts w:ascii="Arial" w:cs="Arial" w:eastAsia="Arial" w:hAnsi="Arial"/>
                <w:sz w:val="20"/>
                <w:szCs w:val="20"/>
                <w:color w:val="auto"/>
              </w:rPr>
              <w:t>X</w:t>
            </w:r>
          </w:p>
        </w:tc>
        <w:tc>
          <w:tcPr>
            <w:tcW w:w="360" w:type="dxa"/>
            <w:vAlign w:val="bottom"/>
            <w:gridSpan w:val="2"/>
            <w:vMerge w:val="continue"/>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500" w:type="dxa"/>
            <w:vAlign w:val="bottom"/>
            <w:vMerge w:val="restart"/>
          </w:tcPr>
          <w:p>
            <w:pPr>
              <w:ind w:left="160"/>
              <w:spacing w:after="0"/>
              <w:rPr>
                <w:sz w:val="20"/>
                <w:szCs w:val="20"/>
                <w:color w:val="auto"/>
              </w:rPr>
            </w:pPr>
            <w:r>
              <w:rPr>
                <w:rFonts w:ascii="Arial" w:cs="Arial" w:eastAsia="Arial" w:hAnsi="Arial"/>
                <w:sz w:val="20"/>
                <w:szCs w:val="20"/>
                <w:color w:val="auto"/>
              </w:rPr>
              <w:t>X</w:t>
            </w:r>
            <w:r>
              <w:rPr>
                <w:rFonts w:ascii="Arial" w:cs="Arial" w:eastAsia="Arial" w:hAnsi="Arial"/>
                <w:sz w:val="23"/>
                <w:szCs w:val="23"/>
                <w:color w:val="auto"/>
                <w:vertAlign w:val="subscript"/>
              </w:rPr>
              <w:t>0</w:t>
            </w:r>
          </w:p>
        </w:tc>
        <w:tc>
          <w:tcPr>
            <w:tcW w:w="100" w:type="dxa"/>
            <w:vAlign w:val="bottom"/>
          </w:tcPr>
          <w:p>
            <w:pPr>
              <w:spacing w:after="0"/>
              <w:rPr>
                <w:sz w:val="14"/>
                <w:szCs w:val="14"/>
                <w:color w:val="auto"/>
              </w:rPr>
            </w:pPr>
          </w:p>
        </w:tc>
        <w:tc>
          <w:tcPr>
            <w:tcW w:w="1520" w:type="dxa"/>
            <w:vAlign w:val="bottom"/>
            <w:vMerge w:val="restart"/>
          </w:tcPr>
          <w:p>
            <w:pPr>
              <w:ind w:left="40"/>
              <w:spacing w:after="0"/>
              <w:rPr>
                <w:sz w:val="20"/>
                <w:szCs w:val="20"/>
                <w:color w:val="auto"/>
              </w:rPr>
            </w:pPr>
            <w:r>
              <w:rPr>
                <w:rFonts w:ascii="Arial" w:cs="Arial" w:eastAsia="Arial" w:hAnsi="Arial"/>
                <w:sz w:val="20"/>
                <w:szCs w:val="20"/>
                <w:color w:val="auto"/>
              </w:rPr>
              <w:t>X</w:t>
            </w:r>
          </w:p>
        </w:tc>
        <w:tc>
          <w:tcPr>
            <w:tcW w:w="0" w:type="dxa"/>
            <w:vAlign w:val="bottom"/>
          </w:tcPr>
          <w:p>
            <w:pPr>
              <w:spacing w:after="0"/>
              <w:rPr>
                <w:sz w:val="1"/>
                <w:szCs w:val="1"/>
                <w:color w:val="auto"/>
              </w:rPr>
            </w:pPr>
          </w:p>
        </w:tc>
      </w:tr>
      <w:tr>
        <w:trPr>
          <w:trHeight w:val="32"/>
        </w:trPr>
        <w:tc>
          <w:tcPr>
            <w:tcW w:w="218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40" w:type="dxa"/>
            <w:vAlign w:val="bottom"/>
          </w:tcPr>
          <w:p>
            <w:pPr>
              <w:spacing w:after="0"/>
              <w:rPr>
                <w:sz w:val="2"/>
                <w:szCs w:val="2"/>
                <w:color w:val="auto"/>
              </w:rPr>
            </w:pPr>
          </w:p>
        </w:tc>
        <w:tc>
          <w:tcPr>
            <w:tcW w:w="50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152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85"/>
        </w:trPr>
        <w:tc>
          <w:tcPr>
            <w:tcW w:w="2180" w:type="dxa"/>
            <w:vAlign w:val="bottom"/>
            <w:vMerge w:val="continue"/>
          </w:tcPr>
          <w:p>
            <w:pPr>
              <w:spacing w:after="0"/>
              <w:rPr>
                <w:sz w:val="7"/>
                <w:szCs w:val="7"/>
                <w:color w:val="auto"/>
              </w:rPr>
            </w:pPr>
          </w:p>
        </w:tc>
        <w:tc>
          <w:tcPr>
            <w:tcW w:w="360" w:type="dxa"/>
            <w:vAlign w:val="bottom"/>
            <w:gridSpan w:val="2"/>
          </w:tcPr>
          <w:p>
            <w:pPr>
              <w:jc w:val="right"/>
              <w:ind w:right="140"/>
              <w:spacing w:after="0" w:line="85" w:lineRule="exact"/>
              <w:rPr>
                <w:sz w:val="20"/>
                <w:szCs w:val="20"/>
                <w:color w:val="auto"/>
              </w:rPr>
            </w:pPr>
            <w:r>
              <w:rPr>
                <w:rFonts w:ascii="Arial" w:cs="Arial" w:eastAsia="Arial" w:hAnsi="Arial"/>
                <w:sz w:val="9"/>
                <w:szCs w:val="9"/>
                <w:color w:val="auto"/>
              </w:rPr>
              <w:t>|</w:t>
            </w:r>
          </w:p>
        </w:tc>
        <w:tc>
          <w:tcPr>
            <w:tcW w:w="100" w:type="dxa"/>
            <w:vAlign w:val="bottom"/>
            <w:gridSpan w:val="2"/>
          </w:tcPr>
          <w:p>
            <w:pPr>
              <w:jc w:val="right"/>
              <w:ind w:right="40"/>
              <w:spacing w:after="0" w:line="85" w:lineRule="exact"/>
              <w:rPr>
                <w:sz w:val="20"/>
                <w:szCs w:val="20"/>
                <w:color w:val="auto"/>
              </w:rPr>
            </w:pPr>
            <w:r>
              <w:rPr>
                <w:rFonts w:ascii="Arial" w:cs="Arial" w:eastAsia="Arial" w:hAnsi="Arial"/>
                <w:sz w:val="9"/>
                <w:szCs w:val="9"/>
                <w:color w:val="auto"/>
              </w:rPr>
              <w:t>|</w:t>
            </w:r>
          </w:p>
        </w:tc>
        <w:tc>
          <w:tcPr>
            <w:tcW w:w="500" w:type="dxa"/>
            <w:vAlign w:val="bottom"/>
            <w:vMerge w:val="continue"/>
          </w:tcPr>
          <w:p>
            <w:pPr>
              <w:spacing w:after="0"/>
              <w:rPr>
                <w:sz w:val="7"/>
                <w:szCs w:val="7"/>
                <w:color w:val="auto"/>
              </w:rPr>
            </w:pPr>
          </w:p>
        </w:tc>
        <w:tc>
          <w:tcPr>
            <w:tcW w:w="100" w:type="dxa"/>
            <w:vAlign w:val="bottom"/>
          </w:tcPr>
          <w:p>
            <w:pPr>
              <w:spacing w:after="0" w:line="86" w:lineRule="exact"/>
              <w:rPr>
                <w:sz w:val="20"/>
                <w:szCs w:val="20"/>
                <w:color w:val="auto"/>
              </w:rPr>
            </w:pPr>
            <w:r>
              <w:rPr>
                <w:rFonts w:ascii="Arial" w:cs="Arial" w:eastAsia="Arial" w:hAnsi="Arial"/>
                <w:sz w:val="8"/>
                <w:szCs w:val="8"/>
                <w:i w:val="1"/>
                <w:iCs w:val="1"/>
                <w:color w:val="auto"/>
              </w:rPr>
              <w:t>k</w:t>
            </w:r>
          </w:p>
        </w:tc>
        <w:tc>
          <w:tcPr>
            <w:tcW w:w="15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586"/>
        </w:trPr>
        <w:tc>
          <w:tcPr>
            <w:tcW w:w="2180" w:type="dxa"/>
            <w:vAlign w:val="bottom"/>
          </w:tcPr>
          <w:p>
            <w:pPr>
              <w:spacing w:after="0" w:line="483" w:lineRule="exact"/>
              <w:rPr>
                <w:sz w:val="20"/>
                <w:szCs w:val="20"/>
                <w:color w:val="auto"/>
              </w:rPr>
            </w:pPr>
            <w:r>
              <w:rPr>
                <w:rFonts w:ascii="Arial" w:cs="Arial" w:eastAsia="Arial" w:hAnsi="Arial"/>
                <w:sz w:val="48"/>
                <w:szCs w:val="48"/>
                <w:i w:val="1"/>
                <w:iCs w:val="1"/>
                <w:color w:val="auto"/>
                <w:w w:val="86"/>
                <w:vertAlign w:val="superscript"/>
              </w:rPr>
              <w:t>minimizar</w:t>
            </w:r>
            <w:r>
              <w:rPr>
                <w:rFonts w:ascii="Arial" w:cs="Arial" w:eastAsia="Arial" w:hAnsi="Arial"/>
                <w:sz w:val="31"/>
                <w:szCs w:val="31"/>
                <w:i w:val="1"/>
                <w:iCs w:val="1"/>
                <w:color w:val="auto"/>
                <w:w w:val="86"/>
                <w:vertAlign w:val="superscript"/>
              </w:rPr>
              <w:t>C</w:t>
            </w:r>
            <w:r>
              <w:rPr>
                <w:rFonts w:ascii="Arial" w:cs="Arial" w:eastAsia="Arial" w:hAnsi="Arial"/>
                <w:sz w:val="11"/>
                <w:szCs w:val="11"/>
                <w:color w:val="auto"/>
                <w:w w:val="86"/>
              </w:rPr>
              <w:t>1</w:t>
            </w:r>
            <w:r>
              <w:rPr>
                <w:rFonts w:ascii="Arial" w:cs="Arial" w:eastAsia="Arial" w:hAnsi="Arial"/>
                <w:sz w:val="31"/>
                <w:szCs w:val="31"/>
                <w:i w:val="1"/>
                <w:iCs w:val="1"/>
                <w:color w:val="auto"/>
                <w:w w:val="86"/>
                <w:vertAlign w:val="superscript"/>
              </w:rPr>
              <w:t>,...,C</w:t>
            </w:r>
            <w:r>
              <w:rPr>
                <w:rFonts w:ascii="Arial" w:cs="Arial" w:eastAsia="Arial" w:hAnsi="Arial"/>
                <w:sz w:val="11"/>
                <w:szCs w:val="11"/>
                <w:i w:val="1"/>
                <w:iCs w:val="1"/>
                <w:color w:val="auto"/>
                <w:w w:val="86"/>
              </w:rPr>
              <w:t>k</w:t>
            </w:r>
            <w:r>
              <w:rPr>
                <w:rFonts w:ascii="Arial" w:cs="Arial" w:eastAsia="Arial" w:hAnsi="Arial"/>
                <w:sz w:val="31"/>
                <w:szCs w:val="31"/>
                <w:i w:val="1"/>
                <w:iCs w:val="1"/>
                <w:color w:val="auto"/>
                <w:w w:val="86"/>
              </w:rPr>
              <w:t xml:space="preserve"> </w:t>
            </w:r>
            <w:r>
              <w:rPr>
                <w:rFonts w:ascii="Arial" w:cs="Arial" w:eastAsia="Arial" w:hAnsi="Arial"/>
                <w:sz w:val="31"/>
                <w:szCs w:val="31"/>
                <w:i w:val="1"/>
                <w:iCs w:val="1"/>
                <w:color w:val="auto"/>
                <w:w w:val="86"/>
                <w:vertAlign w:val="subscript"/>
              </w:rPr>
              <w:t>k</w:t>
            </w:r>
            <w:r>
              <w:rPr>
                <w:rFonts w:ascii="Arial" w:cs="Arial" w:eastAsia="Arial" w:hAnsi="Arial"/>
                <w:sz w:val="31"/>
                <w:szCs w:val="31"/>
                <w:color w:val="auto"/>
                <w:w w:val="86"/>
                <w:vertAlign w:val="subscript"/>
              </w:rPr>
              <w:t>=1</w:t>
            </w:r>
          </w:p>
        </w:tc>
        <w:tc>
          <w:tcPr>
            <w:tcW w:w="20" w:type="dxa"/>
            <w:vAlign w:val="bottom"/>
          </w:tcPr>
          <w:p>
            <w:pPr>
              <w:spacing w:after="0"/>
              <w:rPr>
                <w:sz w:val="24"/>
                <w:szCs w:val="24"/>
                <w:color w:val="auto"/>
              </w:rPr>
            </w:pPr>
          </w:p>
        </w:tc>
        <w:tc>
          <w:tcPr>
            <w:tcW w:w="340" w:type="dxa"/>
            <w:vAlign w:val="bottom"/>
          </w:tcPr>
          <w:p>
            <w:pPr>
              <w:jc w:val="center"/>
              <w:spacing w:after="0" w:line="323" w:lineRule="exact"/>
              <w:rPr>
                <w:sz w:val="20"/>
                <w:szCs w:val="20"/>
                <w:color w:val="auto"/>
              </w:rPr>
            </w:pPr>
            <w:r>
              <w:rPr>
                <w:rFonts w:ascii="Arial" w:cs="Arial" w:eastAsia="Arial" w:hAnsi="Arial"/>
                <w:sz w:val="24"/>
                <w:szCs w:val="24"/>
                <w:i w:val="1"/>
                <w:iCs w:val="1"/>
                <w:color w:val="auto"/>
                <w:w w:val="86"/>
              </w:rPr>
              <w:t>C</w:t>
            </w:r>
            <w:r>
              <w:rPr>
                <w:rFonts w:ascii="Arial" w:cs="Arial" w:eastAsia="Arial" w:hAnsi="Arial"/>
                <w:sz w:val="31"/>
                <w:szCs w:val="31"/>
                <w:i w:val="1"/>
                <w:iCs w:val="1"/>
                <w:color w:val="auto"/>
                <w:w w:val="86"/>
                <w:vertAlign w:val="subscript"/>
              </w:rPr>
              <w:t>k</w:t>
            </w: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00" w:type="dxa"/>
            <w:vAlign w:val="bottom"/>
          </w:tcPr>
          <w:p>
            <w:pPr>
              <w:ind w:left="40"/>
              <w:spacing w:after="0"/>
              <w:rPr>
                <w:sz w:val="20"/>
                <w:szCs w:val="20"/>
                <w:color w:val="auto"/>
              </w:rPr>
            </w:pPr>
            <w:r>
              <w:rPr>
                <w:rFonts w:ascii="Arial" w:cs="Arial" w:eastAsia="Arial" w:hAnsi="Arial"/>
                <w:sz w:val="16"/>
                <w:szCs w:val="16"/>
                <w:i w:val="1"/>
                <w:iCs w:val="1"/>
                <w:color w:val="auto"/>
              </w:rPr>
              <w:t>i,i EC</w:t>
            </w:r>
          </w:p>
        </w:tc>
        <w:tc>
          <w:tcPr>
            <w:tcW w:w="100" w:type="dxa"/>
            <w:vAlign w:val="bottom"/>
          </w:tcPr>
          <w:p>
            <w:pPr>
              <w:spacing w:after="0"/>
              <w:rPr>
                <w:sz w:val="24"/>
                <w:szCs w:val="24"/>
                <w:color w:val="auto"/>
              </w:rPr>
            </w:pPr>
          </w:p>
        </w:tc>
        <w:tc>
          <w:tcPr>
            <w:tcW w:w="1520" w:type="dxa"/>
            <w:vAlign w:val="bottom"/>
          </w:tcPr>
          <w:p>
            <w:pPr>
              <w:ind w:left="40"/>
              <w:spacing w:after="0"/>
              <w:rPr>
                <w:sz w:val="20"/>
                <w:szCs w:val="20"/>
                <w:color w:val="auto"/>
              </w:rPr>
            </w:pPr>
            <w:r>
              <w:rPr>
                <w:rFonts w:ascii="Arial" w:cs="Arial" w:eastAsia="Arial" w:hAnsi="Arial"/>
                <w:sz w:val="32"/>
                <w:szCs w:val="32"/>
                <w:i w:val="1"/>
                <w:iCs w:val="1"/>
                <w:color w:val="auto"/>
                <w:w w:val="95"/>
                <w:vertAlign w:val="subscript"/>
              </w:rPr>
              <w:t>j</w:t>
            </w:r>
            <w:r>
              <w:rPr>
                <w:rFonts w:ascii="Arial" w:cs="Arial" w:eastAsia="Arial" w:hAnsi="Arial"/>
                <w:sz w:val="31"/>
                <w:szCs w:val="31"/>
                <w:color w:val="auto"/>
                <w:w w:val="95"/>
                <w:vertAlign w:val="subscript"/>
              </w:rPr>
              <w:t>=1</w:t>
            </w:r>
            <w:r>
              <w:rPr>
                <w:rFonts w:ascii="Arial" w:cs="Arial" w:eastAsia="Arial" w:hAnsi="Arial"/>
                <w:sz w:val="47"/>
                <w:szCs w:val="47"/>
                <w:color w:val="auto"/>
                <w:w w:val="95"/>
                <w:vertAlign w:val="superscript"/>
              </w:rPr>
              <w:t>(</w:t>
            </w:r>
            <w:r>
              <w:rPr>
                <w:rFonts w:ascii="Arial" w:cs="Arial" w:eastAsia="Arial" w:hAnsi="Arial"/>
                <w:sz w:val="47"/>
                <w:szCs w:val="47"/>
                <w:i w:val="1"/>
                <w:iCs w:val="1"/>
                <w:color w:val="auto"/>
                <w:w w:val="95"/>
                <w:vertAlign w:val="superscript"/>
              </w:rPr>
              <w:t>x</w:t>
            </w:r>
            <w:r>
              <w:rPr>
                <w:rFonts w:ascii="Arial" w:cs="Arial" w:eastAsia="Arial" w:hAnsi="Arial"/>
                <w:sz w:val="15"/>
                <w:szCs w:val="15"/>
                <w:i w:val="1"/>
                <w:iCs w:val="1"/>
                <w:color w:val="auto"/>
                <w:w w:val="95"/>
              </w:rPr>
              <w:t>ij</w:t>
            </w:r>
            <w:r>
              <w:rPr>
                <w:rFonts w:ascii="Arial" w:cs="Arial" w:eastAsia="Arial" w:hAnsi="Arial"/>
                <w:sz w:val="23"/>
                <w:szCs w:val="23"/>
                <w:color w:val="auto"/>
                <w:w w:val="95"/>
              </w:rPr>
              <w:t xml:space="preserve"> −</w:t>
            </w:r>
            <w:r>
              <w:rPr>
                <w:rFonts w:ascii="Arial" w:cs="Arial" w:eastAsia="Arial" w:hAnsi="Arial"/>
                <w:sz w:val="47"/>
                <w:szCs w:val="47"/>
                <w:color w:val="auto"/>
                <w:w w:val="95"/>
              </w:rPr>
              <w:t xml:space="preserve"> </w:t>
            </w:r>
            <w:r>
              <w:rPr>
                <w:rFonts w:ascii="Arial" w:cs="Arial" w:eastAsia="Arial" w:hAnsi="Arial"/>
                <w:sz w:val="47"/>
                <w:szCs w:val="47"/>
                <w:i w:val="1"/>
                <w:iCs w:val="1"/>
                <w:color w:val="auto"/>
                <w:w w:val="95"/>
                <w:vertAlign w:val="superscript"/>
              </w:rPr>
              <w:t>x</w:t>
            </w:r>
            <w:r>
              <w:rPr>
                <w:rFonts w:ascii="Arial" w:cs="Arial" w:eastAsia="Arial" w:hAnsi="Arial"/>
                <w:sz w:val="15"/>
                <w:szCs w:val="15"/>
                <w:i w:val="1"/>
                <w:iCs w:val="1"/>
                <w:color w:val="auto"/>
                <w:w w:val="95"/>
              </w:rPr>
              <w:t>i</w:t>
            </w:r>
            <w:r>
              <w:rPr>
                <w:rFonts w:ascii="Arial" w:cs="Arial" w:eastAsia="Arial" w:hAnsi="Arial"/>
                <w:sz w:val="23"/>
                <w:szCs w:val="23"/>
                <w:color w:val="auto"/>
                <w:w w:val="95"/>
                <w:vertAlign w:val="superscript"/>
              </w:rPr>
              <w:t>0</w:t>
            </w:r>
            <w:r>
              <w:rPr>
                <w:rFonts w:ascii="Arial" w:cs="Arial" w:eastAsia="Arial" w:hAnsi="Arial"/>
                <w:sz w:val="15"/>
                <w:szCs w:val="15"/>
                <w:color w:val="auto"/>
                <w:w w:val="95"/>
              </w:rPr>
              <w:t xml:space="preserve"> </w:t>
            </w:r>
            <w:r>
              <w:rPr>
                <w:rFonts w:ascii="Arial" w:cs="Arial" w:eastAsia="Arial" w:hAnsi="Arial"/>
                <w:sz w:val="15"/>
                <w:szCs w:val="15"/>
                <w:i w:val="1"/>
                <w:iCs w:val="1"/>
                <w:color w:val="auto"/>
                <w:w w:val="95"/>
              </w:rPr>
              <w:t>j</w:t>
            </w:r>
            <w:r>
              <w:rPr>
                <w:rFonts w:ascii="Arial" w:cs="Arial" w:eastAsia="Arial" w:hAnsi="Arial"/>
                <w:sz w:val="47"/>
                <w:szCs w:val="47"/>
                <w:color w:val="auto"/>
                <w:w w:val="95"/>
                <w:vertAlign w:val="superscript"/>
              </w:rPr>
              <w:t>)</w:t>
            </w:r>
            <w:r>
              <w:rPr>
                <w:rFonts w:ascii="Arial" w:cs="Arial" w:eastAsia="Arial" w:hAnsi="Arial"/>
                <w:sz w:val="32"/>
                <w:szCs w:val="32"/>
                <w:color w:val="auto"/>
                <w:w w:val="95"/>
                <w:vertAlign w:val="superscript"/>
              </w:rPr>
              <w:t>2</w:t>
            </w:r>
          </w:p>
        </w:tc>
        <w:tc>
          <w:tcPr>
            <w:tcW w:w="0" w:type="dxa"/>
            <w:vAlign w:val="bottom"/>
          </w:tcPr>
          <w:p>
            <w:pPr>
              <w:spacing w:after="0"/>
              <w:rPr>
                <w:sz w:val="1"/>
                <w:szCs w:val="1"/>
                <w:color w:val="auto"/>
              </w:rPr>
            </w:pPr>
          </w:p>
        </w:tc>
      </w:tr>
    </w:tbl>
    <w:p>
      <w:pPr>
        <w:jc w:val="both"/>
        <w:ind w:left="260" w:firstLine="850"/>
        <w:spacing w:after="0" w:line="416" w:lineRule="auto"/>
        <w:rPr>
          <w:sz w:val="20"/>
          <w:szCs w:val="20"/>
          <w:color w:val="auto"/>
        </w:rPr>
      </w:pPr>
      <w:r>
        <w:rPr>
          <w:rFonts w:ascii="Arial" w:cs="Arial" w:eastAsia="Arial" w:hAnsi="Arial"/>
          <w:sz w:val="24"/>
          <w:szCs w:val="24"/>
          <w:color w:val="auto"/>
        </w:rPr>
        <w:t>Este capítulo buscou demonstrar os principais conceitos e procedimentos metodológicos a serem seguidos para realização das análises dos objetivos propostos. No próximo capítulo serão aplicados os procedimentos metodológicos para tratamento e análise de dados e estimação dos modelos.</w:t>
      </w:r>
    </w:p>
    <w:p>
      <w:pPr>
        <w:sectPr>
          <w:pgSz w:w="11900" w:h="16838" w:orient="portrait"/>
          <w:cols w:equalWidth="0" w:num="1">
            <w:col w:w="9380"/>
          </w:cols>
          <w:pgMar w:left="1440" w:top="991" w:right="1086" w:bottom="1440" w:gutter="0" w:footer="0" w:header="0"/>
        </w:sectPr>
      </w:pPr>
    </w:p>
    <w:p>
      <w:pPr>
        <w:jc w:val="right"/>
        <w:spacing w:after="0"/>
        <w:rPr>
          <w:sz w:val="20"/>
          <w:szCs w:val="20"/>
          <w:color w:val="auto"/>
        </w:rPr>
      </w:pPr>
      <w:r>
        <w:rPr>
          <w:rFonts w:ascii="Arial" w:cs="Arial" w:eastAsia="Arial" w:hAnsi="Arial"/>
          <w:sz w:val="20"/>
          <w:szCs w:val="20"/>
          <w:color w:val="auto"/>
        </w:rPr>
        <w:t>63</w:t>
      </w: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4 APRESENTAÇÃO E ANÁLISE DOS RESULTADOS</w:t>
      </w:r>
    </w:p>
    <w:p>
      <w:pPr>
        <w:sectPr>
          <w:pgSz w:w="11900" w:h="16838" w:orient="portrait"/>
          <w:cols w:equalWidth="0" w:num="1">
            <w:col w:w="9320"/>
          </w:cols>
          <w:pgMar w:left="1440" w:top="1028" w:right="1146" w:bottom="1440" w:gutter="0" w:footer="0" w:header="0"/>
        </w:sectPr>
      </w:pPr>
    </w:p>
    <w:p>
      <w:pPr>
        <w:jc w:val="right"/>
        <w:spacing w:after="0"/>
        <w:rPr>
          <w:sz w:val="20"/>
          <w:szCs w:val="20"/>
          <w:color w:val="auto"/>
        </w:rPr>
      </w:pPr>
      <w:r>
        <w:rPr>
          <w:rFonts w:ascii="Arial" w:cs="Arial" w:eastAsia="Arial" w:hAnsi="Arial"/>
          <w:sz w:val="20"/>
          <w:szCs w:val="20"/>
          <w:color w:val="auto"/>
        </w:rPr>
        <w:t>64</w:t>
      </w: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5 RESULTADOS</w:t>
      </w:r>
    </w:p>
    <w:p>
      <w:pPr>
        <w:sectPr>
          <w:pgSz w:w="11900" w:h="16838" w:orient="portrait"/>
          <w:cols w:equalWidth="0" w:num="1">
            <w:col w:w="9320"/>
          </w:cols>
          <w:pgMar w:left="1440" w:top="1028" w:right="1146" w:bottom="1440" w:gutter="0" w:footer="0" w:header="0"/>
        </w:sectPr>
      </w:pPr>
    </w:p>
    <w:p>
      <w:pPr>
        <w:jc w:val="right"/>
        <w:spacing w:after="0"/>
        <w:rPr>
          <w:sz w:val="20"/>
          <w:szCs w:val="20"/>
          <w:color w:val="auto"/>
        </w:rPr>
      </w:pPr>
      <w:r>
        <w:rPr>
          <w:rFonts w:ascii="Arial" w:cs="Arial" w:eastAsia="Arial" w:hAnsi="Arial"/>
          <w:sz w:val="20"/>
          <w:szCs w:val="20"/>
          <w:color w:val="auto"/>
        </w:rPr>
        <w:t>65</w:t>
      </w:r>
    </w:p>
    <w:p>
      <w:pPr>
        <w:spacing w:after="0" w:line="200" w:lineRule="exact"/>
        <w:rPr>
          <w:sz w:val="20"/>
          <w:szCs w:val="20"/>
          <w:color w:val="auto"/>
        </w:rPr>
      </w:pPr>
    </w:p>
    <w:p>
      <w:pPr>
        <w:spacing w:after="0" w:line="255" w:lineRule="exact"/>
        <w:rPr>
          <w:sz w:val="20"/>
          <w:szCs w:val="20"/>
          <w:color w:val="auto"/>
        </w:rPr>
      </w:pPr>
    </w:p>
    <w:p>
      <w:pPr>
        <w:jc w:val="center"/>
        <w:ind w:right="-259"/>
        <w:spacing w:after="0"/>
        <w:rPr>
          <w:sz w:val="20"/>
          <w:szCs w:val="20"/>
          <w:color w:val="auto"/>
        </w:rPr>
      </w:pPr>
      <w:r>
        <w:rPr>
          <w:rFonts w:ascii="Arial" w:cs="Arial" w:eastAsia="Arial" w:hAnsi="Arial"/>
          <w:sz w:val="23"/>
          <w:szCs w:val="23"/>
          <w:b w:val="1"/>
          <w:bCs w:val="1"/>
          <w:color w:val="auto"/>
        </w:rPr>
        <w:t>CONSIDERAÇÕES FINAIS</w:t>
      </w:r>
    </w:p>
    <w:p>
      <w:pPr>
        <w:sectPr>
          <w:pgSz w:w="11900" w:h="16838" w:orient="portrait"/>
          <w:cols w:equalWidth="0" w:num="1">
            <w:col w:w="9320"/>
          </w:cols>
          <w:pgMar w:left="1440" w:top="1028" w:right="1146" w:bottom="1440" w:gutter="0" w:footer="0" w:header="0"/>
        </w:sectPr>
      </w:pPr>
    </w:p>
    <w:p>
      <w:pPr>
        <w:ind w:left="9100"/>
        <w:spacing w:after="0"/>
        <w:rPr>
          <w:sz w:val="20"/>
          <w:szCs w:val="20"/>
          <w:color w:val="auto"/>
        </w:rPr>
      </w:pPr>
      <w:r>
        <w:rPr>
          <w:rFonts w:ascii="Arial" w:cs="Arial" w:eastAsia="Arial" w:hAnsi="Arial"/>
          <w:sz w:val="20"/>
          <w:szCs w:val="20"/>
          <w:color w:val="auto"/>
        </w:rPr>
        <w:t>66</w:t>
      </w:r>
    </w:p>
    <w:p>
      <w:pPr>
        <w:spacing w:after="0" w:line="200" w:lineRule="exact"/>
        <w:rPr>
          <w:sz w:val="20"/>
          <w:szCs w:val="20"/>
          <w:color w:val="auto"/>
        </w:rPr>
      </w:pPr>
    </w:p>
    <w:p>
      <w:pPr>
        <w:spacing w:after="0" w:line="255" w:lineRule="exact"/>
        <w:rPr>
          <w:sz w:val="20"/>
          <w:szCs w:val="20"/>
          <w:color w:val="auto"/>
        </w:rPr>
      </w:pPr>
    </w:p>
    <w:p>
      <w:pPr>
        <w:jc w:val="center"/>
        <w:ind w:right="-239"/>
        <w:spacing w:after="0"/>
        <w:rPr>
          <w:sz w:val="20"/>
          <w:szCs w:val="20"/>
          <w:color w:val="auto"/>
        </w:rPr>
      </w:pPr>
      <w:r>
        <w:rPr>
          <w:rFonts w:ascii="Arial" w:cs="Arial" w:eastAsia="Arial" w:hAnsi="Arial"/>
          <w:sz w:val="24"/>
          <w:szCs w:val="24"/>
          <w:b w:val="1"/>
          <w:bCs w:val="1"/>
          <w:color w:val="auto"/>
        </w:rPr>
        <w:t>REFERÊNCIAS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260"/>
        <w:spacing w:after="0"/>
        <w:rPr>
          <w:sz w:val="20"/>
          <w:szCs w:val="20"/>
          <w:color w:val="auto"/>
        </w:rPr>
      </w:pPr>
      <w:r>
        <w:rPr>
          <w:rFonts w:ascii="Arial" w:cs="Arial" w:eastAsia="Arial" w:hAnsi="Arial"/>
          <w:sz w:val="23"/>
          <w:szCs w:val="23"/>
          <w:color w:val="auto"/>
        </w:rPr>
        <w:t xml:space="preserve">ALMEIDA, F. D. </w:t>
      </w:r>
      <w:r>
        <w:rPr>
          <w:rFonts w:ascii="Arial" w:cs="Arial" w:eastAsia="Arial" w:hAnsi="Arial"/>
          <w:sz w:val="23"/>
          <w:szCs w:val="23"/>
          <w:b w:val="1"/>
          <w:bCs w:val="1"/>
          <w:color w:val="auto"/>
        </w:rPr>
        <w:t>Determinantes do spread bancário ex-post no Brasil: uma análise</w:t>
      </w:r>
    </w:p>
    <w:p>
      <w:pPr>
        <w:spacing w:after="0" w:line="214"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de fatores micro e macroeconômic</w:t>
      </w:r>
      <w:r>
        <w:rPr>
          <w:rFonts w:ascii="Arial" w:cs="Arial" w:eastAsia="Arial" w:hAnsi="Arial"/>
          <w:sz w:val="24"/>
          <w:szCs w:val="24"/>
          <w:color w:val="auto"/>
        </w:rPr>
        <w:t>. Brasíli: Universidade Católica de Brasíl, 2013.</w:t>
      </w:r>
    </w:p>
    <w:p>
      <w:pPr>
        <w:spacing w:after="0" w:line="20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Citado 0 vez na página 42.</w:t>
      </w:r>
    </w:p>
    <w:p>
      <w:pPr>
        <w:spacing w:after="0" w:line="298" w:lineRule="exact"/>
        <w:rPr>
          <w:sz w:val="20"/>
          <w:szCs w:val="20"/>
          <w:color w:val="auto"/>
        </w:rPr>
      </w:pPr>
    </w:p>
    <w:p>
      <w:pPr>
        <w:ind w:left="260" w:right="260" w:firstLine="7"/>
        <w:spacing w:after="0" w:line="423" w:lineRule="auto"/>
        <w:rPr>
          <w:sz w:val="20"/>
          <w:szCs w:val="20"/>
          <w:color w:val="auto"/>
        </w:rPr>
      </w:pPr>
      <w:r>
        <w:rPr>
          <w:rFonts w:ascii="Arial" w:cs="Arial" w:eastAsia="Arial" w:hAnsi="Arial"/>
          <w:sz w:val="24"/>
          <w:szCs w:val="24"/>
          <w:color w:val="auto"/>
        </w:rPr>
        <w:t xml:space="preserve">ARONOVICH, Selmo. Uma nota sobre os efeitos da inflação e do nível de atividade sobre o spread bancário. </w:t>
      </w:r>
      <w:r>
        <w:rPr>
          <w:rFonts w:ascii="Arial" w:cs="Arial" w:eastAsia="Arial" w:hAnsi="Arial"/>
          <w:sz w:val="24"/>
          <w:szCs w:val="24"/>
          <w:b w:val="1"/>
          <w:bCs w:val="1"/>
          <w:color w:val="auto"/>
        </w:rPr>
        <w:t>Revista Brasileira de Economia</w:t>
      </w:r>
      <w:r>
        <w:rPr>
          <w:rFonts w:ascii="Arial" w:cs="Arial" w:eastAsia="Arial" w:hAnsi="Arial"/>
          <w:sz w:val="24"/>
          <w:szCs w:val="24"/>
          <w:color w:val="auto"/>
        </w:rPr>
        <w:t>, v. 48, n. 1, p. 125–40, 1994. Citado 0 vez na página 41.</w:t>
      </w:r>
    </w:p>
    <w:p>
      <w:pPr>
        <w:spacing w:after="0" w:line="71" w:lineRule="exact"/>
        <w:rPr>
          <w:sz w:val="20"/>
          <w:szCs w:val="20"/>
          <w:color w:val="auto"/>
        </w:rPr>
      </w:pPr>
    </w:p>
    <w:p>
      <w:pPr>
        <w:ind w:left="260"/>
        <w:spacing w:after="0"/>
        <w:rPr>
          <w:sz w:val="20"/>
          <w:szCs w:val="20"/>
          <w:color w:val="auto"/>
        </w:rPr>
      </w:pPr>
      <w:r>
        <w:rPr>
          <w:rFonts w:ascii="Arial" w:cs="Arial" w:eastAsia="Arial" w:hAnsi="Arial"/>
          <w:sz w:val="24"/>
          <w:szCs w:val="24"/>
          <w:color w:val="auto"/>
        </w:rPr>
        <w:t xml:space="preserve">ASSAF NETO, Alexandre. </w:t>
      </w:r>
      <w:r>
        <w:rPr>
          <w:rFonts w:ascii="Arial" w:cs="Arial" w:eastAsia="Arial" w:hAnsi="Arial"/>
          <w:sz w:val="24"/>
          <w:szCs w:val="24"/>
          <w:b w:val="1"/>
          <w:bCs w:val="1"/>
          <w:color w:val="auto"/>
        </w:rPr>
        <w:t>Finanças corporativas e valor</w:t>
      </w:r>
      <w:r>
        <w:rPr>
          <w:rFonts w:ascii="Arial" w:cs="Arial" w:eastAsia="Arial" w:hAnsi="Arial"/>
          <w:sz w:val="24"/>
          <w:szCs w:val="24"/>
          <w:color w:val="auto"/>
        </w:rPr>
        <w:t>. São Paulo: Atlas, 2020.</w:t>
      </w:r>
    </w:p>
    <w:p>
      <w:pPr>
        <w:spacing w:after="0" w:line="20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Citado 0 vezes nas páginas 28–30.</w:t>
      </w:r>
    </w:p>
    <w:p>
      <w:pPr>
        <w:spacing w:after="0" w:line="298" w:lineRule="exact"/>
        <w:rPr>
          <w:sz w:val="20"/>
          <w:szCs w:val="20"/>
          <w:color w:val="auto"/>
        </w:rPr>
      </w:pPr>
    </w:p>
    <w:p>
      <w:pPr>
        <w:ind w:left="260"/>
        <w:spacing w:after="0" w:line="432" w:lineRule="auto"/>
        <w:rPr>
          <w:sz w:val="20"/>
          <w:szCs w:val="20"/>
          <w:color w:val="auto"/>
        </w:rPr>
      </w:pPr>
      <w:r>
        <w:rPr>
          <w:rFonts w:ascii="Arial" w:cs="Arial" w:eastAsia="Arial" w:hAnsi="Arial"/>
          <w:sz w:val="24"/>
          <w:szCs w:val="24"/>
          <w:color w:val="auto"/>
        </w:rPr>
        <w:t xml:space="preserve">BACEN. </w:t>
      </w:r>
      <w:r>
        <w:rPr>
          <w:rFonts w:ascii="Arial" w:cs="Arial" w:eastAsia="Arial" w:hAnsi="Arial"/>
          <w:sz w:val="24"/>
          <w:szCs w:val="24"/>
          <w:b w:val="1"/>
          <w:bCs w:val="1"/>
          <w:color w:val="auto"/>
        </w:rPr>
        <w:t>Juros e Spread Bancário</w:t>
      </w:r>
      <w:r>
        <w:rPr>
          <w:rFonts w:ascii="Arial" w:cs="Arial" w:eastAsia="Arial" w:hAnsi="Arial"/>
          <w:sz w:val="24"/>
          <w:szCs w:val="24"/>
          <w:color w:val="auto"/>
        </w:rPr>
        <w:t>. Brasília, 2016. Citado 0 vezes nas páginas 33, 35, 38.</w:t>
      </w:r>
    </w:p>
    <w:p>
      <w:pPr>
        <w:spacing w:after="0" w:line="59" w:lineRule="exact"/>
        <w:rPr>
          <w:sz w:val="20"/>
          <w:szCs w:val="20"/>
          <w:color w:val="auto"/>
        </w:rPr>
      </w:pPr>
    </w:p>
    <w:p>
      <w:pPr>
        <w:ind w:left="240" w:firstLine="975"/>
        <w:spacing w:after="0" w:line="423" w:lineRule="auto"/>
        <w:tabs>
          <w:tab w:leader="none" w:pos="1357" w:val="left"/>
        </w:tabs>
        <w:numPr>
          <w:ilvl w:val="0"/>
          <w:numId w:val="30"/>
        </w:numPr>
        <w:rPr>
          <w:rFonts w:ascii="Arial" w:cs="Arial" w:eastAsia="Arial" w:hAnsi="Arial"/>
          <w:sz w:val="24"/>
          <w:szCs w:val="24"/>
          <w:color w:val="auto"/>
        </w:rPr>
      </w:pPr>
      <w:r>
        <w:rPr>
          <w:rFonts w:ascii="Arial" w:cs="Arial" w:eastAsia="Arial" w:hAnsi="Arial"/>
          <w:sz w:val="24"/>
          <w:szCs w:val="24"/>
          <w:b w:val="1"/>
          <w:bCs w:val="1"/>
          <w:color w:val="auto"/>
        </w:rPr>
        <w:t>Juros e Spread Bancário no Brasil</w:t>
      </w:r>
      <w:r>
        <w:rPr>
          <w:rFonts w:ascii="Arial" w:cs="Arial" w:eastAsia="Arial" w:hAnsi="Arial"/>
          <w:sz w:val="24"/>
          <w:szCs w:val="24"/>
          <w:color w:val="auto"/>
        </w:rPr>
        <w:t xml:space="preserve">. Brasília, 2000. Disponível em: </w:t>
      </w:r>
      <w:hyperlink r:id="rId34">
        <w:r>
          <w:rPr>
            <w:rFonts w:ascii="Arial" w:cs="Arial" w:eastAsia="Arial" w:hAnsi="Arial"/>
            <w:sz w:val="24"/>
            <w:szCs w:val="24"/>
            <w:color w:val="auto"/>
          </w:rPr>
          <w:t xml:space="preserve">&lt;https://www.bcb.gov.br/ftp/jurospread112000.pdf&gt;. </w:t>
        </w:r>
      </w:hyperlink>
      <w:r>
        <w:rPr>
          <w:rFonts w:ascii="Arial" w:cs="Arial" w:eastAsia="Arial" w:hAnsi="Arial"/>
          <w:sz w:val="24"/>
          <w:szCs w:val="24"/>
          <w:color w:val="auto"/>
        </w:rPr>
        <w:t>Citado 0 vezes nas páginas 32, 33, 36, 39.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-764540</wp:posOffset>
                </wp:positionV>
                <wp:extent cx="607060"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60.1999pt" to="60.75pt,-60.1999pt" o:allowincell="f" strokecolor="#000000" strokeweight="0.398pt"/>
            </w:pict>
          </mc:Fallback>
        </mc:AlternateContent>
      </w:r>
    </w:p>
    <w:p>
      <w:pPr>
        <w:spacing w:after="0" w:line="52" w:lineRule="exact"/>
        <w:rPr>
          <w:sz w:val="20"/>
          <w:szCs w:val="20"/>
          <w:color w:val="auto"/>
        </w:rPr>
      </w:pPr>
    </w:p>
    <w:p>
      <w:pPr>
        <w:ind w:left="260" w:right="540" w:firstLine="955"/>
        <w:spacing w:after="0" w:line="423" w:lineRule="auto"/>
        <w:tabs>
          <w:tab w:leader="none" w:pos="1356" w:val="left"/>
        </w:tabs>
        <w:numPr>
          <w:ilvl w:val="0"/>
          <w:numId w:val="31"/>
        </w:numPr>
        <w:rPr>
          <w:rFonts w:ascii="Arial" w:cs="Arial" w:eastAsia="Arial" w:hAnsi="Arial"/>
          <w:sz w:val="24"/>
          <w:szCs w:val="24"/>
          <w:color w:val="auto"/>
        </w:rPr>
      </w:pPr>
      <w:r>
        <w:rPr>
          <w:rFonts w:ascii="Arial" w:cs="Arial" w:eastAsia="Arial" w:hAnsi="Arial"/>
          <w:sz w:val="24"/>
          <w:szCs w:val="24"/>
          <w:b w:val="1"/>
          <w:bCs w:val="1"/>
          <w:color w:val="auto"/>
        </w:rPr>
        <w:t>Programação Monerária 2019</w:t>
      </w:r>
      <w:r>
        <w:rPr>
          <w:rFonts w:ascii="Arial" w:cs="Arial" w:eastAsia="Arial" w:hAnsi="Arial"/>
          <w:sz w:val="24"/>
          <w:szCs w:val="24"/>
          <w:color w:val="auto"/>
        </w:rPr>
        <w:t xml:space="preserve">. [S.l.], 2019. Disponível em: </w:t>
      </w:r>
      <w:hyperlink r:id="rId35">
        <w:r>
          <w:rPr>
            <w:rFonts w:ascii="Arial" w:cs="Arial" w:eastAsia="Arial" w:hAnsi="Arial"/>
            <w:sz w:val="24"/>
            <w:szCs w:val="24"/>
            <w:color w:val="auto"/>
          </w:rPr>
          <w:t>&lt;https:</w:t>
        </w:r>
      </w:hyperlink>
      <w:r>
        <w:rPr>
          <w:rFonts w:ascii="Arial" w:cs="Arial" w:eastAsia="Arial" w:hAnsi="Arial"/>
          <w:sz w:val="24"/>
          <w:szCs w:val="24"/>
          <w:color w:val="auto"/>
        </w:rPr>
        <w:t xml:space="preserve"> </w:t>
      </w:r>
      <w:hyperlink r:id="rId35">
        <w:r>
          <w:rPr>
            <w:rFonts w:ascii="Arial" w:cs="Arial" w:eastAsia="Arial" w:hAnsi="Arial"/>
            <w:sz w:val="24"/>
            <w:szCs w:val="24"/>
            <w:color w:val="auto"/>
          </w:rPr>
          <w:t>//www.bcb.gov.br/content/publicacoes/programacaomonetaria/pm-022019p.pdf&gt;.</w:t>
        </w:r>
      </w:hyperlink>
      <w:r>
        <w:rPr>
          <w:rFonts w:ascii="Arial" w:cs="Arial" w:eastAsia="Arial" w:hAnsi="Arial"/>
          <w:sz w:val="24"/>
          <w:szCs w:val="24"/>
          <w:color w:val="auto"/>
        </w:rPr>
        <w:t xml:space="preserve"> Citado 0 vezes nas páginas 21, 23, 25, 26.</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-764540</wp:posOffset>
                </wp:positionV>
                <wp:extent cx="607060"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60.1999pt" to="60.75pt,-60.1999pt" o:allowincell="f" strokecolor="#000000" strokeweight="0.398pt"/>
            </w:pict>
          </mc:Fallback>
        </mc:AlternateContent>
      </w:r>
    </w:p>
    <w:p>
      <w:pPr>
        <w:spacing w:after="0" w:line="52" w:lineRule="exact"/>
        <w:rPr>
          <w:rFonts w:ascii="Arial" w:cs="Arial" w:eastAsia="Arial" w:hAnsi="Arial"/>
          <w:sz w:val="24"/>
          <w:szCs w:val="24"/>
          <w:color w:val="auto"/>
        </w:rPr>
      </w:pPr>
    </w:p>
    <w:p>
      <w:pPr>
        <w:ind w:left="260"/>
        <w:spacing w:after="0"/>
        <w:rPr>
          <w:sz w:val="20"/>
          <w:szCs w:val="20"/>
          <w:color w:val="auto"/>
        </w:rPr>
      </w:pPr>
      <w:r>
        <w:rPr>
          <w:rFonts w:ascii="Arial" w:cs="Arial" w:eastAsia="Arial" w:hAnsi="Arial"/>
          <w:sz w:val="24"/>
          <w:szCs w:val="24"/>
          <w:color w:val="auto"/>
        </w:rPr>
        <w:t>BACEN, SGS - Sistema Gerenciador de Séries Temporais. [S.l.: s.n.], nov. 2020.</w:t>
      </w:r>
    </w:p>
    <w:p>
      <w:pPr>
        <w:spacing w:after="0" w:line="202" w:lineRule="exact"/>
        <w:rPr>
          <w:rFonts w:ascii="Arial" w:cs="Arial" w:eastAsia="Arial" w:hAnsi="Arial"/>
          <w:sz w:val="24"/>
          <w:szCs w:val="24"/>
          <w:color w:val="auto"/>
        </w:rPr>
      </w:pPr>
    </w:p>
    <w:p>
      <w:pPr>
        <w:ind w:left="260"/>
        <w:spacing w:after="0"/>
        <w:rPr>
          <w:sz w:val="20"/>
          <w:szCs w:val="20"/>
          <w:color w:val="auto"/>
        </w:rPr>
      </w:pPr>
      <w:r>
        <w:rPr>
          <w:rFonts w:ascii="Arial" w:cs="Arial" w:eastAsia="Arial" w:hAnsi="Arial"/>
          <w:sz w:val="24"/>
          <w:szCs w:val="24"/>
          <w:color w:val="auto"/>
        </w:rPr>
        <w:t>Disponível em</w:t>
      </w:r>
    </w:p>
    <w:p>
      <w:pPr>
        <w:spacing w:after="0" w:line="202" w:lineRule="exact"/>
        <w:rPr>
          <w:rFonts w:ascii="Arial" w:cs="Arial" w:eastAsia="Arial" w:hAnsi="Arial"/>
          <w:sz w:val="24"/>
          <w:szCs w:val="24"/>
          <w:color w:val="auto"/>
        </w:rPr>
      </w:pPr>
    </w:p>
    <w:p>
      <w:pPr>
        <w:ind w:left="260"/>
        <w:spacing w:after="0"/>
        <w:rPr>
          <w:rFonts w:ascii="Arial" w:cs="Arial" w:eastAsia="Arial" w:hAnsi="Arial"/>
          <w:sz w:val="24"/>
          <w:szCs w:val="24"/>
          <w:color w:val="auto"/>
        </w:rPr>
      </w:pPr>
      <w:hyperlink r:id="rId36">
        <w:r>
          <w:rPr>
            <w:rFonts w:ascii="Arial" w:cs="Arial" w:eastAsia="Arial" w:hAnsi="Arial"/>
            <w:sz w:val="24"/>
            <w:szCs w:val="24"/>
            <w:color w:val="auto"/>
          </w:rPr>
          <w:t>https://www3.bcb.gov.br/sgspub/consultarmetadados/consultarMetadadosSeries.do?</w:t>
        </w:r>
      </w:hyperlink>
    </w:p>
    <w:p>
      <w:pPr>
        <w:spacing w:after="0" w:line="202" w:lineRule="exact"/>
        <w:rPr>
          <w:rFonts w:ascii="Arial" w:cs="Arial" w:eastAsia="Arial" w:hAnsi="Arial"/>
          <w:sz w:val="24"/>
          <w:szCs w:val="24"/>
          <w:color w:val="auto"/>
        </w:rPr>
      </w:pPr>
    </w:p>
    <w:p>
      <w:pPr>
        <w:ind w:left="260"/>
        <w:spacing w:after="0"/>
        <w:rPr>
          <w:rFonts w:ascii="Arial" w:cs="Arial" w:eastAsia="Arial" w:hAnsi="Arial"/>
          <w:sz w:val="24"/>
          <w:szCs w:val="24"/>
          <w:color w:val="auto"/>
        </w:rPr>
      </w:pPr>
      <w:hyperlink r:id="rId36">
        <w:r>
          <w:rPr>
            <w:rFonts w:ascii="Arial" w:cs="Arial" w:eastAsia="Arial" w:hAnsi="Arial"/>
            <w:sz w:val="24"/>
            <w:szCs w:val="24"/>
            <w:color w:val="auto"/>
          </w:rPr>
          <w:t xml:space="preserve">method=consultarMetadadosSeriesInternet&amp;hdOidSerieSelecionada=27810 </w:t>
        </w:r>
      </w:hyperlink>
      <w:r>
        <w:rPr>
          <w:rFonts w:ascii="Arial" w:cs="Arial" w:eastAsia="Arial" w:hAnsi="Arial"/>
          <w:sz w:val="24"/>
          <w:szCs w:val="24"/>
          <w:color w:val="auto"/>
        </w:rPr>
        <w:t>Acesso</w:t>
      </w:r>
    </w:p>
    <w:p>
      <w:pPr>
        <w:spacing w:after="0" w:line="202" w:lineRule="exact"/>
        <w:rPr>
          <w:rFonts w:ascii="Arial" w:cs="Arial" w:eastAsia="Arial" w:hAnsi="Arial"/>
          <w:sz w:val="24"/>
          <w:szCs w:val="24"/>
          <w:color w:val="auto"/>
        </w:rPr>
      </w:pPr>
    </w:p>
    <w:p>
      <w:pPr>
        <w:ind w:left="260"/>
        <w:spacing w:after="0"/>
        <w:rPr>
          <w:sz w:val="20"/>
          <w:szCs w:val="20"/>
          <w:color w:val="auto"/>
        </w:rPr>
      </w:pPr>
      <w:r>
        <w:rPr>
          <w:rFonts w:ascii="Arial" w:cs="Arial" w:eastAsia="Arial" w:hAnsi="Arial"/>
          <w:sz w:val="24"/>
          <w:szCs w:val="24"/>
          <w:color w:val="auto"/>
        </w:rPr>
        <w:t>em 05/12/2020. Citado 0 vezes nas páginas 23–25.</w:t>
      </w:r>
    </w:p>
    <w:p>
      <w:pPr>
        <w:spacing w:after="0" w:line="298" w:lineRule="exact"/>
        <w:rPr>
          <w:rFonts w:ascii="Arial" w:cs="Arial" w:eastAsia="Arial" w:hAnsi="Arial"/>
          <w:sz w:val="24"/>
          <w:szCs w:val="24"/>
          <w:color w:val="auto"/>
        </w:rPr>
      </w:pPr>
    </w:p>
    <w:p>
      <w:pPr>
        <w:ind w:left="260" w:right="140" w:firstLine="955"/>
        <w:spacing w:after="0" w:line="442" w:lineRule="auto"/>
        <w:tabs>
          <w:tab w:leader="none" w:pos="1349" w:val="left"/>
        </w:tabs>
        <w:numPr>
          <w:ilvl w:val="0"/>
          <w:numId w:val="32"/>
        </w:numPr>
        <w:rPr>
          <w:rFonts w:ascii="Arial" w:cs="Arial" w:eastAsia="Arial" w:hAnsi="Arial"/>
          <w:sz w:val="23"/>
          <w:szCs w:val="23"/>
          <w:color w:val="auto"/>
        </w:rPr>
      </w:pPr>
      <w:r>
        <w:rPr>
          <w:rFonts w:ascii="Arial" w:cs="Arial" w:eastAsia="Arial" w:hAnsi="Arial"/>
          <w:sz w:val="23"/>
          <w:szCs w:val="23"/>
          <w:color w:val="auto"/>
        </w:rPr>
        <w:t xml:space="preserve">[S.l.: s.n.], nov. 2020. Disnponível em </w:t>
      </w:r>
      <w:hyperlink r:id="rId37">
        <w:r>
          <w:rPr>
            <w:rFonts w:ascii="Arial" w:cs="Arial" w:eastAsia="Arial" w:hAnsi="Arial"/>
            <w:sz w:val="23"/>
            <w:szCs w:val="23"/>
            <w:color w:val="auto"/>
          </w:rPr>
          <w:t>https://www3.bcb.gov.br/sgspub/consultarmetadados/consultarMetadadosSeries.do?</w:t>
        </w:r>
      </w:hyperlink>
      <w:r>
        <w:rPr>
          <w:rFonts w:ascii="Arial" w:cs="Arial" w:eastAsia="Arial" w:hAnsi="Arial"/>
          <w:sz w:val="23"/>
          <w:szCs w:val="23"/>
          <w:color w:val="auto"/>
        </w:rPr>
        <w:t xml:space="preserve"> </w:t>
      </w:r>
      <w:hyperlink r:id="rId37">
        <w:r>
          <w:rPr>
            <w:rFonts w:ascii="Arial" w:cs="Arial" w:eastAsia="Arial" w:hAnsi="Arial"/>
            <w:sz w:val="23"/>
            <w:szCs w:val="23"/>
            <w:color w:val="auto"/>
          </w:rPr>
          <w:t xml:space="preserve">method=consultarMetadadosSeriesInternet&amp;hdOidSerieSelecionada=27789 </w:t>
        </w:r>
      </w:hyperlink>
      <w:r>
        <w:rPr>
          <w:rFonts w:ascii="Arial" w:cs="Arial" w:eastAsia="Arial" w:hAnsi="Arial"/>
          <w:sz w:val="23"/>
          <w:szCs w:val="23"/>
          <w:color w:val="auto"/>
        </w:rPr>
        <w:t>Acesso em 30/11/2020. Citado 0 vezes nas páginas 23, 24.</w:t>
      </w:r>
    </w:p>
    <w:p>
      <w:pPr>
        <w:spacing w:after="0" w:line="20" w:lineRule="exact"/>
        <w:rPr>
          <w:rFonts w:ascii="Arial" w:cs="Arial" w:eastAsia="Arial" w:hAnsi="Arial"/>
          <w:sz w:val="23"/>
          <w:szCs w:val="23"/>
          <w:color w:val="auto"/>
        </w:rPr>
      </w:pPr>
      <w:r>
        <w:rPr>
          <w:rFonts w:ascii="Arial" w:cs="Arial" w:eastAsia="Arial" w:hAnsi="Arial"/>
          <w:sz w:val="23"/>
          <w:szCs w:val="23"/>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-1075690</wp:posOffset>
                </wp:positionV>
                <wp:extent cx="607060" cy="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4.6999pt" to="60.75pt,-84.6999pt" o:allowincell="f" strokecolor="#000000" strokeweight="0.398pt"/>
            </w:pict>
          </mc:Fallback>
        </mc:AlternateContent>
      </w:r>
    </w:p>
    <w:p>
      <w:pPr>
        <w:sectPr>
          <w:pgSz w:w="11900" w:h="16838" w:orient="portrait"/>
          <w:cols w:equalWidth="0" w:num="1">
            <w:col w:w="9360"/>
          </w:cols>
          <w:pgMar w:left="1440" w:top="1028" w:right="1106" w:bottom="501" w:gutter="0" w:footer="0" w:header="0"/>
        </w:sectPr>
      </w:pPr>
    </w:p>
    <w:p>
      <w:pPr>
        <w:ind w:left="9060"/>
        <w:spacing w:after="0"/>
        <w:rPr>
          <w:sz w:val="20"/>
          <w:szCs w:val="20"/>
          <w:color w:val="auto"/>
        </w:rPr>
      </w:pPr>
      <w:r>
        <w:rPr>
          <w:rFonts w:ascii="Arial" w:cs="Arial" w:eastAsia="Arial" w:hAnsi="Arial"/>
          <w:sz w:val="24"/>
          <w:szCs w:val="24"/>
          <w:color w:val="auto"/>
        </w:rPr>
        <w:t>67</w:t>
      </w:r>
    </w:p>
    <w:p>
      <w:pPr>
        <w:spacing w:after="0" w:line="200" w:lineRule="exact"/>
        <w:rPr>
          <w:sz w:val="20"/>
          <w:szCs w:val="20"/>
          <w:color w:val="auto"/>
        </w:rPr>
      </w:pPr>
    </w:p>
    <w:p>
      <w:pPr>
        <w:spacing w:after="0" w:line="246" w:lineRule="exact"/>
        <w:rPr>
          <w:sz w:val="20"/>
          <w:szCs w:val="20"/>
          <w:color w:val="auto"/>
        </w:rPr>
      </w:pPr>
    </w:p>
    <w:p>
      <w:pPr>
        <w:ind w:left="260" w:right="60"/>
        <w:spacing w:after="0" w:line="421" w:lineRule="auto"/>
        <w:rPr>
          <w:rFonts w:ascii="Arial" w:cs="Arial" w:eastAsia="Arial" w:hAnsi="Arial"/>
          <w:sz w:val="24"/>
          <w:szCs w:val="24"/>
          <w:color w:val="auto"/>
        </w:rPr>
      </w:pPr>
      <w:r>
        <w:rPr>
          <w:rFonts w:ascii="Arial" w:cs="Arial" w:eastAsia="Arial" w:hAnsi="Arial"/>
          <w:sz w:val="24"/>
          <w:szCs w:val="24"/>
          <w:color w:val="auto"/>
        </w:rPr>
        <w:t xml:space="preserve">BACEN, SGS - Sistema Gerenciador de Séries Temporais. [S.l.: s.n.], nov. 2020. Disponível em </w:t>
      </w:r>
      <w:hyperlink r:id="rId38">
        <w:r>
          <w:rPr>
            <w:rFonts w:ascii="Arial" w:cs="Arial" w:eastAsia="Arial" w:hAnsi="Arial"/>
            <w:sz w:val="24"/>
            <w:szCs w:val="24"/>
            <w:color w:val="auto"/>
          </w:rPr>
          <w:t>https://www3.bcb.gov.br/sgspub/consultarmetadados/</w:t>
        </w:r>
      </w:hyperlink>
      <w:r>
        <w:rPr>
          <w:rFonts w:ascii="Arial" w:cs="Arial" w:eastAsia="Arial" w:hAnsi="Arial"/>
          <w:sz w:val="24"/>
          <w:szCs w:val="24"/>
          <w:color w:val="auto"/>
        </w:rPr>
        <w:t xml:space="preserve"> </w:t>
      </w:r>
      <w:hyperlink r:id="rId38">
        <w:r>
          <w:rPr>
            <w:rFonts w:ascii="Arial" w:cs="Arial" w:eastAsia="Arial" w:hAnsi="Arial"/>
            <w:sz w:val="24"/>
            <w:szCs w:val="24"/>
            <w:color w:val="auto"/>
          </w:rPr>
          <w:t xml:space="preserve">consultarMetadadosSeries.do?method=consultarMetadadosSeriesInternet </w:t>
        </w:r>
      </w:hyperlink>
      <w:r>
        <w:rPr>
          <w:rFonts w:ascii="Arial" w:cs="Arial" w:eastAsia="Arial" w:hAnsi="Arial"/>
          <w:sz w:val="24"/>
          <w:szCs w:val="24"/>
          <w:color w:val="auto"/>
        </w:rPr>
        <w:t>Acesso em 01/12/2020. Citado 0 vez na página 27.</w:t>
      </w:r>
    </w:p>
    <w:p>
      <w:pPr>
        <w:spacing w:after="0" w:line="72" w:lineRule="exact"/>
        <w:rPr>
          <w:sz w:val="20"/>
          <w:szCs w:val="20"/>
          <w:color w:val="auto"/>
        </w:rPr>
      </w:pPr>
    </w:p>
    <w:p>
      <w:pPr>
        <w:ind w:left="260"/>
        <w:spacing w:after="0"/>
        <w:rPr>
          <w:sz w:val="20"/>
          <w:szCs w:val="20"/>
          <w:color w:val="auto"/>
        </w:rPr>
      </w:pPr>
      <w:r>
        <w:rPr>
          <w:rFonts w:ascii="Arial" w:cs="Arial" w:eastAsia="Arial" w:hAnsi="Arial"/>
          <w:sz w:val="23"/>
          <w:szCs w:val="23"/>
          <w:color w:val="auto"/>
        </w:rPr>
        <w:t xml:space="preserve">BANK, WORLD; IMF. </w:t>
      </w:r>
      <w:r>
        <w:rPr>
          <w:rFonts w:ascii="Arial" w:cs="Arial" w:eastAsia="Arial" w:hAnsi="Arial"/>
          <w:sz w:val="23"/>
          <w:szCs w:val="23"/>
          <w:b w:val="1"/>
          <w:bCs w:val="1"/>
          <w:color w:val="auto"/>
        </w:rPr>
        <w:t>Financial sector Assessment: a handbook</w:t>
      </w:r>
      <w:r>
        <w:rPr>
          <w:rFonts w:ascii="Arial" w:cs="Arial" w:eastAsia="Arial" w:hAnsi="Arial"/>
          <w:sz w:val="23"/>
          <w:szCs w:val="23"/>
          <w:color w:val="auto"/>
        </w:rPr>
        <w:t>. Washington DCo:</w:t>
      </w:r>
    </w:p>
    <w:p>
      <w:pPr>
        <w:spacing w:after="0" w:line="214" w:lineRule="exact"/>
        <w:rPr>
          <w:sz w:val="20"/>
          <w:szCs w:val="20"/>
          <w:color w:val="auto"/>
        </w:rPr>
      </w:pPr>
    </w:p>
    <w:p>
      <w:pPr>
        <w:jc w:val="both"/>
        <w:ind w:left="260" w:right="100"/>
        <w:spacing w:after="0" w:line="447" w:lineRule="auto"/>
        <w:rPr>
          <w:rFonts w:ascii="Arial" w:cs="Arial" w:eastAsia="Arial" w:hAnsi="Arial"/>
          <w:sz w:val="23"/>
          <w:szCs w:val="23"/>
          <w:color w:val="auto"/>
        </w:rPr>
      </w:pPr>
      <w:r>
        <w:rPr>
          <w:rFonts w:ascii="Arial" w:cs="Arial" w:eastAsia="Arial" w:hAnsi="Arial"/>
          <w:sz w:val="23"/>
          <w:szCs w:val="23"/>
          <w:color w:val="auto"/>
        </w:rPr>
        <w:t xml:space="preserve">The World Bank, 2005. Disponível em: </w:t>
      </w:r>
      <w:hyperlink r:id="rId39">
        <w:r>
          <w:rPr>
            <w:rFonts w:ascii="Arial" w:cs="Arial" w:eastAsia="Arial" w:hAnsi="Arial"/>
            <w:sz w:val="23"/>
            <w:szCs w:val="23"/>
            <w:color w:val="auto"/>
          </w:rPr>
          <w:t>&lt;http://documents1.worldbank.org/curated/en/</w:t>
        </w:r>
      </w:hyperlink>
      <w:r>
        <w:rPr>
          <w:rFonts w:ascii="Arial" w:cs="Arial" w:eastAsia="Arial" w:hAnsi="Arial"/>
          <w:sz w:val="23"/>
          <w:szCs w:val="23"/>
          <w:color w:val="auto"/>
        </w:rPr>
        <w:t xml:space="preserve"> </w:t>
      </w:r>
      <w:hyperlink r:id="rId39">
        <w:r>
          <w:rPr>
            <w:rFonts w:ascii="Arial" w:cs="Arial" w:eastAsia="Arial" w:hAnsi="Arial"/>
            <w:sz w:val="23"/>
            <w:szCs w:val="23"/>
            <w:color w:val="auto"/>
          </w:rPr>
          <w:t xml:space="preserve">306701468337879923/pdf/337970rev0Fina10Assessment01PUBLIC1.pdf&gt;. </w:t>
        </w:r>
      </w:hyperlink>
      <w:r>
        <w:rPr>
          <w:rFonts w:ascii="Arial" w:cs="Arial" w:eastAsia="Arial" w:hAnsi="Arial"/>
          <w:sz w:val="23"/>
          <w:szCs w:val="23"/>
          <w:color w:val="auto"/>
        </w:rPr>
        <w:t>Citado 0 vezes nas páginas 5, 6, 32.</w:t>
      </w:r>
    </w:p>
    <w:p>
      <w:pPr>
        <w:spacing w:after="0" w:line="53" w:lineRule="exact"/>
        <w:rPr>
          <w:sz w:val="20"/>
          <w:szCs w:val="20"/>
          <w:color w:val="auto"/>
        </w:rPr>
      </w:pPr>
    </w:p>
    <w:p>
      <w:pPr>
        <w:jc w:val="both"/>
        <w:ind w:left="240" w:firstLine="28"/>
        <w:spacing w:after="0" w:line="421" w:lineRule="auto"/>
        <w:rPr>
          <w:rFonts w:ascii="Arial" w:cs="Arial" w:eastAsia="Arial" w:hAnsi="Arial"/>
          <w:sz w:val="24"/>
          <w:szCs w:val="24"/>
          <w:color w:val="auto"/>
        </w:rPr>
      </w:pPr>
      <w:r>
        <w:rPr>
          <w:rFonts w:ascii="Arial" w:cs="Arial" w:eastAsia="Arial" w:hAnsi="Arial"/>
          <w:sz w:val="24"/>
          <w:szCs w:val="24"/>
          <w:color w:val="auto"/>
        </w:rPr>
        <w:t xml:space="preserve">BRASIL. CONSTITUIÇÃO DA REPÚBLICA FEDERATIVA DO BRASIL DE 1988.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5 out. 1988. Disponível em:</w:t>
      </w:r>
      <w:r>
        <w:rPr>
          <w:rFonts w:ascii="Arial" w:cs="Arial" w:eastAsia="Arial" w:hAnsi="Arial"/>
          <w:sz w:val="24"/>
          <w:szCs w:val="24"/>
          <w:b w:val="1"/>
          <w:bCs w:val="1"/>
          <w:color w:val="auto"/>
        </w:rPr>
        <w:t xml:space="preserve"> </w:t>
      </w:r>
      <w:hyperlink r:id="rId40">
        <w:r>
          <w:rPr>
            <w:rFonts w:ascii="Arial" w:cs="Arial" w:eastAsia="Arial" w:hAnsi="Arial"/>
            <w:sz w:val="24"/>
            <w:szCs w:val="24"/>
            <w:color w:val="auto"/>
          </w:rPr>
          <w:t xml:space="preserve">&lt;http://www.planalto.gov.br/ccivil_03/constituicao/constituicao.htm&gt;. </w:t>
        </w:r>
      </w:hyperlink>
      <w:r>
        <w:rPr>
          <w:rFonts w:ascii="Arial" w:cs="Arial" w:eastAsia="Arial" w:hAnsi="Arial"/>
          <w:sz w:val="24"/>
          <w:szCs w:val="24"/>
          <w:color w:val="auto"/>
        </w:rPr>
        <w:t>Acesso em: 7 set. 2020. Citado 0 vez na página 12.</w:t>
      </w:r>
    </w:p>
    <w:p>
      <w:pPr>
        <w:spacing w:after="0" w:line="72" w:lineRule="exact"/>
        <w:rPr>
          <w:sz w:val="20"/>
          <w:szCs w:val="20"/>
          <w:color w:val="auto"/>
        </w:rPr>
      </w:pPr>
    </w:p>
    <w:p>
      <w:pPr>
        <w:ind w:left="240" w:right="120" w:firstLine="975"/>
        <w:spacing w:after="0" w:line="419" w:lineRule="auto"/>
        <w:tabs>
          <w:tab w:leader="none" w:pos="1357" w:val="left"/>
        </w:tabs>
        <w:numPr>
          <w:ilvl w:val="0"/>
          <w:numId w:val="33"/>
        </w:numPr>
        <w:rPr>
          <w:rFonts w:ascii="Arial" w:cs="Arial" w:eastAsia="Arial" w:hAnsi="Arial"/>
          <w:sz w:val="24"/>
          <w:szCs w:val="24"/>
          <w:color w:val="auto"/>
        </w:rPr>
      </w:pPr>
      <w:r>
        <w:rPr>
          <w:rFonts w:ascii="Arial" w:cs="Arial" w:eastAsia="Arial" w:hAnsi="Arial"/>
          <w:sz w:val="24"/>
          <w:szCs w:val="24"/>
          <w:color w:val="auto"/>
        </w:rPr>
        <w:t xml:space="preserve">DECRETO Nº 1.455.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xml:space="preserve">, Brasília, DF, 30 dez. 2012. Disponível em: </w:t>
      </w:r>
      <w:hyperlink r:id="rId41">
        <w:r>
          <w:rPr>
            <w:rFonts w:ascii="Arial" w:cs="Arial" w:eastAsia="Arial" w:hAnsi="Arial"/>
            <w:sz w:val="24"/>
            <w:szCs w:val="24"/>
            <w:color w:val="auto"/>
          </w:rPr>
          <w:t>&lt;https://www2.camara.leg.br/legin/fed/decret/1900-1909/decreto-1455-30-dezembro-</w:t>
        </w:r>
      </w:hyperlink>
      <w:hyperlink r:id="rId41">
        <w:r>
          <w:rPr>
            <w:rFonts w:ascii="Arial" w:cs="Arial" w:eastAsia="Arial" w:hAnsi="Arial"/>
            <w:sz w:val="24"/>
            <w:szCs w:val="24"/>
            <w:color w:val="auto"/>
          </w:rPr>
          <w:t xml:space="preserve">1905-582773-publicacaooriginal-105568-pl.html&gt;. </w:t>
        </w:r>
      </w:hyperlink>
      <w:r>
        <w:rPr>
          <w:rFonts w:ascii="Arial" w:cs="Arial" w:eastAsia="Arial" w:hAnsi="Arial"/>
          <w:sz w:val="24"/>
          <w:szCs w:val="24"/>
          <w:color w:val="auto"/>
        </w:rPr>
        <w:t>Acesso em: 5 set. 2020. Citado 0 vez na página 11.</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-1367790</wp:posOffset>
                </wp:positionV>
                <wp:extent cx="607060" cy="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07.6999pt" to="60.75pt,-107.6999pt" o:allowincell="f" strokecolor="#000000" strokeweight="0.398pt"/>
            </w:pict>
          </mc:Fallback>
        </mc:AlternateContent>
      </w:r>
    </w:p>
    <w:p>
      <w:pPr>
        <w:spacing w:after="0" w:line="58" w:lineRule="exact"/>
        <w:rPr>
          <w:rFonts w:ascii="Arial" w:cs="Arial" w:eastAsia="Arial" w:hAnsi="Arial"/>
          <w:sz w:val="24"/>
          <w:szCs w:val="24"/>
          <w:color w:val="auto"/>
        </w:rPr>
      </w:pPr>
    </w:p>
    <w:p>
      <w:pPr>
        <w:ind w:left="240" w:firstLine="975"/>
        <w:spacing w:after="0" w:line="421" w:lineRule="auto"/>
        <w:tabs>
          <w:tab w:leader="none" w:pos="1357" w:val="left"/>
        </w:tabs>
        <w:numPr>
          <w:ilvl w:val="0"/>
          <w:numId w:val="34"/>
        </w:numPr>
        <w:rPr>
          <w:rFonts w:ascii="Arial" w:cs="Arial" w:eastAsia="Arial" w:hAnsi="Arial"/>
          <w:sz w:val="24"/>
          <w:szCs w:val="24"/>
          <w:color w:val="auto"/>
        </w:rPr>
      </w:pPr>
      <w:r>
        <w:rPr>
          <w:rFonts w:ascii="Arial" w:cs="Arial" w:eastAsia="Arial" w:hAnsi="Arial"/>
          <w:sz w:val="24"/>
          <w:szCs w:val="24"/>
          <w:color w:val="auto"/>
        </w:rPr>
        <w:t xml:space="preserve">DECRETO-LEI No 759, DE 12 DE AGOSTO DE 1969.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12 ago. 1969. Disponível em:</w:t>
      </w:r>
      <w:r>
        <w:rPr>
          <w:rFonts w:ascii="Arial" w:cs="Arial" w:eastAsia="Arial" w:hAnsi="Arial"/>
          <w:sz w:val="24"/>
          <w:szCs w:val="24"/>
          <w:b w:val="1"/>
          <w:bCs w:val="1"/>
          <w:color w:val="auto"/>
        </w:rPr>
        <w:t xml:space="preserve"> </w:t>
      </w:r>
      <w:hyperlink r:id="rId42">
        <w:r>
          <w:rPr>
            <w:rFonts w:ascii="Arial" w:cs="Arial" w:eastAsia="Arial" w:hAnsi="Arial"/>
            <w:sz w:val="24"/>
            <w:szCs w:val="24"/>
            <w:color w:val="auto"/>
          </w:rPr>
          <w:t xml:space="preserve">&lt;http://www.planalto.gov.br/ccivil_03/decreto-lei/del0759.htm&gt;. </w:t>
        </w:r>
      </w:hyperlink>
      <w:r>
        <w:rPr>
          <w:rFonts w:ascii="Arial" w:cs="Arial" w:eastAsia="Arial" w:hAnsi="Arial"/>
          <w:sz w:val="24"/>
          <w:szCs w:val="24"/>
          <w:color w:val="auto"/>
        </w:rPr>
        <w:t>Acesso em: 4 set. 2020. Citado 0 vezes nas páginas 13–15.</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-1067435</wp:posOffset>
                </wp:positionV>
                <wp:extent cx="607060" cy="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4.0499pt" to="60.75pt,-84.0499pt" o:allowincell="f" strokecolor="#000000" strokeweight="0.398pt"/>
            </w:pict>
          </mc:Fallback>
        </mc:AlternateContent>
      </w:r>
    </w:p>
    <w:p>
      <w:pPr>
        <w:spacing w:after="0" w:line="52" w:lineRule="exact"/>
        <w:rPr>
          <w:rFonts w:ascii="Arial" w:cs="Arial" w:eastAsia="Arial" w:hAnsi="Arial"/>
          <w:sz w:val="24"/>
          <w:szCs w:val="24"/>
          <w:color w:val="auto"/>
        </w:rPr>
      </w:pPr>
    </w:p>
    <w:p>
      <w:pPr>
        <w:ind w:left="240" w:right="60" w:firstLine="975"/>
        <w:spacing w:after="0" w:line="421" w:lineRule="auto"/>
        <w:tabs>
          <w:tab w:leader="none" w:pos="1357" w:val="left"/>
        </w:tabs>
        <w:numPr>
          <w:ilvl w:val="0"/>
          <w:numId w:val="35"/>
        </w:numPr>
        <w:rPr>
          <w:rFonts w:ascii="Arial" w:cs="Arial" w:eastAsia="Arial" w:hAnsi="Arial"/>
          <w:sz w:val="24"/>
          <w:szCs w:val="24"/>
          <w:color w:val="auto"/>
        </w:rPr>
      </w:pPr>
      <w:r>
        <w:rPr>
          <w:rFonts w:ascii="Arial" w:cs="Arial" w:eastAsia="Arial" w:hAnsi="Arial"/>
          <w:sz w:val="24"/>
          <w:szCs w:val="24"/>
          <w:color w:val="auto"/>
        </w:rPr>
        <w:t xml:space="preserve">Lei no 4.595, de 31 de dezembro de 1964.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31 dez. 1964. Disponível em:</w:t>
      </w:r>
      <w:r>
        <w:rPr>
          <w:rFonts w:ascii="Arial" w:cs="Arial" w:eastAsia="Arial" w:hAnsi="Arial"/>
          <w:sz w:val="24"/>
          <w:szCs w:val="24"/>
          <w:b w:val="1"/>
          <w:bCs w:val="1"/>
          <w:color w:val="auto"/>
        </w:rPr>
        <w:t xml:space="preserve"> </w:t>
      </w:r>
      <w:hyperlink r:id="rId43">
        <w:r>
          <w:rPr>
            <w:rFonts w:ascii="Arial" w:cs="Arial" w:eastAsia="Arial" w:hAnsi="Arial"/>
            <w:sz w:val="24"/>
            <w:szCs w:val="24"/>
            <w:color w:val="auto"/>
          </w:rPr>
          <w:t xml:space="preserve">&lt;http://www.planalto.gov.br/ccivil_03/leis/L4595.htm&gt;. </w:t>
        </w:r>
      </w:hyperlink>
      <w:r>
        <w:rPr>
          <w:rFonts w:ascii="Arial" w:cs="Arial" w:eastAsia="Arial" w:hAnsi="Arial"/>
          <w:sz w:val="24"/>
          <w:szCs w:val="24"/>
          <w:color w:val="auto"/>
        </w:rPr>
        <w:t>Acesso em: 4 set. 2020. Citado 0 vezes nas páginas 13, 14.</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-1067435</wp:posOffset>
                </wp:positionV>
                <wp:extent cx="607060" cy="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4.0499pt" to="60.75pt,-84.0499pt" o:allowincell="f" strokecolor="#000000" strokeweight="0.398pt"/>
            </w:pict>
          </mc:Fallback>
        </mc:AlternateContent>
      </w:r>
    </w:p>
    <w:p>
      <w:pPr>
        <w:spacing w:after="0" w:line="53" w:lineRule="exact"/>
        <w:rPr>
          <w:rFonts w:ascii="Arial" w:cs="Arial" w:eastAsia="Arial" w:hAnsi="Arial"/>
          <w:sz w:val="24"/>
          <w:szCs w:val="24"/>
          <w:color w:val="auto"/>
        </w:rPr>
      </w:pPr>
    </w:p>
    <w:p>
      <w:pPr>
        <w:ind w:left="260" w:right="600"/>
        <w:spacing w:after="0" w:line="423" w:lineRule="auto"/>
        <w:rPr>
          <w:sz w:val="20"/>
          <w:szCs w:val="20"/>
          <w:color w:val="auto"/>
        </w:rPr>
      </w:pPr>
      <w:r>
        <w:rPr>
          <w:rFonts w:ascii="Arial" w:cs="Arial" w:eastAsia="Arial" w:hAnsi="Arial"/>
          <w:sz w:val="24"/>
          <w:szCs w:val="24"/>
          <w:color w:val="auto"/>
        </w:rPr>
        <w:t xml:space="preserve">BROCK, Philip L.; ROJAS SUAREZ, Liliana. Understanding the behavior of bank spreads in Latin America. </w:t>
      </w:r>
      <w:r>
        <w:rPr>
          <w:rFonts w:ascii="Arial" w:cs="Arial" w:eastAsia="Arial" w:hAnsi="Arial"/>
          <w:sz w:val="24"/>
          <w:szCs w:val="24"/>
          <w:b w:val="1"/>
          <w:bCs w:val="1"/>
          <w:color w:val="auto"/>
        </w:rPr>
        <w:t>Journal of Development Economics</w:t>
      </w:r>
      <w:r>
        <w:rPr>
          <w:rFonts w:ascii="Arial" w:cs="Arial" w:eastAsia="Arial" w:hAnsi="Arial"/>
          <w:sz w:val="24"/>
          <w:szCs w:val="24"/>
          <w:color w:val="auto"/>
        </w:rPr>
        <w:t>, v. 63, n. 1, p. 113–134, 2000. Disponível em:</w:t>
      </w:r>
    </w:p>
    <w:p>
      <w:pPr>
        <w:sectPr>
          <w:pgSz w:w="11900" w:h="16838" w:orient="portrait"/>
          <w:cols w:equalWidth="0" w:num="1">
            <w:col w:w="9380"/>
          </w:cols>
          <w:pgMar w:left="1440" w:top="991" w:right="1086" w:bottom="569" w:gutter="0" w:footer="0" w:header="0"/>
        </w:sectPr>
      </w:pPr>
    </w:p>
    <w:p>
      <w:pPr>
        <w:ind w:left="9060"/>
        <w:spacing w:after="0"/>
        <w:rPr>
          <w:sz w:val="20"/>
          <w:szCs w:val="20"/>
          <w:color w:val="auto"/>
        </w:rPr>
      </w:pPr>
      <w:r>
        <w:rPr>
          <w:rFonts w:ascii="Arial" w:cs="Arial" w:eastAsia="Arial" w:hAnsi="Arial"/>
          <w:sz w:val="24"/>
          <w:szCs w:val="24"/>
          <w:color w:val="auto"/>
        </w:rPr>
        <w:t>68</w:t>
      </w:r>
    </w:p>
    <w:p>
      <w:pPr>
        <w:spacing w:after="0" w:line="200" w:lineRule="exact"/>
        <w:rPr>
          <w:sz w:val="20"/>
          <w:szCs w:val="20"/>
          <w:color w:val="auto"/>
        </w:rPr>
      </w:pPr>
    </w:p>
    <w:p>
      <w:pPr>
        <w:spacing w:after="0" w:line="246" w:lineRule="exact"/>
        <w:rPr>
          <w:sz w:val="20"/>
          <w:szCs w:val="20"/>
          <w:color w:val="auto"/>
        </w:rPr>
      </w:pPr>
    </w:p>
    <w:p>
      <w:pPr>
        <w:ind w:left="260" w:right="40" w:hanging="27"/>
        <w:spacing w:after="0" w:line="431" w:lineRule="auto"/>
        <w:rPr>
          <w:rFonts w:ascii="Arial" w:cs="Arial" w:eastAsia="Arial" w:hAnsi="Arial"/>
          <w:sz w:val="24"/>
          <w:szCs w:val="24"/>
          <w:color w:val="auto"/>
        </w:rPr>
      </w:pPr>
      <w:hyperlink r:id="rId44">
        <w:r>
          <w:rPr>
            <w:rFonts w:ascii="Arial" w:cs="Arial" w:eastAsia="Arial" w:hAnsi="Arial"/>
            <w:sz w:val="24"/>
            <w:szCs w:val="24"/>
            <w:color w:val="auto"/>
          </w:rPr>
          <w:t xml:space="preserve">&lt;https://EconPapers.repec.org/RePEc:eee:deveco:v:63:y:2000:i:1:p:113-134&gt;. </w:t>
        </w:r>
      </w:hyperlink>
      <w:r>
        <w:rPr>
          <w:rFonts w:ascii="Arial" w:cs="Arial" w:eastAsia="Arial" w:hAnsi="Arial"/>
          <w:sz w:val="24"/>
          <w:szCs w:val="24"/>
          <w:color w:val="auto"/>
        </w:rPr>
        <w:t>Citado 0 vezes nas páginas 33, 34.</w:t>
      </w:r>
    </w:p>
    <w:p>
      <w:pPr>
        <w:spacing w:after="0" w:line="61" w:lineRule="exact"/>
        <w:rPr>
          <w:sz w:val="20"/>
          <w:szCs w:val="20"/>
          <w:color w:val="auto"/>
        </w:rPr>
      </w:pPr>
    </w:p>
    <w:p>
      <w:pPr>
        <w:ind w:left="260" w:right="260"/>
        <w:spacing w:after="0" w:line="461" w:lineRule="auto"/>
        <w:rPr>
          <w:sz w:val="20"/>
          <w:szCs w:val="20"/>
          <w:color w:val="auto"/>
        </w:rPr>
      </w:pPr>
      <w:r>
        <w:rPr>
          <w:rFonts w:ascii="Arial" w:cs="Arial" w:eastAsia="Arial" w:hAnsi="Arial"/>
          <w:sz w:val="23"/>
          <w:szCs w:val="23"/>
          <w:color w:val="auto"/>
        </w:rPr>
        <w:t xml:space="preserve">CAMARGO, Patrícia Olga. </w:t>
      </w:r>
      <w:r>
        <w:rPr>
          <w:rFonts w:ascii="Arial" w:cs="Arial" w:eastAsia="Arial" w:hAnsi="Arial"/>
          <w:sz w:val="23"/>
          <w:szCs w:val="23"/>
          <w:b w:val="1"/>
          <w:bCs w:val="1"/>
          <w:color w:val="auto"/>
        </w:rPr>
        <w:t>A evolução recente do setor bancário no Brasik</w:t>
      </w:r>
      <w:r>
        <w:rPr>
          <w:rFonts w:ascii="Arial" w:cs="Arial" w:eastAsia="Arial" w:hAnsi="Arial"/>
          <w:sz w:val="23"/>
          <w:szCs w:val="23"/>
          <w:color w:val="auto"/>
        </w:rPr>
        <w:t>. São Paulo: Cultura Acadêmica, 2009. Citado 0 vezes nas páginas 6, 11, 12, 15, 17–19.</w:t>
      </w:r>
    </w:p>
    <w:p>
      <w:pPr>
        <w:spacing w:after="0" w:line="37" w:lineRule="exact"/>
        <w:rPr>
          <w:sz w:val="20"/>
          <w:szCs w:val="20"/>
          <w:color w:val="auto"/>
        </w:rPr>
      </w:pPr>
    </w:p>
    <w:p>
      <w:pPr>
        <w:ind w:left="260" w:right="40" w:firstLine="6"/>
        <w:spacing w:after="0" w:line="421" w:lineRule="auto"/>
        <w:rPr>
          <w:sz w:val="20"/>
          <w:szCs w:val="20"/>
          <w:color w:val="auto"/>
        </w:rPr>
      </w:pPr>
      <w:r>
        <w:rPr>
          <w:rFonts w:ascii="Arial" w:cs="Arial" w:eastAsia="Arial" w:hAnsi="Arial"/>
          <w:sz w:val="24"/>
          <w:szCs w:val="24"/>
          <w:color w:val="auto"/>
        </w:rPr>
        <w:t xml:space="preserve">CAMPELLO, Mauro Luiz Costa; BRUNSTEIN, Israel. UMA ANÁLISE DA COMPETITIVIDADE DOS BANCOS DE VAREJO NO BRASIL. </w:t>
      </w:r>
      <w:r>
        <w:rPr>
          <w:rFonts w:ascii="Arial" w:cs="Arial" w:eastAsia="Arial" w:hAnsi="Arial"/>
          <w:sz w:val="24"/>
          <w:szCs w:val="24"/>
          <w:b w:val="1"/>
          <w:bCs w:val="1"/>
          <w:color w:val="auto"/>
        </w:rPr>
        <w:t>REVISTA GESTÃO DA PRODUÇÃO OPERAÇÕES E SISTEMAS</w:t>
      </w:r>
      <w:r>
        <w:rPr>
          <w:rFonts w:ascii="Arial" w:cs="Arial" w:eastAsia="Arial" w:hAnsi="Arial"/>
          <w:sz w:val="24"/>
          <w:szCs w:val="24"/>
          <w:color w:val="auto"/>
        </w:rPr>
        <w:t>, Unesp, v. 1, n. 1, p. 83–99, 2005. Citado 0</w:t>
      </w:r>
      <w:r>
        <w:rPr>
          <w:rFonts w:ascii="Arial" w:cs="Arial" w:eastAsia="Arial" w:hAnsi="Arial"/>
          <w:sz w:val="24"/>
          <w:szCs w:val="24"/>
          <w:b w:val="1"/>
          <w:bCs w:val="1"/>
          <w:color w:val="auto"/>
        </w:rPr>
        <w:t xml:space="preserve"> </w:t>
      </w:r>
      <w:r>
        <w:rPr>
          <w:rFonts w:ascii="Arial" w:cs="Arial" w:eastAsia="Arial" w:hAnsi="Arial"/>
          <w:sz w:val="24"/>
          <w:szCs w:val="24"/>
          <w:color w:val="auto"/>
        </w:rPr>
        <w:t>vez na página 5.</w:t>
      </w:r>
    </w:p>
    <w:p>
      <w:pPr>
        <w:spacing w:after="0" w:line="72" w:lineRule="exact"/>
        <w:rPr>
          <w:sz w:val="20"/>
          <w:szCs w:val="20"/>
          <w:color w:val="auto"/>
        </w:rPr>
      </w:pPr>
    </w:p>
    <w:p>
      <w:pPr>
        <w:ind w:left="260" w:right="20"/>
        <w:spacing w:after="0" w:line="423" w:lineRule="auto"/>
        <w:rPr>
          <w:sz w:val="20"/>
          <w:szCs w:val="20"/>
          <w:color w:val="auto"/>
        </w:rPr>
      </w:pPr>
      <w:r>
        <w:rPr>
          <w:rFonts w:ascii="Arial" w:cs="Arial" w:eastAsia="Arial" w:hAnsi="Arial"/>
          <w:sz w:val="24"/>
          <w:szCs w:val="24"/>
          <w:color w:val="auto"/>
        </w:rPr>
        <w:t>CARDOSO, Renato Fragelli; KOYAM, Sérgio Mikioa. A CUNHA FISCAL SOBRE A INTERMEDIAÇÃO FINANCEIRA. In: [s.l.]: Banco Central do Brasil, 1999. P. 129–158. Citado 0 vez na página 50.</w:t>
      </w:r>
    </w:p>
    <w:p>
      <w:pPr>
        <w:spacing w:after="0" w:line="71" w:lineRule="exact"/>
        <w:rPr>
          <w:sz w:val="20"/>
          <w:szCs w:val="20"/>
          <w:color w:val="auto"/>
        </w:rPr>
      </w:pPr>
    </w:p>
    <w:p>
      <w:pPr>
        <w:ind w:left="260"/>
        <w:spacing w:after="0"/>
        <w:rPr>
          <w:sz w:val="20"/>
          <w:szCs w:val="20"/>
          <w:color w:val="auto"/>
        </w:rPr>
      </w:pPr>
      <w:r>
        <w:rPr>
          <w:rFonts w:ascii="Arial" w:cs="Arial" w:eastAsia="Arial" w:hAnsi="Arial"/>
          <w:sz w:val="24"/>
          <w:szCs w:val="24"/>
          <w:color w:val="auto"/>
        </w:rPr>
        <w:t xml:space="preserve">CMN. Resolução CMN 2.624, de 1999. </w:t>
      </w:r>
      <w:r>
        <w:rPr>
          <w:rFonts w:ascii="Arial" w:cs="Arial" w:eastAsia="Arial" w:hAnsi="Arial"/>
          <w:sz w:val="24"/>
          <w:szCs w:val="24"/>
          <w:b w:val="1"/>
          <w:bCs w:val="1"/>
          <w:color w:val="auto"/>
        </w:rPr>
        <w:t>Diário Oficial da República Federativa do</w:t>
      </w:r>
    </w:p>
    <w:p>
      <w:pPr>
        <w:spacing w:after="0" w:line="202"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Brasil</w:t>
      </w:r>
      <w:r>
        <w:rPr>
          <w:rFonts w:ascii="Arial" w:cs="Arial" w:eastAsia="Arial" w:hAnsi="Arial"/>
          <w:sz w:val="24"/>
          <w:szCs w:val="24"/>
          <w:color w:val="auto"/>
        </w:rPr>
        <w:t>, Brasília, DF, 29 jul. 1999. Disponível em:</w:t>
      </w:r>
    </w:p>
    <w:p>
      <w:pPr>
        <w:spacing w:after="0" w:line="203" w:lineRule="exact"/>
        <w:rPr>
          <w:sz w:val="20"/>
          <w:szCs w:val="20"/>
          <w:color w:val="auto"/>
        </w:rPr>
      </w:pPr>
    </w:p>
    <w:p>
      <w:pPr>
        <w:ind w:left="260" w:right="60" w:hanging="20"/>
        <w:spacing w:after="0" w:line="423" w:lineRule="auto"/>
        <w:rPr>
          <w:rFonts w:ascii="Arial" w:cs="Arial" w:eastAsia="Arial" w:hAnsi="Arial"/>
          <w:sz w:val="24"/>
          <w:szCs w:val="24"/>
          <w:color w:val="auto"/>
        </w:rPr>
      </w:pPr>
      <w:hyperlink r:id="rId45">
        <w:r>
          <w:rPr>
            <w:rFonts w:ascii="Arial" w:cs="Arial" w:eastAsia="Arial" w:hAnsi="Arial"/>
            <w:sz w:val="24"/>
            <w:szCs w:val="24"/>
            <w:color w:val="auto"/>
          </w:rPr>
          <w:t>&lt;https://www.bcb.gov.br/pre/normativos/busca/downloadNormativo.asp?arquivo=</w:t>
        </w:r>
      </w:hyperlink>
      <w:r>
        <w:rPr>
          <w:rFonts w:ascii="Arial" w:cs="Arial" w:eastAsia="Arial" w:hAnsi="Arial"/>
          <w:sz w:val="24"/>
          <w:szCs w:val="24"/>
          <w:color w:val="auto"/>
        </w:rPr>
        <w:t xml:space="preserve"> </w:t>
      </w:r>
      <w:hyperlink r:id="rId45">
        <w:r>
          <w:rPr>
            <w:rFonts w:ascii="Arial" w:cs="Arial" w:eastAsia="Arial" w:hAnsi="Arial"/>
            <w:sz w:val="24"/>
            <w:szCs w:val="24"/>
            <w:color w:val="auto"/>
          </w:rPr>
          <w:t xml:space="preserve">/Lists/Normativos/Attachments/45083/Res_2624_v1_O.pdf&gt;. </w:t>
        </w:r>
      </w:hyperlink>
      <w:r>
        <w:rPr>
          <w:rFonts w:ascii="Arial" w:cs="Arial" w:eastAsia="Arial" w:hAnsi="Arial"/>
          <w:sz w:val="24"/>
          <w:szCs w:val="24"/>
          <w:color w:val="auto"/>
        </w:rPr>
        <w:t>Acesso em: 4 set. 2020. Citado 0 vezes nas páginas 13, 14.</w:t>
      </w:r>
    </w:p>
    <w:p>
      <w:pPr>
        <w:spacing w:after="0" w:line="71" w:lineRule="exact"/>
        <w:rPr>
          <w:sz w:val="20"/>
          <w:szCs w:val="20"/>
          <w:color w:val="auto"/>
        </w:rPr>
      </w:pPr>
    </w:p>
    <w:p>
      <w:pPr>
        <w:ind w:left="240" w:right="200" w:firstLine="975"/>
        <w:spacing w:after="0" w:line="421" w:lineRule="auto"/>
        <w:tabs>
          <w:tab w:leader="none" w:pos="1357" w:val="left"/>
        </w:tabs>
        <w:numPr>
          <w:ilvl w:val="0"/>
          <w:numId w:val="36"/>
        </w:numPr>
        <w:rPr>
          <w:rFonts w:ascii="Arial" w:cs="Arial" w:eastAsia="Arial" w:hAnsi="Arial"/>
          <w:sz w:val="24"/>
          <w:szCs w:val="24"/>
          <w:color w:val="auto"/>
        </w:rPr>
      </w:pPr>
      <w:r>
        <w:rPr>
          <w:rFonts w:ascii="Arial" w:cs="Arial" w:eastAsia="Arial" w:hAnsi="Arial"/>
          <w:sz w:val="24"/>
          <w:szCs w:val="24"/>
          <w:color w:val="auto"/>
        </w:rPr>
        <w:t xml:space="preserve">Resolução CMN 3.426, de 2006.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26 dez. 2006. Disponível em:</w:t>
      </w:r>
      <w:r>
        <w:rPr>
          <w:rFonts w:ascii="Arial" w:cs="Arial" w:eastAsia="Arial" w:hAnsi="Arial"/>
          <w:sz w:val="24"/>
          <w:szCs w:val="24"/>
          <w:b w:val="1"/>
          <w:bCs w:val="1"/>
          <w:color w:val="auto"/>
        </w:rPr>
        <w:t xml:space="preserve"> </w:t>
      </w:r>
      <w:hyperlink r:id="rId46">
        <w:r>
          <w:rPr>
            <w:rFonts w:ascii="Arial" w:cs="Arial" w:eastAsia="Arial" w:hAnsi="Arial"/>
            <w:sz w:val="24"/>
            <w:szCs w:val="24"/>
            <w:color w:val="auto"/>
          </w:rPr>
          <w:t xml:space="preserve">&lt;https://www.bcb.gov.br/pre/normativos/res/1976/pdf/res_0394_v13_P.pdf&gt;. </w:t>
        </w:r>
      </w:hyperlink>
      <w:r>
        <w:rPr>
          <w:rFonts w:ascii="Arial" w:cs="Arial" w:eastAsia="Arial" w:hAnsi="Arial"/>
          <w:sz w:val="24"/>
          <w:szCs w:val="24"/>
          <w:color w:val="auto"/>
        </w:rPr>
        <w:t>Acesso em: 4 set. 2020. Citado 0 vezes nas páginas 13–15.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-1067435</wp:posOffset>
                </wp:positionV>
                <wp:extent cx="607060" cy="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4.0499pt" to="60.75pt,-84.0499pt" o:allowincell="f" strokecolor="#000000" strokeweight="0.398pt"/>
            </w:pict>
          </mc:Fallback>
        </mc:AlternateContent>
      </w:r>
    </w:p>
    <w:p>
      <w:pPr>
        <w:spacing w:after="0" w:line="52" w:lineRule="exact"/>
        <w:rPr>
          <w:sz w:val="20"/>
          <w:szCs w:val="20"/>
          <w:color w:val="auto"/>
        </w:rPr>
      </w:pPr>
    </w:p>
    <w:p>
      <w:pPr>
        <w:ind w:left="240" w:right="40" w:firstLine="975"/>
        <w:spacing w:after="0" w:line="421" w:lineRule="auto"/>
        <w:tabs>
          <w:tab w:leader="none" w:pos="1357" w:val="left"/>
        </w:tabs>
        <w:numPr>
          <w:ilvl w:val="0"/>
          <w:numId w:val="37"/>
        </w:numPr>
        <w:rPr>
          <w:rFonts w:ascii="Arial" w:cs="Arial" w:eastAsia="Arial" w:hAnsi="Arial"/>
          <w:sz w:val="24"/>
          <w:szCs w:val="24"/>
          <w:color w:val="auto"/>
        </w:rPr>
      </w:pPr>
      <w:r>
        <w:rPr>
          <w:rFonts w:ascii="Arial" w:cs="Arial" w:eastAsia="Arial" w:hAnsi="Arial"/>
          <w:sz w:val="24"/>
          <w:szCs w:val="24"/>
          <w:color w:val="auto"/>
        </w:rPr>
        <w:t xml:space="preserve">Resolução CMN 394, de 1976.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20 out. 1976. Disponível em:</w:t>
      </w:r>
      <w:r>
        <w:rPr>
          <w:rFonts w:ascii="Arial" w:cs="Arial" w:eastAsia="Arial" w:hAnsi="Arial"/>
          <w:sz w:val="24"/>
          <w:szCs w:val="24"/>
          <w:b w:val="1"/>
          <w:bCs w:val="1"/>
          <w:color w:val="auto"/>
        </w:rPr>
        <w:t xml:space="preserve"> </w:t>
      </w:r>
      <w:hyperlink r:id="rId46">
        <w:r>
          <w:rPr>
            <w:rFonts w:ascii="Arial" w:cs="Arial" w:eastAsia="Arial" w:hAnsi="Arial"/>
            <w:sz w:val="24"/>
            <w:szCs w:val="24"/>
            <w:color w:val="auto"/>
          </w:rPr>
          <w:t xml:space="preserve">&lt;https://www.bcb.gov.br/pre/normativos/res/1976/pdf/res_0394_v13_P.pdf&gt;. </w:t>
        </w:r>
      </w:hyperlink>
      <w:r>
        <w:rPr>
          <w:rFonts w:ascii="Arial" w:cs="Arial" w:eastAsia="Arial" w:hAnsi="Arial"/>
          <w:sz w:val="24"/>
          <w:szCs w:val="24"/>
          <w:color w:val="auto"/>
        </w:rPr>
        <w:t>Acesso em: 4 set. 2020. Citado 0 vezes nas páginas 13, 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-1067435</wp:posOffset>
                </wp:positionV>
                <wp:extent cx="607060" cy="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4.0499pt" to="60.75pt,-84.0499pt" o:allowincell="f" strokecolor="#000000" strokeweight="0.398pt"/>
            </w:pict>
          </mc:Fallback>
        </mc:AlternateContent>
      </w:r>
    </w:p>
    <w:p>
      <w:pPr>
        <w:spacing w:after="0" w:line="52" w:lineRule="exact"/>
        <w:rPr>
          <w:sz w:val="20"/>
          <w:szCs w:val="20"/>
          <w:color w:val="auto"/>
        </w:rPr>
      </w:pPr>
    </w:p>
    <w:p>
      <w:pPr>
        <w:ind w:left="240" w:firstLine="975"/>
        <w:spacing w:after="0" w:line="421" w:lineRule="auto"/>
        <w:tabs>
          <w:tab w:leader="none" w:pos="1357" w:val="left"/>
        </w:tabs>
        <w:numPr>
          <w:ilvl w:val="0"/>
          <w:numId w:val="38"/>
        </w:numPr>
        <w:rPr>
          <w:rFonts w:ascii="Arial" w:cs="Arial" w:eastAsia="Arial" w:hAnsi="Arial"/>
          <w:sz w:val="24"/>
          <w:szCs w:val="24"/>
          <w:color w:val="auto"/>
        </w:rPr>
      </w:pPr>
      <w:r>
        <w:rPr>
          <w:rFonts w:ascii="Arial" w:cs="Arial" w:eastAsia="Arial" w:hAnsi="Arial"/>
          <w:sz w:val="24"/>
          <w:szCs w:val="24"/>
          <w:color w:val="auto"/>
        </w:rPr>
        <w:t xml:space="preserve">Resolução Nº 1.524 de 1988.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24 set. 1988. Disponível em:</w:t>
      </w:r>
      <w:r>
        <w:rPr>
          <w:rFonts w:ascii="Arial" w:cs="Arial" w:eastAsia="Arial" w:hAnsi="Arial"/>
          <w:sz w:val="24"/>
          <w:szCs w:val="24"/>
          <w:b w:val="1"/>
          <w:bCs w:val="1"/>
          <w:color w:val="auto"/>
        </w:rPr>
        <w:t xml:space="preserve"> </w:t>
      </w:r>
      <w:hyperlink r:id="rId47">
        <w:r>
          <w:rPr>
            <w:rFonts w:ascii="Arial" w:cs="Arial" w:eastAsia="Arial" w:hAnsi="Arial"/>
            <w:sz w:val="24"/>
            <w:szCs w:val="24"/>
            <w:color w:val="auto"/>
          </w:rPr>
          <w:t xml:space="preserve">&lt;https://www.bcb.gov.br/pre/normativos/res/1988/pdf/res_1524_v8_P.pdf&gt;. </w:t>
        </w:r>
      </w:hyperlink>
      <w:r>
        <w:rPr>
          <w:rFonts w:ascii="Arial" w:cs="Arial" w:eastAsia="Arial" w:hAnsi="Arial"/>
          <w:sz w:val="24"/>
          <w:szCs w:val="24"/>
          <w:color w:val="auto"/>
        </w:rPr>
        <w:t>Acesso em: 24 fev. 2017. Citado 0 vez na página 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-1067435</wp:posOffset>
                </wp:positionV>
                <wp:extent cx="607060" cy="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84.0499pt" to="60.75pt,-84.0499pt" o:allowincell="f" strokecolor="#000000" strokeweight="0.398pt"/>
            </w:pict>
          </mc:Fallback>
        </mc:AlternateContent>
      </w:r>
    </w:p>
    <w:p>
      <w:pPr>
        <w:sectPr>
          <w:pgSz w:w="11900" w:h="16838" w:orient="portrait"/>
          <w:cols w:equalWidth="0" w:num="1">
            <w:col w:w="9360"/>
          </w:cols>
          <w:pgMar w:left="1440" w:top="991" w:right="1106" w:bottom="474" w:gutter="0" w:footer="0" w:header="0"/>
        </w:sectPr>
      </w:pPr>
    </w:p>
    <w:p>
      <w:pPr>
        <w:ind w:left="9060"/>
        <w:spacing w:after="0"/>
        <w:rPr>
          <w:sz w:val="20"/>
          <w:szCs w:val="20"/>
          <w:color w:val="auto"/>
        </w:rPr>
      </w:pPr>
      <w:r>
        <w:rPr>
          <w:rFonts w:ascii="Arial" w:cs="Arial" w:eastAsia="Arial" w:hAnsi="Arial"/>
          <w:sz w:val="24"/>
          <w:szCs w:val="24"/>
          <w:color w:val="auto"/>
        </w:rPr>
        <w:t>69</w:t>
      </w:r>
    </w:p>
    <w:p>
      <w:pPr>
        <w:spacing w:after="0" w:line="200" w:lineRule="exact"/>
        <w:rPr>
          <w:sz w:val="20"/>
          <w:szCs w:val="20"/>
          <w:color w:val="auto"/>
        </w:rPr>
      </w:pPr>
    </w:p>
    <w:p>
      <w:pPr>
        <w:spacing w:after="0" w:line="245" w:lineRule="exact"/>
        <w:rPr>
          <w:sz w:val="20"/>
          <w:szCs w:val="20"/>
          <w:color w:val="auto"/>
        </w:rPr>
      </w:pPr>
    </w:p>
    <w:p>
      <w:pPr>
        <w:ind w:left="260"/>
        <w:spacing w:after="0"/>
        <w:rPr>
          <w:sz w:val="20"/>
          <w:szCs w:val="20"/>
          <w:color w:val="auto"/>
        </w:rPr>
      </w:pPr>
      <w:r>
        <w:rPr>
          <w:rFonts w:ascii="Arial" w:cs="Arial" w:eastAsia="Arial" w:hAnsi="Arial"/>
          <w:sz w:val="23"/>
          <w:szCs w:val="23"/>
          <w:color w:val="auto"/>
        </w:rPr>
        <w:t xml:space="preserve">CMN. Resolução no 2.099. </w:t>
      </w:r>
      <w:r>
        <w:rPr>
          <w:rFonts w:ascii="Arial" w:cs="Arial" w:eastAsia="Arial" w:hAnsi="Arial"/>
          <w:sz w:val="23"/>
          <w:szCs w:val="23"/>
          <w:b w:val="1"/>
          <w:bCs w:val="1"/>
          <w:color w:val="auto"/>
        </w:rPr>
        <w:t>Diário Oficial da República Federativa do Brasil</w:t>
      </w:r>
      <w:r>
        <w:rPr>
          <w:rFonts w:ascii="Arial" w:cs="Arial" w:eastAsia="Arial" w:hAnsi="Arial"/>
          <w:sz w:val="23"/>
          <w:szCs w:val="23"/>
          <w:color w:val="auto"/>
        </w:rPr>
        <w:t>, Brasília</w:t>
      </w:r>
    </w:p>
    <w:p>
      <w:pPr>
        <w:spacing w:after="0" w:line="214" w:lineRule="exact"/>
        <w:rPr>
          <w:sz w:val="20"/>
          <w:szCs w:val="20"/>
          <w:color w:val="auto"/>
        </w:rPr>
      </w:pPr>
    </w:p>
    <w:p>
      <w:pPr>
        <w:ind w:left="260"/>
        <w:spacing w:after="0"/>
        <w:rPr>
          <w:sz w:val="20"/>
          <w:szCs w:val="20"/>
          <w:color w:val="auto"/>
        </w:rPr>
      </w:pPr>
      <w:r>
        <w:rPr>
          <w:rFonts w:ascii="Arial" w:cs="Arial" w:eastAsia="Arial" w:hAnsi="Arial"/>
          <w:sz w:val="24"/>
          <w:szCs w:val="24"/>
          <w:color w:val="auto"/>
        </w:rPr>
        <w:t>DF, 17 ago. 1994. Disponível em:</w:t>
      </w:r>
    </w:p>
    <w:p>
      <w:pPr>
        <w:spacing w:after="0" w:line="202" w:lineRule="exact"/>
        <w:rPr>
          <w:sz w:val="20"/>
          <w:szCs w:val="20"/>
          <w:color w:val="auto"/>
        </w:rPr>
      </w:pPr>
    </w:p>
    <w:p>
      <w:pPr>
        <w:ind w:left="240"/>
        <w:spacing w:after="0"/>
        <w:rPr>
          <w:rFonts w:ascii="Arial" w:cs="Arial" w:eastAsia="Arial" w:hAnsi="Arial"/>
          <w:sz w:val="23"/>
          <w:szCs w:val="23"/>
          <w:color w:val="auto"/>
        </w:rPr>
      </w:pPr>
      <w:hyperlink r:id="rId48">
        <w:r>
          <w:rPr>
            <w:rFonts w:ascii="Arial" w:cs="Arial" w:eastAsia="Arial" w:hAnsi="Arial"/>
            <w:sz w:val="23"/>
            <w:szCs w:val="23"/>
            <w:color w:val="auto"/>
          </w:rPr>
          <w:t xml:space="preserve">&lt;https://www.bcb.gov.br/pre/normativos/res/1994/pdf/res_2099_v1_O.pdf&gt;. </w:t>
        </w:r>
      </w:hyperlink>
      <w:r>
        <w:rPr>
          <w:rFonts w:ascii="Arial" w:cs="Arial" w:eastAsia="Arial" w:hAnsi="Arial"/>
          <w:sz w:val="23"/>
          <w:szCs w:val="23"/>
          <w:color w:val="auto"/>
        </w:rPr>
        <w:t>Acesso em:</w:t>
      </w:r>
    </w:p>
    <w:p>
      <w:pPr>
        <w:spacing w:after="0" w:line="214" w:lineRule="exact"/>
        <w:rPr>
          <w:sz w:val="20"/>
          <w:szCs w:val="20"/>
          <w:color w:val="auto"/>
        </w:rPr>
      </w:pPr>
    </w:p>
    <w:p>
      <w:pPr>
        <w:ind w:left="260"/>
        <w:spacing w:after="0"/>
        <w:rPr>
          <w:sz w:val="20"/>
          <w:szCs w:val="20"/>
          <w:color w:val="auto"/>
        </w:rPr>
      </w:pPr>
      <w:r>
        <w:rPr>
          <w:rFonts w:ascii="Arial" w:cs="Arial" w:eastAsia="Arial" w:hAnsi="Arial"/>
          <w:sz w:val="24"/>
          <w:szCs w:val="24"/>
          <w:color w:val="auto"/>
        </w:rPr>
        <w:t>4 set. 2020. Citado 0 vezes nas páginas 13–15.</w:t>
      </w:r>
    </w:p>
    <w:p>
      <w:pPr>
        <w:spacing w:after="0" w:line="298" w:lineRule="exact"/>
        <w:rPr>
          <w:sz w:val="20"/>
          <w:szCs w:val="20"/>
          <w:color w:val="auto"/>
        </w:rPr>
      </w:pPr>
    </w:p>
    <w:p>
      <w:pPr>
        <w:ind w:left="260"/>
        <w:spacing w:after="0"/>
        <w:rPr>
          <w:sz w:val="20"/>
          <w:szCs w:val="20"/>
          <w:color w:val="auto"/>
        </w:rPr>
      </w:pPr>
      <w:r>
        <w:rPr>
          <w:rFonts w:ascii="Arial" w:cs="Arial" w:eastAsia="Arial" w:hAnsi="Arial"/>
          <w:sz w:val="23"/>
          <w:szCs w:val="23"/>
          <w:color w:val="auto"/>
        </w:rPr>
        <w:t xml:space="preserve">CÓRDOBA, Miguel. </w:t>
      </w:r>
      <w:r>
        <w:rPr>
          <w:rFonts w:ascii="Arial" w:cs="Arial" w:eastAsia="Arial" w:hAnsi="Arial"/>
          <w:sz w:val="23"/>
          <w:szCs w:val="23"/>
          <w:b w:val="1"/>
          <w:bCs w:val="1"/>
          <w:color w:val="auto"/>
        </w:rPr>
        <w:t>Análisis Financiero de los Mercados Monetarios y de Valores</w:t>
      </w:r>
      <w:r>
        <w:rPr>
          <w:rFonts w:ascii="Arial" w:cs="Arial" w:eastAsia="Arial" w:hAnsi="Arial"/>
          <w:sz w:val="23"/>
          <w:szCs w:val="23"/>
          <w:color w:val="auto"/>
        </w:rPr>
        <w:t>.</w:t>
      </w:r>
    </w:p>
    <w:p>
      <w:pPr>
        <w:spacing w:after="0" w:line="214" w:lineRule="exact"/>
        <w:rPr>
          <w:sz w:val="20"/>
          <w:szCs w:val="20"/>
          <w:color w:val="auto"/>
        </w:rPr>
      </w:pPr>
    </w:p>
    <w:p>
      <w:pPr>
        <w:ind w:left="260"/>
        <w:spacing w:after="0"/>
        <w:rPr>
          <w:sz w:val="20"/>
          <w:szCs w:val="20"/>
          <w:color w:val="auto"/>
        </w:rPr>
      </w:pPr>
      <w:r>
        <w:rPr>
          <w:rFonts w:ascii="Arial" w:cs="Arial" w:eastAsia="Arial" w:hAnsi="Arial"/>
          <w:sz w:val="24"/>
          <w:szCs w:val="24"/>
          <w:color w:val="auto"/>
        </w:rPr>
        <w:t>Madrid: Saraiva, 1996. Citado 0 vez na página 26.</w:t>
      </w:r>
    </w:p>
    <w:p>
      <w:pPr>
        <w:spacing w:after="0" w:line="298" w:lineRule="exact"/>
        <w:rPr>
          <w:sz w:val="20"/>
          <w:szCs w:val="20"/>
          <w:color w:val="auto"/>
        </w:rPr>
      </w:pPr>
    </w:p>
    <w:p>
      <w:pPr>
        <w:ind w:left="260" w:right="60"/>
        <w:spacing w:after="0" w:line="423" w:lineRule="auto"/>
        <w:rPr>
          <w:sz w:val="20"/>
          <w:szCs w:val="20"/>
          <w:color w:val="auto"/>
        </w:rPr>
      </w:pPr>
      <w:r>
        <w:rPr>
          <w:rFonts w:ascii="Arial" w:cs="Arial" w:eastAsia="Arial" w:hAnsi="Arial"/>
          <w:sz w:val="24"/>
          <w:szCs w:val="24"/>
          <w:color w:val="auto"/>
        </w:rPr>
        <w:t xml:space="preserve">COSTA, Ana Carla Abrão; NAKANE, Márcio I. Spread bancário no Brasil: dois esclarecimentos e duas constatações. </w:t>
      </w:r>
      <w:r>
        <w:rPr>
          <w:rFonts w:ascii="Arial" w:cs="Arial" w:eastAsia="Arial" w:hAnsi="Arial"/>
          <w:sz w:val="24"/>
          <w:szCs w:val="24"/>
          <w:b w:val="1"/>
          <w:bCs w:val="1"/>
          <w:color w:val="auto"/>
        </w:rPr>
        <w:t>Tecnologia de Crédito</w:t>
      </w:r>
      <w:r>
        <w:rPr>
          <w:rFonts w:ascii="Arial" w:cs="Arial" w:eastAsia="Arial" w:hAnsi="Arial"/>
          <w:sz w:val="24"/>
          <w:szCs w:val="24"/>
          <w:color w:val="auto"/>
        </w:rPr>
        <w:t>, 2004. Citado 0 vez na página 33.</w:t>
      </w:r>
    </w:p>
    <w:p>
      <w:pPr>
        <w:spacing w:after="0" w:line="71" w:lineRule="exact"/>
        <w:rPr>
          <w:sz w:val="20"/>
          <w:szCs w:val="20"/>
          <w:color w:val="auto"/>
        </w:rPr>
      </w:pPr>
    </w:p>
    <w:p>
      <w:pPr>
        <w:ind w:left="260" w:right="100"/>
        <w:spacing w:after="0" w:line="434" w:lineRule="auto"/>
        <w:rPr>
          <w:sz w:val="20"/>
          <w:szCs w:val="20"/>
          <w:color w:val="auto"/>
        </w:rPr>
      </w:pPr>
      <w:r>
        <w:rPr>
          <w:rFonts w:ascii="Arial" w:cs="Arial" w:eastAsia="Arial" w:hAnsi="Arial"/>
          <w:sz w:val="23"/>
          <w:szCs w:val="23"/>
          <w:color w:val="auto"/>
        </w:rPr>
        <w:t xml:space="preserve">COUTO, Rodrigo Luís Rosa. </w:t>
      </w:r>
      <w:r>
        <w:rPr>
          <w:rFonts w:ascii="Arial" w:cs="Arial" w:eastAsia="Arial" w:hAnsi="Arial"/>
          <w:sz w:val="23"/>
          <w:szCs w:val="23"/>
          <w:b w:val="1"/>
          <w:bCs w:val="1"/>
          <w:color w:val="auto"/>
        </w:rPr>
        <w:t>Metodologia de avaliação da capacidade de geração de resultados de instituições financeiras</w:t>
      </w:r>
      <w:r>
        <w:rPr>
          <w:rFonts w:ascii="Arial" w:cs="Arial" w:eastAsia="Arial" w:hAnsi="Arial"/>
          <w:sz w:val="23"/>
          <w:szCs w:val="23"/>
          <w:color w:val="auto"/>
        </w:rPr>
        <w:t>. [S.l.], 2002. (Notas Técnicas do Banco</w:t>
      </w:r>
    </w:p>
    <w:p>
      <w:pPr>
        <w:ind w:left="260" w:right="80" w:firstLine="7"/>
        <w:spacing w:after="0" w:line="447" w:lineRule="auto"/>
        <w:rPr>
          <w:rFonts w:ascii="Arial" w:cs="Arial" w:eastAsia="Arial" w:hAnsi="Arial"/>
          <w:sz w:val="23"/>
          <w:szCs w:val="23"/>
          <w:color w:val="auto"/>
        </w:rPr>
      </w:pPr>
      <w:r>
        <w:rPr>
          <w:rFonts w:ascii="Arial" w:cs="Arial" w:eastAsia="Arial" w:hAnsi="Arial"/>
          <w:sz w:val="23"/>
          <w:szCs w:val="23"/>
          <w:color w:val="auto"/>
        </w:rPr>
        <w:t xml:space="preserve">Central do Brasil). Disponível em: </w:t>
      </w:r>
      <w:hyperlink r:id="rId49">
        <w:r>
          <w:rPr>
            <w:rFonts w:ascii="Arial" w:cs="Arial" w:eastAsia="Arial" w:hAnsi="Arial"/>
            <w:sz w:val="23"/>
            <w:szCs w:val="23"/>
            <w:color w:val="auto"/>
          </w:rPr>
          <w:t>&lt;Dispon%C3%ADvel%20em%20%5Curl%7Bhttps:</w:t>
        </w:r>
      </w:hyperlink>
      <w:r>
        <w:rPr>
          <w:rFonts w:ascii="Arial" w:cs="Arial" w:eastAsia="Arial" w:hAnsi="Arial"/>
          <w:sz w:val="23"/>
          <w:szCs w:val="23"/>
          <w:color w:val="auto"/>
        </w:rPr>
        <w:t xml:space="preserve"> </w:t>
      </w:r>
      <w:hyperlink r:id="rId49">
        <w:r>
          <w:rPr>
            <w:rFonts w:ascii="Arial" w:cs="Arial" w:eastAsia="Arial" w:hAnsi="Arial"/>
            <w:sz w:val="23"/>
            <w:szCs w:val="23"/>
            <w:color w:val="auto"/>
          </w:rPr>
          <w:t>//www.bcb.gov.br/pec/notastecnicas/port/2002nt26avalgeracaoresultp.pdf%7D%</w:t>
        </w:r>
      </w:hyperlink>
      <w:r>
        <w:rPr>
          <w:rFonts w:ascii="Arial" w:cs="Arial" w:eastAsia="Arial" w:hAnsi="Arial"/>
          <w:sz w:val="23"/>
          <w:szCs w:val="23"/>
          <w:color w:val="auto"/>
        </w:rPr>
        <w:t xml:space="preserve"> </w:t>
      </w:r>
      <w:hyperlink r:id="rId49">
        <w:r>
          <w:rPr>
            <w:rFonts w:ascii="Arial" w:cs="Arial" w:eastAsia="Arial" w:hAnsi="Arial"/>
            <w:sz w:val="23"/>
            <w:szCs w:val="23"/>
            <w:color w:val="auto"/>
          </w:rPr>
          <w:t xml:space="preserve">20Acesso%20em:%2020/11/2020&gt;. </w:t>
        </w:r>
      </w:hyperlink>
      <w:r>
        <w:rPr>
          <w:rFonts w:ascii="Arial" w:cs="Arial" w:eastAsia="Arial" w:hAnsi="Arial"/>
          <w:sz w:val="23"/>
          <w:szCs w:val="23"/>
          <w:color w:val="auto"/>
        </w:rPr>
        <w:t>Citado 0 vez na página 10.</w:t>
      </w:r>
    </w:p>
    <w:p>
      <w:pPr>
        <w:spacing w:after="0" w:line="53" w:lineRule="exact"/>
        <w:rPr>
          <w:rFonts w:ascii="Arial" w:cs="Arial" w:eastAsia="Arial" w:hAnsi="Arial"/>
          <w:sz w:val="23"/>
          <w:szCs w:val="23"/>
          <w:color w:val="auto"/>
        </w:rPr>
      </w:pPr>
    </w:p>
    <w:p>
      <w:pPr>
        <w:ind w:left="260" w:right="20"/>
        <w:spacing w:after="0" w:line="447" w:lineRule="auto"/>
        <w:rPr>
          <w:sz w:val="20"/>
          <w:szCs w:val="20"/>
          <w:color w:val="auto"/>
        </w:rPr>
      </w:pPr>
      <w:r>
        <w:rPr>
          <w:rFonts w:ascii="Arial" w:cs="Arial" w:eastAsia="Arial" w:hAnsi="Arial"/>
          <w:sz w:val="23"/>
          <w:szCs w:val="23"/>
          <w:color w:val="auto"/>
        </w:rPr>
        <w:t xml:space="preserve">DANTAS, José A. Determinantes do spread bancário ex post no mercado brasileiro. </w:t>
      </w:r>
      <w:r>
        <w:rPr>
          <w:rFonts w:ascii="Arial" w:cs="Arial" w:eastAsia="Arial" w:hAnsi="Arial"/>
          <w:sz w:val="23"/>
          <w:szCs w:val="23"/>
          <w:b w:val="1"/>
          <w:bCs w:val="1"/>
          <w:color w:val="auto"/>
        </w:rPr>
        <w:t>REV. ADM. MACKENZIE</w:t>
      </w:r>
      <w:r>
        <w:rPr>
          <w:rFonts w:ascii="Arial" w:cs="Arial" w:eastAsia="Arial" w:hAnsi="Arial"/>
          <w:sz w:val="23"/>
          <w:szCs w:val="23"/>
          <w:color w:val="auto"/>
        </w:rPr>
        <w:t>, UNIVERSIDADE PRESBITERIANA MACKENZIE, v. 13, n. 4,</w:t>
      </w:r>
      <w:r>
        <w:rPr>
          <w:rFonts w:ascii="Arial" w:cs="Arial" w:eastAsia="Arial" w:hAnsi="Arial"/>
          <w:sz w:val="23"/>
          <w:szCs w:val="23"/>
          <w:b w:val="1"/>
          <w:bCs w:val="1"/>
          <w:color w:val="auto"/>
        </w:rPr>
        <w:t xml:space="preserve"> </w:t>
      </w:r>
      <w:r>
        <w:rPr>
          <w:rFonts w:ascii="Arial" w:cs="Arial" w:eastAsia="Arial" w:hAnsi="Arial"/>
          <w:sz w:val="23"/>
          <w:szCs w:val="23"/>
          <w:color w:val="auto"/>
        </w:rPr>
        <w:t>p. 48–74, 2012. Citado 0 vezes nas páginas 5, 6, 10, 17, 29–31, 33–35, 37, 41–43.</w:t>
      </w:r>
    </w:p>
    <w:p>
      <w:pPr>
        <w:spacing w:after="0" w:line="53" w:lineRule="exact"/>
        <w:rPr>
          <w:rFonts w:ascii="Arial" w:cs="Arial" w:eastAsia="Arial" w:hAnsi="Arial"/>
          <w:sz w:val="23"/>
          <w:szCs w:val="23"/>
          <w:color w:val="auto"/>
        </w:rPr>
      </w:pPr>
    </w:p>
    <w:p>
      <w:pPr>
        <w:ind w:left="260" w:right="540"/>
        <w:spacing w:after="0" w:line="415" w:lineRule="auto"/>
        <w:rPr>
          <w:rFonts w:ascii="Arial" w:cs="Arial" w:eastAsia="Arial" w:hAnsi="Arial"/>
          <w:sz w:val="24"/>
          <w:szCs w:val="24"/>
          <w:b w:val="1"/>
          <w:bCs w:val="1"/>
          <w:color w:val="auto"/>
        </w:rPr>
      </w:pPr>
      <w:r>
        <w:rPr>
          <w:rFonts w:ascii="Arial" w:cs="Arial" w:eastAsia="Arial" w:hAnsi="Arial"/>
          <w:sz w:val="24"/>
          <w:szCs w:val="24"/>
          <w:color w:val="auto"/>
        </w:rPr>
        <w:t xml:space="preserve">DEMIRGÜÇ-KUNT, Ash; HUIZINGAGA, Harry. Determinants of commercial bank interest margins and profitability: some international evidence. </w:t>
      </w:r>
      <w:r>
        <w:rPr>
          <w:rFonts w:ascii="Arial" w:cs="Arial" w:eastAsia="Arial" w:hAnsi="Arial"/>
          <w:sz w:val="24"/>
          <w:szCs w:val="24"/>
          <w:b w:val="1"/>
          <w:bCs w:val="1"/>
          <w:color w:val="auto"/>
        </w:rPr>
        <w:t>The World Bank Economic Review</w:t>
      </w:r>
      <w:r>
        <w:rPr>
          <w:rFonts w:ascii="Arial" w:cs="Arial" w:eastAsia="Arial" w:hAnsi="Arial"/>
          <w:sz w:val="24"/>
          <w:szCs w:val="24"/>
          <w:color w:val="auto"/>
        </w:rPr>
        <w:t xml:space="preserve">, v. 13, p. 379–408, 1 mai. 1999. Disponível em: </w:t>
      </w:r>
      <w:hyperlink r:id="rId50">
        <w:r>
          <w:rPr>
            <w:rFonts w:ascii="Arial" w:cs="Arial" w:eastAsia="Arial" w:hAnsi="Arial"/>
            <w:sz w:val="24"/>
            <w:szCs w:val="24"/>
            <w:color w:val="auto"/>
          </w:rPr>
          <w:t>&lt;https:</w:t>
        </w:r>
      </w:hyperlink>
    </w:p>
    <w:p>
      <w:pPr>
        <w:spacing w:after="0" w:line="3" w:lineRule="exact"/>
        <w:rPr>
          <w:rFonts w:ascii="Arial" w:cs="Arial" w:eastAsia="Arial" w:hAnsi="Arial"/>
          <w:sz w:val="23"/>
          <w:szCs w:val="23"/>
          <w:color w:val="auto"/>
        </w:rPr>
      </w:pPr>
    </w:p>
    <w:p>
      <w:pPr>
        <w:ind w:left="260"/>
        <w:spacing w:after="0"/>
        <w:rPr>
          <w:rFonts w:ascii="Arial" w:cs="Arial" w:eastAsia="Arial" w:hAnsi="Arial"/>
          <w:sz w:val="24"/>
          <w:szCs w:val="24"/>
          <w:color w:val="auto"/>
        </w:rPr>
      </w:pPr>
      <w:hyperlink r:id="rId50">
        <w:r>
          <w:rPr>
            <w:rFonts w:ascii="Arial" w:cs="Arial" w:eastAsia="Arial" w:hAnsi="Arial"/>
            <w:sz w:val="24"/>
            <w:szCs w:val="24"/>
            <w:color w:val="auto"/>
          </w:rPr>
          <w:t>//citeseerx.ist.psu.edu/viewdoc/download?doi=10.1.1.194.3108&amp;rep=rep1&amp;type=pdf&gt;.</w:t>
        </w:r>
      </w:hyperlink>
    </w:p>
    <w:p>
      <w:pPr>
        <w:spacing w:after="0" w:line="202" w:lineRule="exact"/>
        <w:rPr>
          <w:rFonts w:ascii="Arial" w:cs="Arial" w:eastAsia="Arial" w:hAnsi="Arial"/>
          <w:sz w:val="23"/>
          <w:szCs w:val="23"/>
          <w:color w:val="auto"/>
        </w:rPr>
      </w:pPr>
    </w:p>
    <w:p>
      <w:pPr>
        <w:ind w:left="260"/>
        <w:spacing w:after="0"/>
        <w:rPr>
          <w:sz w:val="20"/>
          <w:szCs w:val="20"/>
          <w:color w:val="auto"/>
        </w:rPr>
      </w:pPr>
      <w:r>
        <w:rPr>
          <w:rFonts w:ascii="Arial" w:cs="Arial" w:eastAsia="Arial" w:hAnsi="Arial"/>
          <w:sz w:val="24"/>
          <w:szCs w:val="24"/>
          <w:color w:val="auto"/>
        </w:rPr>
        <w:t>Acesso em: 8 set. 2020. Citado 0 vezes nas páginas 34, 35.</w:t>
      </w:r>
    </w:p>
    <w:p>
      <w:pPr>
        <w:spacing w:after="0" w:line="298" w:lineRule="exact"/>
        <w:rPr>
          <w:rFonts w:ascii="Arial" w:cs="Arial" w:eastAsia="Arial" w:hAnsi="Arial"/>
          <w:sz w:val="23"/>
          <w:szCs w:val="23"/>
          <w:color w:val="auto"/>
        </w:rPr>
      </w:pPr>
    </w:p>
    <w:p>
      <w:pPr>
        <w:ind w:left="260"/>
        <w:spacing w:after="0" w:line="423" w:lineRule="auto"/>
        <w:rPr>
          <w:sz w:val="20"/>
          <w:szCs w:val="20"/>
          <w:color w:val="auto"/>
        </w:rPr>
      </w:pPr>
      <w:r>
        <w:rPr>
          <w:rFonts w:ascii="Arial" w:cs="Arial" w:eastAsia="Arial" w:hAnsi="Arial"/>
          <w:sz w:val="24"/>
          <w:szCs w:val="24"/>
          <w:color w:val="auto"/>
        </w:rPr>
        <w:t xml:space="preserve">DICK, Astrid. Banking Spreads in Central America: Evolution, Structure, and Behavior. </w:t>
      </w:r>
      <w:r>
        <w:rPr>
          <w:rFonts w:ascii="Arial" w:cs="Arial" w:eastAsia="Arial" w:hAnsi="Arial"/>
          <w:sz w:val="24"/>
          <w:szCs w:val="24"/>
          <w:b w:val="1"/>
          <w:bCs w:val="1"/>
          <w:color w:val="auto"/>
        </w:rPr>
        <w:t>HIID Development Discussion Papers</w:t>
      </w:r>
      <w:r>
        <w:rPr>
          <w:rFonts w:ascii="Arial" w:cs="Arial" w:eastAsia="Arial" w:hAnsi="Arial"/>
          <w:sz w:val="24"/>
          <w:szCs w:val="24"/>
          <w:color w:val="auto"/>
        </w:rPr>
        <w:t>, Harvard Institute for International</w:t>
      </w:r>
      <w:r>
        <w:rPr>
          <w:rFonts w:ascii="Arial" w:cs="Arial" w:eastAsia="Arial" w:hAnsi="Arial"/>
          <w:sz w:val="24"/>
          <w:szCs w:val="24"/>
          <w:b w:val="1"/>
          <w:bCs w:val="1"/>
          <w:color w:val="auto"/>
        </w:rPr>
        <w:t xml:space="preserve"> </w:t>
      </w:r>
      <w:r>
        <w:rPr>
          <w:rFonts w:ascii="Arial" w:cs="Arial" w:eastAsia="Arial" w:hAnsi="Arial"/>
          <w:sz w:val="24"/>
          <w:szCs w:val="24"/>
          <w:color w:val="auto"/>
        </w:rPr>
        <w:t>Development, Cambridge, 1999. Citado 0 vezes nas páginas 32, 33.</w:t>
      </w:r>
    </w:p>
    <w:p>
      <w:pPr>
        <w:spacing w:after="0" w:line="72" w:lineRule="exact"/>
        <w:rPr>
          <w:rFonts w:ascii="Arial" w:cs="Arial" w:eastAsia="Arial" w:hAnsi="Arial"/>
          <w:sz w:val="23"/>
          <w:szCs w:val="23"/>
          <w:color w:val="auto"/>
        </w:rPr>
      </w:pPr>
    </w:p>
    <w:p>
      <w:pPr>
        <w:ind w:left="260" w:right="80"/>
        <w:spacing w:after="0" w:line="433" w:lineRule="auto"/>
        <w:rPr>
          <w:sz w:val="20"/>
          <w:szCs w:val="20"/>
          <w:color w:val="auto"/>
        </w:rPr>
      </w:pPr>
      <w:r>
        <w:rPr>
          <w:rFonts w:ascii="Arial" w:cs="Arial" w:eastAsia="Arial" w:hAnsi="Arial"/>
          <w:sz w:val="23"/>
          <w:szCs w:val="23"/>
          <w:color w:val="auto"/>
        </w:rPr>
        <w:t xml:space="preserve">DURIGAN, Junior et al. Fatores macroeconômicos, indicadores industriais e o spread bancário no Brasil. </w:t>
      </w:r>
      <w:r>
        <w:rPr>
          <w:rFonts w:ascii="Arial" w:cs="Arial" w:eastAsia="Arial" w:hAnsi="Arial"/>
          <w:sz w:val="23"/>
          <w:szCs w:val="23"/>
          <w:b w:val="1"/>
          <w:bCs w:val="1"/>
          <w:color w:val="auto"/>
        </w:rPr>
        <w:t>Revista de Ciências da Administração - RCA</w:t>
      </w:r>
      <w:r>
        <w:rPr>
          <w:rFonts w:ascii="Arial" w:cs="Arial" w:eastAsia="Arial" w:hAnsi="Arial"/>
          <w:sz w:val="23"/>
          <w:szCs w:val="23"/>
          <w:color w:val="auto"/>
        </w:rPr>
        <w:t>, 2018. DOI:</w:t>
      </w:r>
    </w:p>
    <w:p>
      <w:pPr>
        <w:spacing w:after="0" w:line="2" w:lineRule="exact"/>
        <w:rPr>
          <w:rFonts w:ascii="Arial" w:cs="Arial" w:eastAsia="Arial" w:hAnsi="Arial"/>
          <w:sz w:val="23"/>
          <w:szCs w:val="23"/>
          <w:color w:val="auto"/>
        </w:rPr>
      </w:pPr>
    </w:p>
    <w:p>
      <w:pPr>
        <w:ind w:left="260"/>
        <w:spacing w:after="0"/>
        <w:rPr>
          <w:rFonts w:ascii="Arial" w:cs="Arial" w:eastAsia="Arial" w:hAnsi="Arial"/>
          <w:sz w:val="24"/>
          <w:szCs w:val="24"/>
          <w:color w:val="auto"/>
        </w:rPr>
      </w:pPr>
      <w:hyperlink r:id="rId51">
        <w:r>
          <w:rPr>
            <w:rFonts w:ascii="Arial" w:cs="Arial" w:eastAsia="Arial" w:hAnsi="Arial"/>
            <w:sz w:val="24"/>
            <w:szCs w:val="24"/>
            <w:color w:val="auto"/>
          </w:rPr>
          <w:t xml:space="preserve">10.5007/2175-8077.2018v20n51p26. </w:t>
        </w:r>
      </w:hyperlink>
      <w:r>
        <w:rPr>
          <w:rFonts w:ascii="Arial" w:cs="Arial" w:eastAsia="Arial" w:hAnsi="Arial"/>
          <w:sz w:val="24"/>
          <w:szCs w:val="24"/>
          <w:color w:val="auto"/>
        </w:rPr>
        <w:t>Citado 0 vezes nas páginas 34, 35, 42, 43.</w:t>
      </w:r>
    </w:p>
    <w:p>
      <w:pPr>
        <w:sectPr>
          <w:pgSz w:w="11900" w:h="16838" w:orient="portrait"/>
          <w:cols w:equalWidth="0" w:num="1">
            <w:col w:w="9380"/>
          </w:cols>
          <w:pgMar w:left="1440" w:top="991" w:right="1086" w:bottom="699" w:gutter="0" w:footer="0" w:header="0"/>
        </w:sectPr>
      </w:pPr>
    </w:p>
    <w:p>
      <w:pPr>
        <w:ind w:left="9060"/>
        <w:spacing w:after="0"/>
        <w:rPr>
          <w:sz w:val="20"/>
          <w:szCs w:val="20"/>
          <w:color w:val="auto"/>
        </w:rPr>
      </w:pPr>
      <w:r>
        <w:rPr>
          <w:rFonts w:ascii="Arial" w:cs="Arial" w:eastAsia="Arial" w:hAnsi="Arial"/>
          <w:sz w:val="24"/>
          <w:szCs w:val="24"/>
          <w:color w:val="auto"/>
        </w:rPr>
        <w:t>70</w:t>
      </w:r>
    </w:p>
    <w:p>
      <w:pPr>
        <w:spacing w:after="0" w:line="200" w:lineRule="exact"/>
        <w:rPr>
          <w:sz w:val="20"/>
          <w:szCs w:val="20"/>
          <w:color w:val="auto"/>
        </w:rPr>
      </w:pPr>
    </w:p>
    <w:p>
      <w:pPr>
        <w:spacing w:after="0" w:line="245" w:lineRule="exact"/>
        <w:rPr>
          <w:sz w:val="20"/>
          <w:szCs w:val="20"/>
          <w:color w:val="auto"/>
        </w:rPr>
      </w:pPr>
    </w:p>
    <w:p>
      <w:pPr>
        <w:ind w:left="260"/>
        <w:spacing w:after="0"/>
        <w:rPr>
          <w:sz w:val="20"/>
          <w:szCs w:val="20"/>
          <w:color w:val="auto"/>
        </w:rPr>
      </w:pPr>
      <w:r>
        <w:rPr>
          <w:rFonts w:ascii="Arial" w:cs="Arial" w:eastAsia="Arial" w:hAnsi="Arial"/>
          <w:sz w:val="24"/>
          <w:szCs w:val="24"/>
          <w:color w:val="auto"/>
        </w:rPr>
        <w:t xml:space="preserve">FIPECAFI. </w:t>
      </w:r>
      <w:r>
        <w:rPr>
          <w:rFonts w:ascii="Arial" w:cs="Arial" w:eastAsia="Arial" w:hAnsi="Arial"/>
          <w:sz w:val="24"/>
          <w:szCs w:val="24"/>
          <w:b w:val="1"/>
          <w:bCs w:val="1"/>
          <w:color w:val="auto"/>
        </w:rPr>
        <w:t>ESTUDO SOBRE A APURAÇÃO DO SPREAD DA INDÚSTRIA</w:t>
      </w:r>
    </w:p>
    <w:p>
      <w:pPr>
        <w:spacing w:after="0" w:line="202"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BANCÁRIA</w:t>
      </w:r>
      <w:r>
        <w:rPr>
          <w:rFonts w:ascii="Arial" w:cs="Arial" w:eastAsia="Arial" w:hAnsi="Arial"/>
          <w:sz w:val="24"/>
          <w:szCs w:val="24"/>
          <w:color w:val="auto"/>
        </w:rPr>
        <w:t>. [S.l.], 2005. Disponível em:</w:t>
      </w:r>
    </w:p>
    <w:p>
      <w:pPr>
        <w:spacing w:after="0" w:line="203" w:lineRule="exact"/>
        <w:rPr>
          <w:sz w:val="20"/>
          <w:szCs w:val="20"/>
          <w:color w:val="auto"/>
        </w:rPr>
      </w:pPr>
    </w:p>
    <w:p>
      <w:pPr>
        <w:ind w:left="260" w:hanging="20"/>
        <w:spacing w:after="0" w:line="431" w:lineRule="auto"/>
        <w:rPr>
          <w:rFonts w:ascii="Arial" w:cs="Arial" w:eastAsia="Arial" w:hAnsi="Arial"/>
          <w:sz w:val="24"/>
          <w:szCs w:val="24"/>
          <w:color w:val="auto"/>
        </w:rPr>
      </w:pPr>
      <w:hyperlink r:id="rId34">
        <w:r>
          <w:rPr>
            <w:rFonts w:ascii="Arial" w:cs="Arial" w:eastAsia="Arial" w:hAnsi="Arial"/>
            <w:sz w:val="24"/>
            <w:szCs w:val="24"/>
            <w:color w:val="auto"/>
          </w:rPr>
          <w:t xml:space="preserve">&lt;https://www.bcb.gov.br/ftp/jurospread112000.pdf&gt;. </w:t>
        </w:r>
      </w:hyperlink>
      <w:r>
        <w:rPr>
          <w:rFonts w:ascii="Arial" w:cs="Arial" w:eastAsia="Arial" w:hAnsi="Arial"/>
          <w:sz w:val="24"/>
          <w:szCs w:val="24"/>
          <w:color w:val="auto"/>
        </w:rPr>
        <w:t>Citado 0 vezes nas páginas 35, 36, 43.</w:t>
      </w:r>
    </w:p>
    <w:p>
      <w:pPr>
        <w:spacing w:after="0" w:line="61" w:lineRule="exact"/>
        <w:rPr>
          <w:sz w:val="20"/>
          <w:szCs w:val="20"/>
          <w:color w:val="auto"/>
        </w:rPr>
      </w:pPr>
    </w:p>
    <w:p>
      <w:pPr>
        <w:ind w:left="260" w:right="100"/>
        <w:spacing w:after="0" w:line="464" w:lineRule="auto"/>
        <w:rPr>
          <w:sz w:val="20"/>
          <w:szCs w:val="20"/>
          <w:color w:val="auto"/>
        </w:rPr>
      </w:pPr>
      <w:r>
        <w:rPr>
          <w:rFonts w:ascii="Arial" w:cs="Arial" w:eastAsia="Arial" w:hAnsi="Arial"/>
          <w:sz w:val="23"/>
          <w:szCs w:val="23"/>
          <w:color w:val="auto"/>
        </w:rPr>
        <w:t xml:space="preserve">GRAHAM, Benjamin; MEREDITH, Spencer B. </w:t>
      </w:r>
      <w:r>
        <w:rPr>
          <w:rFonts w:ascii="Arial" w:cs="Arial" w:eastAsia="Arial" w:hAnsi="Arial"/>
          <w:sz w:val="23"/>
          <w:szCs w:val="23"/>
          <w:b w:val="1"/>
          <w:bCs w:val="1"/>
          <w:color w:val="auto"/>
        </w:rPr>
        <w:t>A interpretação das demonstrações financeiras</w:t>
      </w:r>
      <w:r>
        <w:rPr>
          <w:rFonts w:ascii="Arial" w:cs="Arial" w:eastAsia="Arial" w:hAnsi="Arial"/>
          <w:sz w:val="23"/>
          <w:szCs w:val="23"/>
          <w:color w:val="auto"/>
        </w:rPr>
        <w:t>. 3. ed. São Paulo: Saraiva, 2012. Citado 0 vez na página 28.</w:t>
      </w:r>
    </w:p>
    <w:p>
      <w:pPr>
        <w:spacing w:after="0" w:line="30" w:lineRule="exact"/>
        <w:rPr>
          <w:sz w:val="20"/>
          <w:szCs w:val="20"/>
          <w:color w:val="auto"/>
        </w:rPr>
      </w:pPr>
    </w:p>
    <w:p>
      <w:pPr>
        <w:ind w:left="260" w:right="240"/>
        <w:spacing w:after="0" w:line="432" w:lineRule="auto"/>
        <w:rPr>
          <w:sz w:val="20"/>
          <w:szCs w:val="20"/>
          <w:color w:val="auto"/>
        </w:rPr>
      </w:pPr>
      <w:r>
        <w:rPr>
          <w:rFonts w:ascii="Arial" w:cs="Arial" w:eastAsia="Arial" w:hAnsi="Arial"/>
          <w:sz w:val="24"/>
          <w:szCs w:val="24"/>
          <w:color w:val="auto"/>
        </w:rPr>
        <w:t xml:space="preserve">HILL, R. Carter. </w:t>
      </w:r>
      <w:r>
        <w:rPr>
          <w:rFonts w:ascii="Arial" w:cs="Arial" w:eastAsia="Arial" w:hAnsi="Arial"/>
          <w:sz w:val="24"/>
          <w:szCs w:val="24"/>
          <w:b w:val="1"/>
          <w:bCs w:val="1"/>
          <w:color w:val="auto"/>
        </w:rPr>
        <w:t>Economertia</w:t>
      </w:r>
      <w:r>
        <w:rPr>
          <w:rFonts w:ascii="Arial" w:cs="Arial" w:eastAsia="Arial" w:hAnsi="Arial"/>
          <w:sz w:val="24"/>
          <w:szCs w:val="24"/>
          <w:color w:val="auto"/>
        </w:rPr>
        <w:t>. 3. ed. São Paulo: Saraiva, 2010. Citado 0 vezes nas páginas 52, 53.</w:t>
      </w:r>
    </w:p>
    <w:p>
      <w:pPr>
        <w:spacing w:after="0" w:line="59" w:lineRule="exact"/>
        <w:rPr>
          <w:sz w:val="20"/>
          <w:szCs w:val="20"/>
          <w:color w:val="auto"/>
        </w:rPr>
      </w:pPr>
    </w:p>
    <w:p>
      <w:pPr>
        <w:ind w:left="240" w:firstLine="28"/>
        <w:spacing w:after="0" w:line="419" w:lineRule="auto"/>
        <w:rPr>
          <w:rFonts w:ascii="Arial" w:cs="Arial" w:eastAsia="Arial" w:hAnsi="Arial"/>
          <w:sz w:val="24"/>
          <w:szCs w:val="24"/>
          <w:color w:val="auto"/>
        </w:rPr>
      </w:pPr>
      <w:r>
        <w:rPr>
          <w:rFonts w:ascii="Arial" w:cs="Arial" w:eastAsia="Arial" w:hAnsi="Arial"/>
          <w:sz w:val="24"/>
          <w:szCs w:val="24"/>
          <w:color w:val="auto"/>
        </w:rPr>
        <w:t xml:space="preserve">HO, Thomas S. Y.; SAUNDERS, Anthony. The Determinants of Bank Interest Margins: Theory and Empirical Evidence. </w:t>
      </w:r>
      <w:r>
        <w:rPr>
          <w:rFonts w:ascii="Arial" w:cs="Arial" w:eastAsia="Arial" w:hAnsi="Arial"/>
          <w:sz w:val="24"/>
          <w:szCs w:val="24"/>
          <w:b w:val="1"/>
          <w:bCs w:val="1"/>
          <w:color w:val="auto"/>
        </w:rPr>
        <w:t>Journal of Financial and Quantitative Analysis</w:t>
      </w:r>
      <w:r>
        <w:rPr>
          <w:rFonts w:ascii="Arial" w:cs="Arial" w:eastAsia="Arial" w:hAnsi="Arial"/>
          <w:sz w:val="24"/>
          <w:szCs w:val="24"/>
          <w:color w:val="auto"/>
        </w:rPr>
        <w:t xml:space="preserve">, v. 16, n. 4, p. 581–600, 1981. Disponível em: </w:t>
      </w:r>
      <w:hyperlink r:id="rId52">
        <w:r>
          <w:rPr>
            <w:rFonts w:ascii="Arial" w:cs="Arial" w:eastAsia="Arial" w:hAnsi="Arial"/>
            <w:sz w:val="24"/>
            <w:szCs w:val="24"/>
            <w:color w:val="auto"/>
          </w:rPr>
          <w:t>&lt;https://EconPapers.repec.org/RePEc:cup:jfinqa:v:16:y:1981:i:04:p:581-600_</w:t>
        </w:r>
      </w:hyperlink>
      <w:r>
        <w:rPr>
          <w:rFonts w:ascii="Arial" w:cs="Arial" w:eastAsia="Arial" w:hAnsi="Arial"/>
          <w:sz w:val="24"/>
          <w:szCs w:val="24"/>
          <w:color w:val="auto"/>
        </w:rPr>
        <w:t>00&gt;. Citado 0 vez na página 35.</w:t>
      </w:r>
    </w:p>
    <w:p>
      <w:pPr>
        <w:spacing w:after="0" w:line="78" w:lineRule="exact"/>
        <w:rPr>
          <w:sz w:val="20"/>
          <w:szCs w:val="20"/>
          <w:color w:val="auto"/>
        </w:rPr>
      </w:pPr>
    </w:p>
    <w:p>
      <w:pPr>
        <w:ind w:left="260"/>
        <w:spacing w:after="0"/>
        <w:rPr>
          <w:sz w:val="20"/>
          <w:szCs w:val="20"/>
          <w:color w:val="auto"/>
        </w:rPr>
      </w:pPr>
      <w:r>
        <w:rPr>
          <w:rFonts w:ascii="Arial" w:cs="Arial" w:eastAsia="Arial" w:hAnsi="Arial"/>
          <w:sz w:val="24"/>
          <w:szCs w:val="24"/>
          <w:color w:val="auto"/>
        </w:rPr>
        <w:t xml:space="preserve">JAMES, Gareth et al. </w:t>
      </w:r>
      <w:r>
        <w:rPr>
          <w:rFonts w:ascii="Arial" w:cs="Arial" w:eastAsia="Arial" w:hAnsi="Arial"/>
          <w:sz w:val="24"/>
          <w:szCs w:val="24"/>
          <w:b w:val="1"/>
          <w:bCs w:val="1"/>
          <w:color w:val="auto"/>
        </w:rPr>
        <w:t>An Introduction to Statistical Learning</w:t>
      </w:r>
      <w:r>
        <w:rPr>
          <w:rFonts w:ascii="Arial" w:cs="Arial" w:eastAsia="Arial" w:hAnsi="Arial"/>
          <w:sz w:val="24"/>
          <w:szCs w:val="24"/>
          <w:color w:val="auto"/>
        </w:rPr>
        <w:t>. 8. ed. New York:</w:t>
      </w:r>
    </w:p>
    <w:p>
      <w:pPr>
        <w:spacing w:after="0" w:line="20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Springer, 2017. Citado 0 vezes nas páginas 52, 61, 62.</w:t>
      </w:r>
    </w:p>
    <w:p>
      <w:pPr>
        <w:spacing w:after="0" w:line="298" w:lineRule="exact"/>
        <w:rPr>
          <w:sz w:val="20"/>
          <w:szCs w:val="20"/>
          <w:color w:val="auto"/>
        </w:rPr>
      </w:pPr>
    </w:p>
    <w:p>
      <w:pPr>
        <w:ind w:left="240" w:firstLine="28"/>
        <w:spacing w:after="0" w:line="423" w:lineRule="auto"/>
        <w:rPr>
          <w:rFonts w:ascii="Arial" w:cs="Arial" w:eastAsia="Arial" w:hAnsi="Arial"/>
          <w:sz w:val="24"/>
          <w:szCs w:val="24"/>
          <w:color w:val="auto"/>
        </w:rPr>
      </w:pPr>
      <w:r>
        <w:rPr>
          <w:rFonts w:ascii="Arial" w:cs="Arial" w:eastAsia="Arial" w:hAnsi="Arial"/>
          <w:sz w:val="24"/>
          <w:szCs w:val="24"/>
          <w:color w:val="auto"/>
        </w:rPr>
        <w:t xml:space="preserve">KLEIN, Michael A. A Theory of the Banking Firm. </w:t>
      </w:r>
      <w:r>
        <w:rPr>
          <w:rFonts w:ascii="Arial" w:cs="Arial" w:eastAsia="Arial" w:hAnsi="Arial"/>
          <w:sz w:val="24"/>
          <w:szCs w:val="24"/>
          <w:b w:val="1"/>
          <w:bCs w:val="1"/>
          <w:color w:val="auto"/>
        </w:rPr>
        <w:t>Journal of Money, Credit and Banking</w:t>
      </w:r>
      <w:r>
        <w:rPr>
          <w:rFonts w:ascii="Arial" w:cs="Arial" w:eastAsia="Arial" w:hAnsi="Arial"/>
          <w:sz w:val="24"/>
          <w:szCs w:val="24"/>
          <w:color w:val="auto"/>
        </w:rPr>
        <w:t>, Ohio State University Press, v. 3, n. 2, p. 205–218, mai. 1971. Disponível em:</w:t>
      </w:r>
      <w:r>
        <w:rPr>
          <w:rFonts w:ascii="Arial" w:cs="Arial" w:eastAsia="Arial" w:hAnsi="Arial"/>
          <w:sz w:val="24"/>
          <w:szCs w:val="24"/>
          <w:b w:val="1"/>
          <w:bCs w:val="1"/>
          <w:color w:val="auto"/>
        </w:rPr>
        <w:t xml:space="preserve"> </w:t>
      </w:r>
      <w:hyperlink r:id="rId53">
        <w:r>
          <w:rPr>
            <w:rFonts w:ascii="Arial" w:cs="Arial" w:eastAsia="Arial" w:hAnsi="Arial"/>
            <w:sz w:val="24"/>
            <w:szCs w:val="24"/>
            <w:color w:val="auto"/>
          </w:rPr>
          <w:t xml:space="preserve">&lt;http://www.jstor.org/stable/1991279&gt;. </w:t>
        </w:r>
      </w:hyperlink>
      <w:r>
        <w:rPr>
          <w:rFonts w:ascii="Arial" w:cs="Arial" w:eastAsia="Arial" w:hAnsi="Arial"/>
          <w:sz w:val="24"/>
          <w:szCs w:val="24"/>
          <w:color w:val="auto"/>
        </w:rPr>
        <w:t>Citado 0 vezes nas páginas 17, 35.</w:t>
      </w:r>
    </w:p>
    <w:p>
      <w:pPr>
        <w:spacing w:after="0" w:line="72" w:lineRule="exact"/>
        <w:rPr>
          <w:sz w:val="20"/>
          <w:szCs w:val="20"/>
          <w:color w:val="auto"/>
        </w:rPr>
      </w:pPr>
    </w:p>
    <w:p>
      <w:pPr>
        <w:ind w:left="260" w:right="380"/>
        <w:spacing w:after="0" w:line="421" w:lineRule="auto"/>
        <w:rPr>
          <w:sz w:val="20"/>
          <w:szCs w:val="20"/>
          <w:color w:val="auto"/>
        </w:rPr>
      </w:pPr>
      <w:r>
        <w:rPr>
          <w:rFonts w:ascii="Arial" w:cs="Arial" w:eastAsia="Arial" w:hAnsi="Arial"/>
          <w:sz w:val="24"/>
          <w:szCs w:val="24"/>
          <w:color w:val="auto"/>
        </w:rPr>
        <w:t xml:space="preserve">LEAL, Rodrigo Mendes. </w:t>
      </w:r>
      <w:r>
        <w:rPr>
          <w:rFonts w:ascii="Arial" w:cs="Arial" w:eastAsia="Arial" w:hAnsi="Arial"/>
          <w:sz w:val="24"/>
          <w:szCs w:val="24"/>
          <w:b w:val="1"/>
          <w:bCs w:val="1"/>
          <w:color w:val="auto"/>
        </w:rPr>
        <w:t>Estrutura e determinantes do spread bancário no Brasil:uma resenha comparativa da literatura empírica</w:t>
      </w:r>
      <w:r>
        <w:rPr>
          <w:rFonts w:ascii="Arial" w:cs="Arial" w:eastAsia="Arial" w:hAnsi="Arial"/>
          <w:sz w:val="24"/>
          <w:szCs w:val="24"/>
          <w:color w:val="auto"/>
        </w:rPr>
        <w:t>. Rio de Janeiro:</w:t>
      </w:r>
      <w:r>
        <w:rPr>
          <w:rFonts w:ascii="Arial" w:cs="Arial" w:eastAsia="Arial" w:hAnsi="Arial"/>
          <w:sz w:val="24"/>
          <w:szCs w:val="24"/>
          <w:b w:val="1"/>
          <w:bCs w:val="1"/>
          <w:color w:val="auto"/>
        </w:rPr>
        <w:t xml:space="preserve"> </w:t>
      </w:r>
      <w:r>
        <w:rPr>
          <w:rFonts w:ascii="Arial" w:cs="Arial" w:eastAsia="Arial" w:hAnsi="Arial"/>
          <w:sz w:val="24"/>
          <w:szCs w:val="24"/>
          <w:color w:val="auto"/>
        </w:rPr>
        <w:t>Universidade do Estado do Rio de Janeiro, 2006. Citado 0 vezes nas páginas 5, 6, 33–35, 43.</w:t>
      </w:r>
    </w:p>
    <w:p>
      <w:pPr>
        <w:spacing w:after="0" w:line="72" w:lineRule="exact"/>
        <w:rPr>
          <w:sz w:val="20"/>
          <w:szCs w:val="20"/>
          <w:color w:val="auto"/>
        </w:rPr>
      </w:pPr>
    </w:p>
    <w:p>
      <w:pPr>
        <w:ind w:left="260"/>
        <w:spacing w:after="0"/>
        <w:rPr>
          <w:sz w:val="20"/>
          <w:szCs w:val="20"/>
          <w:color w:val="auto"/>
        </w:rPr>
      </w:pPr>
      <w:r>
        <w:rPr>
          <w:rFonts w:ascii="Arial" w:cs="Arial" w:eastAsia="Arial" w:hAnsi="Arial"/>
          <w:sz w:val="24"/>
          <w:szCs w:val="24"/>
          <w:color w:val="auto"/>
        </w:rPr>
        <w:t xml:space="preserve">LEITE, J. C. </w:t>
      </w:r>
      <w:r>
        <w:rPr>
          <w:rFonts w:ascii="Arial" w:cs="Arial" w:eastAsia="Arial" w:hAnsi="Arial"/>
          <w:sz w:val="24"/>
          <w:szCs w:val="24"/>
          <w:b w:val="1"/>
          <w:bCs w:val="1"/>
          <w:color w:val="auto"/>
        </w:rPr>
        <w:t>Tecnologia e organizações: um estudo sobre os efeitos da</w:t>
      </w:r>
    </w:p>
    <w:p>
      <w:pPr>
        <w:spacing w:after="0" w:line="202" w:lineRule="exact"/>
        <w:rPr>
          <w:sz w:val="20"/>
          <w:szCs w:val="20"/>
          <w:color w:val="auto"/>
        </w:rPr>
      </w:pPr>
    </w:p>
    <w:p>
      <w:pPr>
        <w:ind w:left="260" w:right="880" w:firstLine="8"/>
        <w:spacing w:after="0" w:line="432" w:lineRule="auto"/>
        <w:rPr>
          <w:sz w:val="20"/>
          <w:szCs w:val="20"/>
          <w:color w:val="auto"/>
        </w:rPr>
      </w:pPr>
      <w:r>
        <w:rPr>
          <w:rFonts w:ascii="Arial" w:cs="Arial" w:eastAsia="Arial" w:hAnsi="Arial"/>
          <w:sz w:val="24"/>
          <w:szCs w:val="24"/>
          <w:b w:val="1"/>
          <w:bCs w:val="1"/>
          <w:color w:val="auto"/>
        </w:rPr>
        <w:t>introdução de novas tecnologias no setor bancário brasileiro</w:t>
      </w:r>
      <w:r>
        <w:rPr>
          <w:rFonts w:ascii="Arial" w:cs="Arial" w:eastAsia="Arial" w:hAnsi="Arial"/>
          <w:sz w:val="24"/>
          <w:szCs w:val="24"/>
          <w:color w:val="auto"/>
        </w:rPr>
        <w:t>. 1996. Tese (Doutorado) – São Paulo. Citado 0 vez na página 5.</w:t>
      </w:r>
    </w:p>
    <w:p>
      <w:pPr>
        <w:spacing w:after="0" w:line="59" w:lineRule="exact"/>
        <w:rPr>
          <w:sz w:val="20"/>
          <w:szCs w:val="20"/>
          <w:color w:val="auto"/>
        </w:rPr>
      </w:pPr>
    </w:p>
    <w:p>
      <w:pPr>
        <w:ind w:left="260" w:right="420"/>
        <w:spacing w:after="0" w:line="464" w:lineRule="auto"/>
        <w:rPr>
          <w:sz w:val="20"/>
          <w:szCs w:val="20"/>
          <w:color w:val="auto"/>
        </w:rPr>
      </w:pPr>
      <w:r>
        <w:rPr>
          <w:rFonts w:ascii="Arial" w:cs="Arial" w:eastAsia="Arial" w:hAnsi="Arial"/>
          <w:sz w:val="23"/>
          <w:szCs w:val="23"/>
          <w:color w:val="auto"/>
        </w:rPr>
        <w:t xml:space="preserve">LEVINE, Ross. Financial Development and Economic Growth: Views and Agenda. </w:t>
      </w:r>
      <w:r>
        <w:rPr>
          <w:rFonts w:ascii="Arial" w:cs="Arial" w:eastAsia="Arial" w:hAnsi="Arial"/>
          <w:sz w:val="23"/>
          <w:szCs w:val="23"/>
          <w:b w:val="1"/>
          <w:bCs w:val="1"/>
          <w:color w:val="auto"/>
        </w:rPr>
        <w:t>Journal of Economic Literature</w:t>
      </w:r>
      <w:r>
        <w:rPr>
          <w:rFonts w:ascii="Arial" w:cs="Arial" w:eastAsia="Arial" w:hAnsi="Arial"/>
          <w:sz w:val="23"/>
          <w:szCs w:val="23"/>
          <w:color w:val="auto"/>
        </w:rPr>
        <w:t>, American Economic Association, v. 35, n. 2,</w:t>
      </w:r>
    </w:p>
    <w:p>
      <w:pPr>
        <w:sectPr>
          <w:pgSz w:w="11900" w:h="16838" w:orient="portrait"/>
          <w:cols w:equalWidth="0" w:num="1">
            <w:col w:w="9360"/>
          </w:cols>
          <w:pgMar w:left="1440" w:top="991" w:right="1106" w:bottom="813" w:gutter="0" w:footer="0" w:header="0"/>
        </w:sectPr>
      </w:pPr>
    </w:p>
    <w:p>
      <w:pPr>
        <w:ind w:left="9060"/>
        <w:spacing w:after="0"/>
        <w:rPr>
          <w:sz w:val="20"/>
          <w:szCs w:val="20"/>
          <w:color w:val="auto"/>
        </w:rPr>
      </w:pPr>
      <w:r>
        <w:rPr>
          <w:rFonts w:ascii="Arial" w:cs="Arial" w:eastAsia="Arial" w:hAnsi="Arial"/>
          <w:sz w:val="24"/>
          <w:szCs w:val="24"/>
          <w:color w:val="auto"/>
        </w:rPr>
        <w:t>71</w:t>
      </w:r>
    </w:p>
    <w:p>
      <w:pPr>
        <w:spacing w:after="0" w:line="200" w:lineRule="exact"/>
        <w:rPr>
          <w:sz w:val="20"/>
          <w:szCs w:val="20"/>
          <w:color w:val="auto"/>
        </w:rPr>
      </w:pPr>
    </w:p>
    <w:p>
      <w:pPr>
        <w:spacing w:after="0" w:line="246" w:lineRule="exact"/>
        <w:rPr>
          <w:sz w:val="20"/>
          <w:szCs w:val="20"/>
          <w:color w:val="auto"/>
        </w:rPr>
      </w:pPr>
    </w:p>
    <w:p>
      <w:pPr>
        <w:ind w:left="260"/>
        <w:spacing w:after="0"/>
        <w:rPr>
          <w:sz w:val="20"/>
          <w:szCs w:val="20"/>
          <w:color w:val="auto"/>
        </w:rPr>
      </w:pPr>
      <w:r>
        <w:rPr>
          <w:rFonts w:ascii="Arial" w:cs="Arial" w:eastAsia="Arial" w:hAnsi="Arial"/>
          <w:sz w:val="24"/>
          <w:szCs w:val="24"/>
          <w:color w:val="auto"/>
        </w:rPr>
        <w:t>p. 688–726, 1997. ISSN 00220515. Disponível em:</w:t>
      </w:r>
    </w:p>
    <w:p>
      <w:pPr>
        <w:spacing w:after="0" w:line="202" w:lineRule="exact"/>
        <w:rPr>
          <w:sz w:val="20"/>
          <w:szCs w:val="20"/>
          <w:color w:val="auto"/>
        </w:rPr>
      </w:pPr>
    </w:p>
    <w:p>
      <w:pPr>
        <w:ind w:left="240"/>
        <w:spacing w:after="0"/>
        <w:rPr>
          <w:rFonts w:ascii="Arial" w:cs="Arial" w:eastAsia="Arial" w:hAnsi="Arial"/>
          <w:sz w:val="24"/>
          <w:szCs w:val="24"/>
          <w:color w:val="auto"/>
        </w:rPr>
      </w:pPr>
      <w:hyperlink r:id="rId54">
        <w:r>
          <w:rPr>
            <w:rFonts w:ascii="Arial" w:cs="Arial" w:eastAsia="Arial" w:hAnsi="Arial"/>
            <w:sz w:val="24"/>
            <w:szCs w:val="24"/>
            <w:color w:val="auto"/>
          </w:rPr>
          <w:t xml:space="preserve">&lt;http://www.jstor.org/stable/2729790&gt;. </w:t>
        </w:r>
      </w:hyperlink>
      <w:r>
        <w:rPr>
          <w:rFonts w:ascii="Arial" w:cs="Arial" w:eastAsia="Arial" w:hAnsi="Arial"/>
          <w:sz w:val="24"/>
          <w:szCs w:val="24"/>
          <w:color w:val="auto"/>
        </w:rPr>
        <w:t>Citado 0 vezes nas páginas 5, 6, 19, 32, 34.</w:t>
      </w:r>
    </w:p>
    <w:p>
      <w:pPr>
        <w:spacing w:after="0" w:line="298" w:lineRule="exact"/>
        <w:rPr>
          <w:sz w:val="20"/>
          <w:szCs w:val="20"/>
          <w:color w:val="auto"/>
        </w:rPr>
      </w:pPr>
    </w:p>
    <w:p>
      <w:pPr>
        <w:ind w:left="240" w:firstLine="10"/>
        <w:spacing w:after="0" w:line="419" w:lineRule="auto"/>
        <w:rPr>
          <w:rFonts w:ascii="Arial" w:cs="Arial" w:eastAsia="Arial" w:hAnsi="Arial"/>
          <w:sz w:val="24"/>
          <w:szCs w:val="24"/>
          <w:color w:val="auto"/>
        </w:rPr>
      </w:pPr>
      <w:r>
        <w:rPr>
          <w:rFonts w:ascii="Arial" w:cs="Arial" w:eastAsia="Arial" w:hAnsi="Arial"/>
          <w:sz w:val="24"/>
          <w:szCs w:val="24"/>
          <w:color w:val="auto"/>
        </w:rPr>
        <w:t xml:space="preserve">MAFFILI, Dener William; BRESSAN, Aureliano Angel; SOUZA, Antônio Artur da. Estudo da Rentabilidade dos Bancos Brasileiros de Varejo no Período de 1999 a 2005. </w:t>
      </w:r>
      <w:r>
        <w:rPr>
          <w:rFonts w:ascii="Arial" w:cs="Arial" w:eastAsia="Arial" w:hAnsi="Arial"/>
          <w:sz w:val="24"/>
          <w:szCs w:val="24"/>
          <w:b w:val="1"/>
          <w:bCs w:val="1"/>
          <w:color w:val="auto"/>
        </w:rPr>
        <w:t>Contabilidade Vista e Revista</w:t>
      </w:r>
      <w:r>
        <w:rPr>
          <w:rFonts w:ascii="Arial" w:cs="Arial" w:eastAsia="Arial" w:hAnsi="Arial"/>
          <w:sz w:val="24"/>
          <w:szCs w:val="24"/>
          <w:color w:val="auto"/>
        </w:rPr>
        <w:t>, SI, v. 238, n. 2, p. 117–138, 12 mai. 2009. Disponível</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em: </w:t>
      </w:r>
      <w:hyperlink r:id="rId55">
        <w:r>
          <w:rPr>
            <w:rFonts w:ascii="Arial" w:cs="Arial" w:eastAsia="Arial" w:hAnsi="Arial"/>
            <w:sz w:val="24"/>
            <w:szCs w:val="24"/>
            <w:color w:val="auto"/>
          </w:rPr>
          <w:t>&lt;Dispon%C3%ADvel%20em%20%5Curl%7Bhttps:</w:t>
        </w:r>
      </w:hyperlink>
      <w:r>
        <w:rPr>
          <w:rFonts w:ascii="Arial" w:cs="Arial" w:eastAsia="Arial" w:hAnsi="Arial"/>
          <w:sz w:val="24"/>
          <w:szCs w:val="24"/>
          <w:color w:val="auto"/>
        </w:rPr>
        <w:t xml:space="preserve"> </w:t>
      </w:r>
      <w:hyperlink r:id="rId55">
        <w:r>
          <w:rPr>
            <w:rFonts w:ascii="Arial" w:cs="Arial" w:eastAsia="Arial" w:hAnsi="Arial"/>
            <w:sz w:val="24"/>
            <w:szCs w:val="24"/>
            <w:color w:val="auto"/>
          </w:rPr>
          <w:t>//www.imf.org/external/pubs/ft/op/238/index.htm%7D%20Acesso%20em:</w:t>
        </w:r>
      </w:hyperlink>
      <w:r>
        <w:rPr>
          <w:rFonts w:ascii="Arial" w:cs="Arial" w:eastAsia="Arial" w:hAnsi="Arial"/>
          <w:sz w:val="24"/>
          <w:szCs w:val="24"/>
          <w:color w:val="auto"/>
        </w:rPr>
        <w:t xml:space="preserve"> </w:t>
      </w:r>
      <w:hyperlink r:id="rId55">
        <w:r>
          <w:rPr>
            <w:rFonts w:ascii="Arial" w:cs="Arial" w:eastAsia="Arial" w:hAnsi="Arial"/>
            <w:sz w:val="24"/>
            <w:szCs w:val="24"/>
            <w:color w:val="auto"/>
          </w:rPr>
          <w:t xml:space="preserve">%2017%20fev.%202021&gt;. </w:t>
        </w:r>
      </w:hyperlink>
      <w:r>
        <w:rPr>
          <w:rFonts w:ascii="Arial" w:cs="Arial" w:eastAsia="Arial" w:hAnsi="Arial"/>
          <w:sz w:val="24"/>
          <w:szCs w:val="24"/>
          <w:color w:val="auto"/>
        </w:rPr>
        <w:t>Citado 0 vez na página 10.</w:t>
      </w:r>
    </w:p>
    <w:p>
      <w:pPr>
        <w:spacing w:after="0" w:line="74" w:lineRule="exact"/>
        <w:rPr>
          <w:rFonts w:ascii="Arial" w:cs="Arial" w:eastAsia="Arial" w:hAnsi="Arial"/>
          <w:sz w:val="24"/>
          <w:szCs w:val="24"/>
          <w:color w:val="auto"/>
        </w:rPr>
      </w:pPr>
    </w:p>
    <w:p>
      <w:pPr>
        <w:ind w:left="260" w:right="40"/>
        <w:spacing w:after="0" w:line="415" w:lineRule="auto"/>
        <w:rPr>
          <w:sz w:val="20"/>
          <w:szCs w:val="20"/>
          <w:color w:val="auto"/>
        </w:rPr>
      </w:pPr>
      <w:r>
        <w:rPr>
          <w:rFonts w:ascii="Arial" w:cs="Arial" w:eastAsia="Arial" w:hAnsi="Arial"/>
          <w:sz w:val="24"/>
          <w:szCs w:val="24"/>
          <w:color w:val="auto"/>
        </w:rPr>
        <w:t xml:space="preserve">MAGALHÃES-TIMOTIO, João G. RELAÇÃO ENTRE INDICADORES CONTÁBEIS E O SPREAD EX-POST DOS BANCOS BRASILEIROS. </w:t>
      </w:r>
      <w:r>
        <w:rPr>
          <w:rFonts w:ascii="Arial" w:cs="Arial" w:eastAsia="Arial" w:hAnsi="Arial"/>
          <w:sz w:val="24"/>
          <w:szCs w:val="24"/>
          <w:b w:val="1"/>
          <w:bCs w:val="1"/>
          <w:color w:val="auto"/>
        </w:rPr>
        <w:t>RACEF – Revista de Administração, Contabilidade e Economia da Fundace</w:t>
      </w:r>
      <w:r>
        <w:rPr>
          <w:rFonts w:ascii="Arial" w:cs="Arial" w:eastAsia="Arial" w:hAnsi="Arial"/>
          <w:sz w:val="24"/>
          <w:szCs w:val="24"/>
          <w:color w:val="auto"/>
        </w:rPr>
        <w:t>, v. 9, n. 2, p. 31–44, 2018.</w:t>
      </w:r>
    </w:p>
    <w:p>
      <w:pPr>
        <w:spacing w:after="0" w:line="3" w:lineRule="exact"/>
        <w:rPr>
          <w:rFonts w:ascii="Arial" w:cs="Arial" w:eastAsia="Arial" w:hAnsi="Arial"/>
          <w:sz w:val="24"/>
          <w:szCs w:val="24"/>
          <w:color w:val="auto"/>
        </w:rPr>
      </w:pPr>
    </w:p>
    <w:p>
      <w:pPr>
        <w:ind w:left="260"/>
        <w:spacing w:after="0"/>
        <w:rPr>
          <w:sz w:val="20"/>
          <w:szCs w:val="20"/>
          <w:color w:val="auto"/>
        </w:rPr>
      </w:pPr>
      <w:r>
        <w:rPr>
          <w:rFonts w:ascii="Arial" w:cs="Arial" w:eastAsia="Arial" w:hAnsi="Arial"/>
          <w:sz w:val="24"/>
          <w:szCs w:val="24"/>
          <w:color w:val="auto"/>
        </w:rPr>
        <w:t>Citado 0 vezes nas páginas 29, 41–43.</w:t>
      </w:r>
    </w:p>
    <w:p>
      <w:pPr>
        <w:spacing w:after="0" w:line="298" w:lineRule="exact"/>
        <w:rPr>
          <w:rFonts w:ascii="Arial" w:cs="Arial" w:eastAsia="Arial" w:hAnsi="Arial"/>
          <w:sz w:val="24"/>
          <w:szCs w:val="24"/>
          <w:color w:val="auto"/>
        </w:rPr>
      </w:pPr>
    </w:p>
    <w:p>
      <w:pPr>
        <w:ind w:left="240" w:right="40" w:firstLine="28"/>
        <w:spacing w:after="0" w:line="419" w:lineRule="auto"/>
        <w:rPr>
          <w:rFonts w:ascii="Arial" w:cs="Arial" w:eastAsia="Arial" w:hAnsi="Arial"/>
          <w:sz w:val="24"/>
          <w:szCs w:val="24"/>
          <w:color w:val="auto"/>
        </w:rPr>
      </w:pPr>
      <w:r>
        <w:rPr>
          <w:rFonts w:ascii="Arial" w:cs="Arial" w:eastAsia="Arial" w:hAnsi="Arial"/>
          <w:sz w:val="24"/>
          <w:szCs w:val="24"/>
          <w:color w:val="auto"/>
        </w:rPr>
        <w:t xml:space="preserve">MATOS, Orlando Carneiro de. Inter-relações entre Desenvolvimento Financeiro, Exportações e Crescimento Econômico: Análise da Experiência Brasileira. In: NOTAS Técnicas do Banco Central do Brasil. Brasília: BCB, 2003. Disponível em: </w:t>
      </w:r>
      <w:hyperlink r:id="rId56">
        <w:r>
          <w:rPr>
            <w:rFonts w:ascii="Arial" w:cs="Arial" w:eastAsia="Arial" w:hAnsi="Arial"/>
            <w:sz w:val="24"/>
            <w:szCs w:val="24"/>
            <w:color w:val="auto"/>
          </w:rPr>
          <w:t>&lt;https://www.bcb.gov.br/content/publicacoes/notastecnicas/2003nt40Inter-</w:t>
        </w:r>
      </w:hyperlink>
      <w:hyperlink r:id="rId56">
        <w:r>
          <w:rPr>
            <w:rFonts w:ascii="Arial" w:cs="Arial" w:eastAsia="Arial" w:hAnsi="Arial"/>
            <w:sz w:val="24"/>
            <w:szCs w:val="24"/>
            <w:color w:val="auto"/>
          </w:rPr>
          <w:t xml:space="preserve">relentreDesenvFinanp.pdf&gt;. </w:t>
        </w:r>
      </w:hyperlink>
      <w:r>
        <w:rPr>
          <w:rFonts w:ascii="Arial" w:cs="Arial" w:eastAsia="Arial" w:hAnsi="Arial"/>
          <w:sz w:val="24"/>
          <w:szCs w:val="24"/>
          <w:color w:val="auto"/>
        </w:rPr>
        <w:t>Citado 0 vezes nas páginas 6, 19.</w:t>
      </w:r>
    </w:p>
    <w:p>
      <w:pPr>
        <w:spacing w:after="0" w:line="78" w:lineRule="exact"/>
        <w:rPr>
          <w:sz w:val="20"/>
          <w:szCs w:val="20"/>
          <w:color w:val="auto"/>
        </w:rPr>
      </w:pPr>
    </w:p>
    <w:p>
      <w:pPr>
        <w:ind w:left="260"/>
        <w:spacing w:after="0"/>
        <w:rPr>
          <w:sz w:val="20"/>
          <w:szCs w:val="20"/>
          <w:color w:val="auto"/>
        </w:rPr>
      </w:pPr>
      <w:r>
        <w:rPr>
          <w:rFonts w:ascii="Arial" w:cs="Arial" w:eastAsia="Arial" w:hAnsi="Arial"/>
          <w:sz w:val="24"/>
          <w:szCs w:val="24"/>
          <w:color w:val="auto"/>
        </w:rPr>
        <w:t>NEVES JÚNIOR, Idalberto José das; SOARES RIBEIRO, Francilanes;</w:t>
      </w:r>
    </w:p>
    <w:p>
      <w:pPr>
        <w:spacing w:after="0" w:line="202" w:lineRule="exact"/>
        <w:rPr>
          <w:sz w:val="20"/>
          <w:szCs w:val="20"/>
          <w:color w:val="auto"/>
        </w:rPr>
      </w:pPr>
    </w:p>
    <w:p>
      <w:pPr>
        <w:jc w:val="both"/>
        <w:ind w:left="260" w:right="40"/>
        <w:spacing w:after="0" w:line="433" w:lineRule="auto"/>
        <w:rPr>
          <w:sz w:val="20"/>
          <w:szCs w:val="20"/>
          <w:color w:val="auto"/>
        </w:rPr>
      </w:pPr>
      <w:r>
        <w:rPr>
          <w:rFonts w:ascii="Arial" w:cs="Arial" w:eastAsia="Arial" w:hAnsi="Arial"/>
          <w:sz w:val="23"/>
          <w:szCs w:val="23"/>
          <w:color w:val="auto"/>
        </w:rPr>
        <w:t xml:space="preserve">MENDES, Frederico. EFICIÊNCIA OPERACIONAL: UMA ANÁLISE EXPLORATÓRIA DOS 50 MAIORES BANCOS BRASILEIROS PELO RANKING BACEN. </w:t>
      </w:r>
      <w:r>
        <w:rPr>
          <w:rFonts w:ascii="Arial" w:cs="Arial" w:eastAsia="Arial" w:hAnsi="Arial"/>
          <w:sz w:val="23"/>
          <w:szCs w:val="23"/>
          <w:b w:val="1"/>
          <w:bCs w:val="1"/>
          <w:color w:val="auto"/>
        </w:rPr>
        <w:t>4º Congresso USP de Iniciação Científica em Contabilidade</w:t>
      </w:r>
      <w:r>
        <w:rPr>
          <w:rFonts w:ascii="Arial" w:cs="Arial" w:eastAsia="Arial" w:hAnsi="Arial"/>
          <w:sz w:val="23"/>
          <w:szCs w:val="23"/>
          <w:color w:val="auto"/>
        </w:rPr>
        <w:t>, USP, 2007. Disponível em:</w:t>
      </w:r>
    </w:p>
    <w:p>
      <w:pPr>
        <w:spacing w:after="0" w:line="3" w:lineRule="exact"/>
        <w:rPr>
          <w:sz w:val="20"/>
          <w:szCs w:val="20"/>
          <w:color w:val="auto"/>
        </w:rPr>
      </w:pPr>
    </w:p>
    <w:p>
      <w:pPr>
        <w:ind w:left="260" w:right="80" w:hanging="27"/>
        <w:spacing w:after="0" w:line="431" w:lineRule="auto"/>
        <w:rPr>
          <w:rFonts w:ascii="Arial" w:cs="Arial" w:eastAsia="Arial" w:hAnsi="Arial"/>
          <w:sz w:val="24"/>
          <w:szCs w:val="24"/>
          <w:color w:val="auto"/>
        </w:rPr>
      </w:pPr>
      <w:hyperlink r:id="rId57">
        <w:r>
          <w:rPr>
            <w:rFonts w:ascii="Arial" w:cs="Arial" w:eastAsia="Arial" w:hAnsi="Arial"/>
            <w:sz w:val="24"/>
            <w:szCs w:val="24"/>
            <w:color w:val="auto"/>
          </w:rPr>
          <w:t xml:space="preserve">&lt;https://intercostos.org/documentos/apellidos/Das%20Neves%201.pdf&gt;. </w:t>
        </w:r>
      </w:hyperlink>
      <w:r>
        <w:rPr>
          <w:rFonts w:ascii="Arial" w:cs="Arial" w:eastAsia="Arial" w:hAnsi="Arial"/>
          <w:sz w:val="24"/>
          <w:szCs w:val="24"/>
          <w:color w:val="auto"/>
        </w:rPr>
        <w:t>Citado 0 vez na página 5.</w:t>
      </w:r>
    </w:p>
    <w:p>
      <w:pPr>
        <w:spacing w:after="0" w:line="61" w:lineRule="exact"/>
        <w:rPr>
          <w:sz w:val="20"/>
          <w:szCs w:val="20"/>
          <w:color w:val="auto"/>
        </w:rPr>
      </w:pPr>
    </w:p>
    <w:p>
      <w:pPr>
        <w:ind w:left="260" w:right="40"/>
        <w:spacing w:after="0" w:line="425" w:lineRule="auto"/>
        <w:rPr>
          <w:sz w:val="20"/>
          <w:szCs w:val="20"/>
          <w:color w:val="auto"/>
        </w:rPr>
      </w:pPr>
      <w:r>
        <w:rPr>
          <w:rFonts w:ascii="Arial" w:cs="Arial" w:eastAsia="Arial" w:hAnsi="Arial"/>
          <w:sz w:val="24"/>
          <w:szCs w:val="24"/>
          <w:color w:val="auto"/>
        </w:rPr>
        <w:t xml:space="preserve">OREIRO, José Luís da Costa; PAULO, Luiz Fernando de. Determinantes macroeconômicos do spread bancário no Brasil: teoria e evidência recente. </w:t>
      </w:r>
      <w:r>
        <w:rPr>
          <w:rFonts w:ascii="Arial" w:cs="Arial" w:eastAsia="Arial" w:hAnsi="Arial"/>
          <w:sz w:val="24"/>
          <w:szCs w:val="24"/>
          <w:b w:val="1"/>
          <w:bCs w:val="1"/>
          <w:color w:val="auto"/>
        </w:rPr>
        <w:t>Economia Aplicada</w:t>
      </w:r>
      <w:r>
        <w:rPr>
          <w:rFonts w:ascii="Arial" w:cs="Arial" w:eastAsia="Arial" w:hAnsi="Arial"/>
          <w:sz w:val="24"/>
          <w:szCs w:val="24"/>
          <w:color w:val="auto"/>
        </w:rPr>
        <w:t>, v. 10, n. 4, p. 609–634, 2006. Citado 0 vez na página 41.</w:t>
      </w:r>
    </w:p>
    <w:p>
      <w:pPr>
        <w:spacing w:after="0" w:line="65" w:lineRule="exact"/>
        <w:rPr>
          <w:sz w:val="20"/>
          <w:szCs w:val="20"/>
          <w:color w:val="auto"/>
        </w:rPr>
      </w:pPr>
    </w:p>
    <w:p>
      <w:pPr>
        <w:ind w:left="260" w:right="120"/>
        <w:spacing w:after="0" w:line="460" w:lineRule="auto"/>
        <w:rPr>
          <w:sz w:val="20"/>
          <w:szCs w:val="20"/>
          <w:color w:val="auto"/>
        </w:rPr>
      </w:pPr>
      <w:r>
        <w:rPr>
          <w:rFonts w:ascii="Arial" w:cs="Arial" w:eastAsia="Arial" w:hAnsi="Arial"/>
          <w:sz w:val="23"/>
          <w:szCs w:val="23"/>
          <w:color w:val="auto"/>
        </w:rPr>
        <w:t>ROVER, Suliani; TOMAZZIA, Eduardo Cardeal; FÁVER, Luiz Paulo. Determinantes Econômico-Financeiros e Macroeconômicos da Rentabilidade: Evidências Empíricas</w:t>
      </w:r>
    </w:p>
    <w:p>
      <w:pPr>
        <w:sectPr>
          <w:pgSz w:w="11900" w:h="16838" w:orient="portrait"/>
          <w:cols w:equalWidth="0" w:num="1">
            <w:col w:w="9360"/>
          </w:cols>
          <w:pgMar w:left="1440" w:top="991" w:right="1106" w:bottom="536" w:gutter="0" w:footer="0" w:header="0"/>
        </w:sectPr>
      </w:pPr>
    </w:p>
    <w:p>
      <w:pPr>
        <w:jc w:val="right"/>
        <w:spacing w:after="0"/>
        <w:rPr>
          <w:sz w:val="20"/>
          <w:szCs w:val="20"/>
          <w:color w:val="auto"/>
        </w:rPr>
      </w:pPr>
      <w:r>
        <w:rPr>
          <w:rFonts w:ascii="Arial" w:cs="Arial" w:eastAsia="Arial" w:hAnsi="Arial"/>
          <w:sz w:val="24"/>
          <w:szCs w:val="24"/>
          <w:color w:val="auto"/>
        </w:rPr>
        <w:t>72</w:t>
      </w:r>
    </w:p>
    <w:p>
      <w:pPr>
        <w:spacing w:after="0" w:line="200" w:lineRule="exact"/>
        <w:rPr>
          <w:sz w:val="20"/>
          <w:szCs w:val="20"/>
          <w:color w:val="auto"/>
        </w:rPr>
      </w:pPr>
    </w:p>
    <w:p>
      <w:pPr>
        <w:spacing w:after="0" w:line="245" w:lineRule="exact"/>
        <w:rPr>
          <w:sz w:val="20"/>
          <w:szCs w:val="20"/>
          <w:color w:val="auto"/>
        </w:rPr>
      </w:pPr>
    </w:p>
    <w:p>
      <w:pPr>
        <w:ind w:left="260" w:right="400" w:firstLine="8"/>
        <w:spacing w:after="0" w:line="432" w:lineRule="auto"/>
        <w:rPr>
          <w:sz w:val="20"/>
          <w:szCs w:val="20"/>
          <w:color w:val="auto"/>
        </w:rPr>
      </w:pPr>
      <w:r>
        <w:rPr>
          <w:rFonts w:ascii="Arial" w:cs="Arial" w:eastAsia="Arial" w:hAnsi="Arial"/>
          <w:sz w:val="24"/>
          <w:szCs w:val="24"/>
          <w:color w:val="auto"/>
        </w:rPr>
        <w:t xml:space="preserve">do Setor Bancário Brasileo. </w:t>
      </w:r>
      <w:r>
        <w:rPr>
          <w:rFonts w:ascii="Arial" w:cs="Arial" w:eastAsia="Arial" w:hAnsi="Arial"/>
          <w:sz w:val="24"/>
          <w:szCs w:val="24"/>
          <w:b w:val="1"/>
          <w:bCs w:val="1"/>
          <w:color w:val="auto"/>
        </w:rPr>
        <w:t>Revista Brasileira de Economia</w:t>
      </w:r>
      <w:r>
        <w:rPr>
          <w:rFonts w:ascii="Arial" w:cs="Arial" w:eastAsia="Arial" w:hAnsi="Arial"/>
          <w:sz w:val="24"/>
          <w:szCs w:val="24"/>
          <w:color w:val="auto"/>
        </w:rPr>
        <w:t>, XXXV Encontro da ANPAD, 2011. Citado 0 vez na página 10.</w:t>
      </w:r>
    </w:p>
    <w:p>
      <w:pPr>
        <w:spacing w:after="0" w:line="59" w:lineRule="exact"/>
        <w:rPr>
          <w:sz w:val="20"/>
          <w:szCs w:val="20"/>
          <w:color w:val="auto"/>
        </w:rPr>
      </w:pPr>
    </w:p>
    <w:p>
      <w:pPr>
        <w:ind w:left="240" w:firstLine="28"/>
        <w:spacing w:after="0" w:line="421" w:lineRule="auto"/>
        <w:rPr>
          <w:rFonts w:ascii="Arial" w:cs="Arial" w:eastAsia="Arial" w:hAnsi="Arial"/>
          <w:sz w:val="24"/>
          <w:szCs w:val="24"/>
          <w:color w:val="auto"/>
        </w:rPr>
      </w:pPr>
      <w:r>
        <w:rPr>
          <w:rFonts w:ascii="Arial" w:cs="Arial" w:eastAsia="Arial" w:hAnsi="Arial"/>
          <w:sz w:val="24"/>
          <w:szCs w:val="24"/>
          <w:color w:val="auto"/>
        </w:rPr>
        <w:t xml:space="preserve">SINGH, Anoop et al. Stabilization and Reform in Latin America: A Macroeconomic Perspective on the Experience Since the Early 1990s. </w:t>
      </w:r>
      <w:r>
        <w:rPr>
          <w:rFonts w:ascii="Arial" w:cs="Arial" w:eastAsia="Arial" w:hAnsi="Arial"/>
          <w:sz w:val="24"/>
          <w:szCs w:val="24"/>
          <w:b w:val="1"/>
          <w:bCs w:val="1"/>
          <w:color w:val="auto"/>
        </w:rPr>
        <w:t>Occasional Paper</w:t>
      </w:r>
      <w:r>
        <w:rPr>
          <w:rFonts w:ascii="Arial" w:cs="Arial" w:eastAsia="Arial" w:hAnsi="Arial"/>
          <w:sz w:val="24"/>
          <w:szCs w:val="24"/>
          <w:color w:val="auto"/>
        </w:rPr>
        <w:t xml:space="preserve">, International Monetary Fund, v. 238, n. 2, fev. 2005. Disponível em: </w:t>
      </w:r>
      <w:hyperlink r:id="rId58">
        <w:r>
          <w:rPr>
            <w:rFonts w:ascii="Arial" w:cs="Arial" w:eastAsia="Arial" w:hAnsi="Arial"/>
            <w:sz w:val="24"/>
            <w:szCs w:val="24"/>
            <w:color w:val="auto"/>
          </w:rPr>
          <w:t xml:space="preserve">&lt;https://www.imf.org/external/pubs/ft/op/238/index.htm&gt;. </w:t>
        </w:r>
      </w:hyperlink>
      <w:r>
        <w:rPr>
          <w:rFonts w:ascii="Arial" w:cs="Arial" w:eastAsia="Arial" w:hAnsi="Arial"/>
          <w:sz w:val="24"/>
          <w:szCs w:val="24"/>
          <w:color w:val="auto"/>
        </w:rPr>
        <w:t>Citado 0 vez na página 6.</w:t>
      </w:r>
    </w:p>
    <w:p>
      <w:pPr>
        <w:spacing w:after="0" w:line="72" w:lineRule="exact"/>
        <w:rPr>
          <w:sz w:val="20"/>
          <w:szCs w:val="20"/>
          <w:color w:val="auto"/>
        </w:rPr>
      </w:pPr>
    </w:p>
    <w:p>
      <w:pPr>
        <w:ind w:left="260"/>
        <w:spacing w:after="0"/>
        <w:rPr>
          <w:sz w:val="20"/>
          <w:szCs w:val="20"/>
          <w:color w:val="auto"/>
        </w:rPr>
      </w:pPr>
      <w:r>
        <w:rPr>
          <w:rFonts w:ascii="Arial" w:cs="Arial" w:eastAsia="Arial" w:hAnsi="Arial"/>
          <w:sz w:val="24"/>
          <w:szCs w:val="24"/>
          <w:color w:val="auto"/>
        </w:rPr>
        <w:t xml:space="preserve">VASCONCELLOS, Marco Antonio Sandoval de. </w:t>
      </w:r>
      <w:r>
        <w:rPr>
          <w:rFonts w:ascii="Arial" w:cs="Arial" w:eastAsia="Arial" w:hAnsi="Arial"/>
          <w:sz w:val="24"/>
          <w:szCs w:val="24"/>
          <w:b w:val="1"/>
          <w:bCs w:val="1"/>
          <w:color w:val="auto"/>
        </w:rPr>
        <w:t>Macroeconomia</w:t>
      </w:r>
      <w:r>
        <w:rPr>
          <w:rFonts w:ascii="Arial" w:cs="Arial" w:eastAsia="Arial" w:hAnsi="Arial"/>
          <w:sz w:val="24"/>
          <w:szCs w:val="24"/>
          <w:color w:val="auto"/>
        </w:rPr>
        <w:t>. 3. ed. São Paulo:</w:t>
      </w:r>
    </w:p>
    <w:p>
      <w:pPr>
        <w:spacing w:after="0" w:line="20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Atlas, 2001. Citado 0 vez na página 27.</w:t>
      </w:r>
    </w:p>
    <w:sectPr>
      <w:pgSz w:w="11900" w:h="16838" w:orient="portrait"/>
      <w:cols w:equalWidth="0" w:num="1">
        <w:col w:w="9320"/>
      </w:cols>
      <w:pgMar w:left="1440" w:top="991" w:right="114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5B" w:usb2="00000009" w:usb3="00000000" w:csb0="400001FF" w:csb1="FFFF0000"/>
  </w:font>
  <w:font w:name="Helvetica">
    <w:panose1 w:val="020B0604020202020204"/>
    <w:charset w:val="00"/>
    <w:family w:val="swiss"/>
    <w:pitch w:val="variable"/>
    <w:sig w:usb0="E0002EFF" w:usb1="C000785B" w:usb2="00000009" w:usb3="00000000" w:csb0="400001FF" w:csb1="FFFF0000"/>
  </w:font>
  <w:font w:name="Times">
    <w:panose1 w:val="02020603050405020304"/>
    <w:charset w:val="00"/>
    <w:family w:val="roman"/>
    <w:pitch w:val="variable"/>
    <w:sig w:usb0="E0002EFF" w:usb1="C000785B"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4509"/>
    <w:multiLevelType w:val="hybridMultilevel"/>
    <w:lvl w:ilvl="0">
      <w:lvlJc w:val="left"/>
      <w:lvlText w:val="2"/>
      <w:numFmt w:val="bullet"/>
      <w:start w:val="1"/>
    </w:lvl>
  </w:abstractNum>
  <w:abstractNum w:abstractNumId="1">
    <w:nsid w:val="1238"/>
    <w:multiLevelType w:val="hybridMultilevel"/>
    <w:lvl w:ilvl="0">
      <w:lvlJc w:val="left"/>
      <w:lvlText w:val="3"/>
      <w:numFmt w:val="bullet"/>
      <w:start w:val="1"/>
    </w:lvl>
  </w:abstractNum>
  <w:abstractNum w:abstractNumId="2">
    <w:nsid w:val="3B25"/>
    <w:multiLevelType w:val="hybridMultilevel"/>
    <w:lvl w:ilvl="0">
      <w:lvlJc w:val="left"/>
      <w:lvlText w:val="4"/>
      <w:numFmt w:val="bullet"/>
      <w:start w:val="1"/>
    </w:lvl>
  </w:abstractNum>
  <w:abstractNum w:abstractNumId="3">
    <w:nsid w:val="1E1F"/>
    <w:multiLevelType w:val="hybridMultilevel"/>
    <w:lvl w:ilvl="0">
      <w:lvlJc w:val="left"/>
      <w:lvlText w:val="%1."/>
      <w:numFmt w:val="decimal"/>
      <w:start w:val="1"/>
    </w:lvl>
  </w:abstractNum>
  <w:abstractNum w:abstractNumId="4">
    <w:nsid w:val="6E5D"/>
    <w:multiLevelType w:val="hybridMultilevel"/>
    <w:lvl w:ilvl="0">
      <w:lvlJc w:val="left"/>
      <w:lvlText w:val="2"/>
      <w:numFmt w:val="bullet"/>
      <w:start w:val="1"/>
    </w:lvl>
  </w:abstractNum>
  <w:abstractNum w:abstractNumId="5">
    <w:nsid w:val="1AD4"/>
    <w:multiLevelType w:val="hybridMultilevel"/>
    <w:lvl w:ilvl="0">
      <w:lvlJc w:val="left"/>
      <w:lvlText w:val="1"/>
      <w:numFmt w:val="bullet"/>
      <w:start w:val="1"/>
    </w:lvl>
  </w:abstractNum>
  <w:abstractNum w:abstractNumId="6">
    <w:nsid w:val="63CB"/>
    <w:multiLevelType w:val="hybridMultilevel"/>
    <w:lvl w:ilvl="0">
      <w:lvlJc w:val="left"/>
      <w:lvlText w:val="2"/>
      <w:numFmt w:val="bullet"/>
      <w:start w:val="1"/>
    </w:lvl>
  </w:abstractNum>
  <w:abstractNum w:abstractNumId="7">
    <w:nsid w:val="6BFC"/>
    <w:multiLevelType w:val="hybridMultilevel"/>
    <w:lvl w:ilvl="0">
      <w:lvlJc w:val="left"/>
      <w:lvlText w:val="1"/>
      <w:numFmt w:val="bullet"/>
      <w:start w:val="1"/>
    </w:lvl>
  </w:abstractNum>
  <w:abstractNum w:abstractNumId="8">
    <w:nsid w:val="7F96"/>
    <w:multiLevelType w:val="hybridMultilevel"/>
    <w:lvl w:ilvl="0">
      <w:lvlJc w:val="left"/>
      <w:lvlText w:val="2"/>
      <w:numFmt w:val="bullet"/>
      <w:start w:val="1"/>
    </w:lvl>
  </w:abstractNum>
  <w:abstractNum w:abstractNumId="9">
    <w:nsid w:val="7FF5"/>
    <w:multiLevelType w:val="hybridMultilevel"/>
    <w:lvl w:ilvl="0">
      <w:lvlJc w:val="left"/>
      <w:lvlText w:val="3"/>
      <w:numFmt w:val="bullet"/>
      <w:start w:val="1"/>
    </w:lvl>
  </w:abstractNum>
  <w:abstractNum w:abstractNumId="10">
    <w:nsid w:val="4E45"/>
    <w:multiLevelType w:val="hybridMultilevel"/>
    <w:lvl w:ilvl="0">
      <w:lvlJc w:val="left"/>
      <w:lvlText w:val="4"/>
      <w:numFmt w:val="bullet"/>
      <w:start w:val="1"/>
    </w:lvl>
  </w:abstractNum>
  <w:abstractNum w:abstractNumId="11">
    <w:nsid w:val="323B"/>
    <w:multiLevelType w:val="hybridMultilevel"/>
    <w:lvl w:ilvl="0">
      <w:lvlJc w:val="left"/>
      <w:lvlText w:val="O"/>
      <w:numFmt w:val="bullet"/>
      <w:start w:val="1"/>
    </w:lvl>
  </w:abstractNum>
  <w:abstractNum w:abstractNumId="12">
    <w:nsid w:val="2213"/>
    <w:multiLevelType w:val="hybridMultilevel"/>
    <w:lvl w:ilvl="0">
      <w:lvlJc w:val="left"/>
      <w:lvlText w:val="5"/>
      <w:numFmt w:val="bullet"/>
      <w:start w:val="1"/>
    </w:lvl>
  </w:abstractNum>
  <w:abstractNum w:abstractNumId="13">
    <w:nsid w:val="260D"/>
    <w:multiLevelType w:val="hybridMultilevel"/>
    <w:lvl w:ilvl="0">
      <w:lvlJc w:val="left"/>
      <w:lvlText w:val="6"/>
      <w:numFmt w:val="bullet"/>
      <w:start w:val="1"/>
    </w:lvl>
  </w:abstractNum>
  <w:abstractNum w:abstractNumId="14">
    <w:nsid w:val="6B89"/>
    <w:multiLevelType w:val="hybridMultilevel"/>
    <w:lvl w:ilvl="0">
      <w:lvlJc w:val="left"/>
      <w:lvlText w:val="7"/>
      <w:numFmt w:val="bullet"/>
      <w:start w:val="1"/>
    </w:lvl>
  </w:abstractNum>
  <w:abstractNum w:abstractNumId="15">
    <w:nsid w:val="30A"/>
    <w:multiLevelType w:val="hybridMultilevel"/>
    <w:lvl w:ilvl="0">
      <w:lvlJc w:val="left"/>
      <w:lvlText w:val="8"/>
      <w:numFmt w:val="bullet"/>
      <w:start w:val="1"/>
    </w:lvl>
  </w:abstractNum>
  <w:abstractNum w:abstractNumId="16">
    <w:nsid w:val="301C"/>
    <w:multiLevelType w:val="hybridMultilevel"/>
    <w:lvl w:ilvl="0">
      <w:lvlJc w:val="left"/>
      <w:lvlText w:val="É"/>
      <w:numFmt w:val="bullet"/>
      <w:start w:val="1"/>
    </w:lvl>
  </w:abstractNum>
  <w:abstractNum w:abstractNumId="17">
    <w:nsid w:val="BDB"/>
    <w:multiLevelType w:val="hybridMultilevel"/>
    <w:lvl w:ilvl="0">
      <w:lvlJc w:val="left"/>
      <w:lvlText w:val="9"/>
      <w:numFmt w:val="bullet"/>
      <w:start w:val="1"/>
    </w:lvl>
  </w:abstractNum>
  <w:abstractNum w:abstractNumId="18">
    <w:nsid w:val="56AE"/>
    <w:multiLevelType w:val="hybridMultilevel"/>
    <w:lvl w:ilvl="0">
      <w:lvlJc w:val="left"/>
      <w:lvlText w:val="É"/>
      <w:numFmt w:val="bullet"/>
      <w:start w:val="1"/>
    </w:lvl>
  </w:abstractNum>
  <w:abstractNum w:abstractNumId="19">
    <w:nsid w:val="732"/>
    <w:multiLevelType w:val="hybridMultilevel"/>
    <w:lvl w:ilvl="0">
      <w:lvlJc w:val="left"/>
      <w:lvlText w:val="\emdash "/>
      <w:numFmt w:val="bullet"/>
      <w:start w:val="1"/>
    </w:lvl>
  </w:abstractNum>
  <w:abstractNum w:abstractNumId="20">
    <w:nsid w:val="120"/>
    <w:multiLevelType w:val="hybridMultilevel"/>
    <w:lvl w:ilvl="0">
      <w:lvlJc w:val="left"/>
      <w:lvlText w:val="\emdash "/>
      <w:numFmt w:val="bullet"/>
      <w:start w:val="1"/>
    </w:lvl>
  </w:abstractNum>
  <w:abstractNum w:abstractNumId="21">
    <w:nsid w:val="759A"/>
    <w:multiLevelType w:val="hybridMultilevel"/>
    <w:lvl w:ilvl="0">
      <w:lvlJc w:val="left"/>
      <w:lvlText w:val="%1"/>
      <w:numFmt w:val="decimal"/>
      <w:start w:val="10"/>
    </w:lvl>
  </w:abstractNum>
  <w:abstractNum w:abstractNumId="22">
    <w:nsid w:val="2350"/>
    <w:multiLevelType w:val="hybridMultilevel"/>
    <w:lvl w:ilvl="0">
      <w:lvlJc w:val="left"/>
      <w:lvlText w:val="%1"/>
      <w:numFmt w:val="decimal"/>
      <w:start w:val="11"/>
    </w:lvl>
  </w:abstractNum>
  <w:abstractNum w:abstractNumId="23">
    <w:nsid w:val="22EE"/>
    <w:multiLevelType w:val="hybridMultilevel"/>
    <w:lvl w:ilvl="0">
      <w:lvlJc w:val="left"/>
      <w:lvlText w:val="R"/>
      <w:numFmt w:val="bullet"/>
      <w:start w:val="1"/>
    </w:lvl>
  </w:abstractNum>
  <w:abstractNum w:abstractNumId="24">
    <w:nsid w:val="4B40"/>
    <w:multiLevelType w:val="hybridMultilevel"/>
    <w:lvl w:ilvl="0">
      <w:lvlJc w:val="left"/>
      <w:lvlText w:val="R"/>
      <w:numFmt w:val="bullet"/>
      <w:start w:val="1"/>
    </w:lvl>
  </w:abstractNum>
  <w:abstractNum w:abstractNumId="25">
    <w:nsid w:val="5878"/>
    <w:multiLevelType w:val="hybridMultilevel"/>
    <w:lvl w:ilvl="0">
      <w:lvlJc w:val="left"/>
      <w:lvlText w:val="1"/>
      <w:numFmt w:val="bullet"/>
      <w:start w:val="1"/>
    </w:lvl>
  </w:abstractNum>
  <w:abstractNum w:abstractNumId="26">
    <w:nsid w:val="6B36"/>
    <w:multiLevelType w:val="hybridMultilevel"/>
    <w:lvl w:ilvl="0">
      <w:lvlJc w:val="left"/>
      <w:lvlText w:val="R"/>
      <w:numFmt w:val="bullet"/>
      <w:start w:val="1"/>
    </w:lvl>
  </w:abstractNum>
  <w:abstractNum w:abstractNumId="27">
    <w:nsid w:val="5CFD"/>
    <w:multiLevelType w:val="hybridMultilevel"/>
    <w:lvl w:ilvl="0">
      <w:lvlJc w:val="left"/>
      <w:lvlText w:val="2"/>
      <w:numFmt w:val="bullet"/>
      <w:start w:val="1"/>
    </w:lvl>
  </w:abstractNum>
  <w:abstractNum w:abstractNumId="28">
    <w:nsid w:val="3E12"/>
    <w:multiLevelType w:val="hybridMultilevel"/>
    <w:lvl w:ilvl="0">
      <w:lvlJc w:val="left"/>
      <w:lvlText w:val="\emdash "/>
      <w:numFmt w:val="bullet"/>
      <w:start w:val="1"/>
    </w:lvl>
  </w:abstractNum>
  <w:abstractNum w:abstractNumId="29">
    <w:nsid w:val="1A49"/>
    <w:multiLevelType w:val="hybridMultilevel"/>
    <w:lvl w:ilvl="0">
      <w:lvlJc w:val="left"/>
      <w:lvlText w:val="."/>
      <w:numFmt w:val="bullet"/>
      <w:start w:val="1"/>
    </w:lvl>
  </w:abstractNum>
  <w:abstractNum w:abstractNumId="30">
    <w:nsid w:val="5F32"/>
    <w:multiLevelType w:val="hybridMultilevel"/>
    <w:lvl w:ilvl="0">
      <w:lvlJc w:val="left"/>
      <w:lvlText w:val="."/>
      <w:numFmt w:val="bullet"/>
      <w:start w:val="1"/>
    </w:lvl>
  </w:abstractNum>
  <w:abstractNum w:abstractNumId="31">
    <w:nsid w:val="3BF6"/>
    <w:multiLevelType w:val="hybridMultilevel"/>
    <w:lvl w:ilvl="0">
      <w:lvlJc w:val="left"/>
      <w:lvlText w:val="."/>
      <w:numFmt w:val="bullet"/>
      <w:start w:val="1"/>
    </w:lvl>
  </w:abstractNum>
  <w:abstractNum w:abstractNumId="32">
    <w:nsid w:val="3A9E"/>
    <w:multiLevelType w:val="hybridMultilevel"/>
    <w:lvl w:ilvl="0">
      <w:lvlJc w:val="left"/>
      <w:lvlText w:val="."/>
      <w:numFmt w:val="bullet"/>
      <w:start w:val="1"/>
    </w:lvl>
  </w:abstractNum>
  <w:abstractNum w:abstractNumId="33">
    <w:nsid w:val="797D"/>
    <w:multiLevelType w:val="hybridMultilevel"/>
    <w:lvl w:ilvl="0">
      <w:lvlJc w:val="left"/>
      <w:lvlText w:val="."/>
      <w:numFmt w:val="bullet"/>
      <w:start w:val="1"/>
    </w:lvl>
  </w:abstractNum>
  <w:abstractNum w:abstractNumId="34">
    <w:nsid w:val="5F49"/>
    <w:multiLevelType w:val="hybridMultilevel"/>
    <w:lvl w:ilvl="0">
      <w:lvlJc w:val="left"/>
      <w:lvlText w:val="."/>
      <w:numFmt w:val="bullet"/>
      <w:start w:val="1"/>
    </w:lvl>
  </w:abstractNum>
  <w:abstractNum w:abstractNumId="35">
    <w:nsid w:val="DDC"/>
    <w:multiLevelType w:val="hybridMultilevel"/>
    <w:lvl w:ilvl="0">
      <w:lvlJc w:val="left"/>
      <w:lvlText w:val="."/>
      <w:numFmt w:val="bullet"/>
      <w:start w:val="1"/>
    </w:lvl>
  </w:abstractNum>
  <w:abstractNum w:abstractNumId="36">
    <w:nsid w:val="4CAD"/>
    <w:multiLevelType w:val="hybridMultilevel"/>
    <w:lvl w:ilvl="0">
      <w:lvlJc w:val="left"/>
      <w:lvlText w:val="."/>
      <w:numFmt w:val="bullet"/>
      <w:start w:val="1"/>
    </w:lvl>
  </w:abstractNum>
  <w:abstractNum w:abstractNumId="37">
    <w:nsid w:val="314F"/>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hyperlink" Target="https://www.bcb.gov.br/ftp/jurospread112000.pdf" TargetMode="External"/><Relationship Id="rId35" Type="http://schemas.openxmlformats.org/officeDocument/2006/relationships/hyperlink" Target="https://www.bcb.gov.br/content/publicacoes/programacaomonetaria/pm-022019p.pdf" TargetMode="External"/><Relationship Id="rId36" Type="http://schemas.openxmlformats.org/officeDocument/2006/relationships/hyperlink" Target="https://www3.bcb.gov.br/sgspub/consultarmetadados/consultarMetadadosSeries.do?method=consultarMetadadosSeriesInternet&amp;hdOidSerieSelecionada=27810" TargetMode="External"/><Relationship Id="rId37" Type="http://schemas.openxmlformats.org/officeDocument/2006/relationships/hyperlink" Target="https://www3.bcb.gov.br/sgspub/consultarmetadados/consultarMetadadosSeries.do?method=consultarMetadadosSeriesInternet&amp;hdOidSerieSelecionada=27789" TargetMode="External"/><Relationship Id="rId38" Type="http://schemas.openxmlformats.org/officeDocument/2006/relationships/hyperlink" Target="https://www3.bcb.gov.br/sgspub/consultarmetadados/consultarMetadadosSeries.do?method=consultarMetadadosSeriesInternet" TargetMode="External"/><Relationship Id="rId39" Type="http://schemas.openxmlformats.org/officeDocument/2006/relationships/hyperlink" Target="http://documents1.worldbank.org/curated/en/306701468337879923/pdf/337970rev0Fina10Assessment01PUBLIC1.pdf" TargetMode="External"/><Relationship Id="rId40" Type="http://schemas.openxmlformats.org/officeDocument/2006/relationships/hyperlink" Target="http://www.planalto.gov.br/ccivil_03/constituicao/constituicao.htm" TargetMode="External"/><Relationship Id="rId41" Type="http://schemas.openxmlformats.org/officeDocument/2006/relationships/hyperlink" Target="https://www2.camara.leg.br/legin/fed/decret/1900-1909/decreto-1455-30-dezembro-1905-582773-publicacaooriginal-105568-pl.html" TargetMode="External"/><Relationship Id="rId42" Type="http://schemas.openxmlformats.org/officeDocument/2006/relationships/hyperlink" Target="http://www.planalto.gov.br/ccivil_03/decreto-lei/del0759.htm" TargetMode="External"/><Relationship Id="rId43" Type="http://schemas.openxmlformats.org/officeDocument/2006/relationships/hyperlink" Target="http://www.planalto.gov.br/ccivil_03/leis/L4595.htm" TargetMode="External"/><Relationship Id="rId44" Type="http://schemas.openxmlformats.org/officeDocument/2006/relationships/hyperlink" Target="https://EconPapers.repec.org/RePEc:eee:deveco:v:63:y:2000:i:1:p:113-134" TargetMode="External"/><Relationship Id="rId45" Type="http://schemas.openxmlformats.org/officeDocument/2006/relationships/hyperlink" Target="https://www.bcb.gov.br/pre/normativos/busca/downloadNormativo.asp?arquivo=/Lists/Normativos/Attachments/45083/Res_2624_v1_O.pdf" TargetMode="External"/><Relationship Id="rId46" Type="http://schemas.openxmlformats.org/officeDocument/2006/relationships/hyperlink" Target="https://www.bcb.gov.br/pre/normativos/res/1976/pdf/res_0394_v13_P.pdf" TargetMode="External"/><Relationship Id="rId47" Type="http://schemas.openxmlformats.org/officeDocument/2006/relationships/hyperlink" Target="https://www.bcb.gov.br/pre/normativos/res/1988/pdf/res_1524_v8_P.pdf" TargetMode="External"/><Relationship Id="rId48" Type="http://schemas.openxmlformats.org/officeDocument/2006/relationships/hyperlink" Target="https://www.bcb.gov.br/pre/normativos/res/1994/pdf/res_2099_v1_O.pdf" TargetMode="External"/><Relationship Id="rId49" Type="http://schemas.openxmlformats.org/officeDocument/2006/relationships/hyperlink" Target="Dispon%C3%ADvel%20em%20%5Curl%7Bhttps://www.bcb.gov.br/pec/notastecnicas/port/2002nt26avalgeracaoresultp.pdf%7D%20Acesso%20em:%2020/11/2020" TargetMode="External"/><Relationship Id="rId50" Type="http://schemas.openxmlformats.org/officeDocument/2006/relationships/hyperlink" Target="https://citeseerx.ist.psu.edu/viewdoc/download?doi=10.1.1.194.3108&amp;rep=rep1&amp;type=pdf" TargetMode="External"/><Relationship Id="rId51" Type="http://schemas.openxmlformats.org/officeDocument/2006/relationships/hyperlink" Target="https://doi.org/10.5007/2175-8077.2018v20n51p26" TargetMode="External"/><Relationship Id="rId52" Type="http://schemas.openxmlformats.org/officeDocument/2006/relationships/hyperlink" Target="https://EconPapers.repec.org/RePEc:cup:jfinqa:v:16:y:1981:i:04:p:581-600_00" TargetMode="External"/><Relationship Id="rId53" Type="http://schemas.openxmlformats.org/officeDocument/2006/relationships/hyperlink" Target="http://www.jstor.org/stable/1991279" TargetMode="External"/><Relationship Id="rId54" Type="http://schemas.openxmlformats.org/officeDocument/2006/relationships/hyperlink" Target="http://www.jstor.org/stable/2729790" TargetMode="External"/><Relationship Id="rId55" Type="http://schemas.openxmlformats.org/officeDocument/2006/relationships/hyperlink" Target="Dispon%C3%ADvel%20em%20%5Curl%7Bhttps://www.imf.org/external/pubs/ft/op/238/index.htm%7D%20Acesso%20em:%2017%20fev.%202021" TargetMode="External"/><Relationship Id="rId56" Type="http://schemas.openxmlformats.org/officeDocument/2006/relationships/hyperlink" Target="https://www.bcb.gov.br/content/publicacoes/notastecnicas/2003nt40Inter-relentreDesenvFinanp.pdf" TargetMode="External"/><Relationship Id="rId57" Type="http://schemas.openxmlformats.org/officeDocument/2006/relationships/hyperlink" Target="https://intercostos.org/documentos/apellidos/Das%20Neves%201.pdf" TargetMode="External"/><Relationship Id="rId58" Type="http://schemas.openxmlformats.org/officeDocument/2006/relationships/hyperlink" Target="https://www.imf.org/external/pubs/ft/op/238/index.ht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2021-03-03T16:10:31Z</dcterms:created>
  <dcterms:modified xsi:type="dcterms:W3CDTF">2021-03-03T16:10:31Z</dcterms:modified>
</cp:coreProperties>
</file>