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1062355</wp:posOffset>
            </wp:positionV>
            <wp:extent cx="7560310" cy="85680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7560310" cy="856805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44" w:lineRule="exact"/>
        <w:rPr>
          <w:sz w:val="24"/>
          <w:szCs w:val="24"/>
          <w:color w:val="auto"/>
        </w:rPr>
      </w:pPr>
    </w:p>
    <w:p>
      <w:pPr>
        <w:ind w:left="2560"/>
        <w:spacing w:after="0"/>
        <w:rPr>
          <w:sz w:val="20"/>
          <w:szCs w:val="20"/>
          <w:color w:val="auto"/>
        </w:rPr>
      </w:pPr>
      <w:r>
        <w:rPr>
          <w:rFonts w:ascii="Arial" w:cs="Arial" w:eastAsia="Arial" w:hAnsi="Arial"/>
          <w:sz w:val="24"/>
          <w:szCs w:val="24"/>
          <w:b w:val="1"/>
          <w:bCs w:val="1"/>
          <w:color w:val="auto"/>
        </w:rPr>
        <w:t>UNIVERSIDADE FEDERAL DO PARANÁ</w:t>
      </w:r>
    </w:p>
    <w:p>
      <w:pPr>
        <w:spacing w:after="0" w:line="89" w:lineRule="exact"/>
        <w:rPr>
          <w:sz w:val="24"/>
          <w:szCs w:val="24"/>
          <w:color w:val="auto"/>
        </w:rPr>
      </w:pPr>
    </w:p>
    <w:p>
      <w:pPr>
        <w:ind w:left="2880"/>
        <w:spacing w:after="0"/>
        <w:rPr>
          <w:sz w:val="20"/>
          <w:szCs w:val="20"/>
          <w:color w:val="auto"/>
        </w:rPr>
      </w:pPr>
      <w:r>
        <w:rPr>
          <w:rFonts w:ascii="Arial" w:cs="Arial" w:eastAsia="Arial" w:hAnsi="Arial"/>
          <w:sz w:val="24"/>
          <w:szCs w:val="24"/>
          <w:b w:val="1"/>
          <w:bCs w:val="1"/>
          <w:color w:val="auto"/>
        </w:rPr>
        <w:t>DEPARTAMENTO DE ECONOMIA</w:t>
      </w:r>
    </w:p>
    <w:p>
      <w:pPr>
        <w:spacing w:after="0" w:line="202" w:lineRule="exact"/>
        <w:rPr>
          <w:sz w:val="24"/>
          <w:szCs w:val="24"/>
          <w:color w:val="auto"/>
        </w:rPr>
      </w:pPr>
    </w:p>
    <w:p>
      <w:pPr>
        <w:jc w:val="center"/>
        <w:ind w:right="-279"/>
        <w:spacing w:after="0"/>
        <w:rPr>
          <w:sz w:val="20"/>
          <w:szCs w:val="20"/>
          <w:color w:val="auto"/>
        </w:rPr>
      </w:pPr>
      <w:r>
        <w:rPr>
          <w:rFonts w:ascii="Arial" w:cs="Arial" w:eastAsia="Arial" w:hAnsi="Arial"/>
          <w:sz w:val="24"/>
          <w:szCs w:val="24"/>
          <w:b w:val="1"/>
          <w:bCs w:val="1"/>
          <w:color w:val="auto"/>
        </w:rPr>
        <w:t>PROGRAMA PROFISSIONAL DE PÓS-GRADUAÇÃO EM ECONOMIA</w:t>
      </w:r>
    </w:p>
    <w:p>
      <w:pPr>
        <w:spacing w:after="0" w:line="202" w:lineRule="exact"/>
        <w:rPr>
          <w:sz w:val="24"/>
          <w:szCs w:val="24"/>
          <w:color w:val="auto"/>
        </w:rPr>
      </w:pPr>
    </w:p>
    <w:p>
      <w:pPr>
        <w:ind w:left="2280"/>
        <w:spacing w:after="0"/>
        <w:rPr>
          <w:sz w:val="20"/>
          <w:szCs w:val="20"/>
          <w:color w:val="auto"/>
        </w:rPr>
      </w:pPr>
      <w:r>
        <w:rPr>
          <w:rFonts w:ascii="Arial" w:cs="Arial" w:eastAsia="Arial" w:hAnsi="Arial"/>
          <w:sz w:val="24"/>
          <w:szCs w:val="24"/>
          <w:b w:val="1"/>
          <w:bCs w:val="1"/>
          <w:color w:val="auto"/>
        </w:rPr>
        <w:t>MESTRADO PROFISSIONAL EM ECONOMIA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0" w:lineRule="exact"/>
        <w:rPr>
          <w:sz w:val="24"/>
          <w:szCs w:val="24"/>
          <w:color w:val="auto"/>
        </w:rPr>
      </w:pPr>
    </w:p>
    <w:p>
      <w:pPr>
        <w:jc w:val="center"/>
        <w:ind w:right="-279"/>
        <w:spacing w:after="0"/>
        <w:rPr>
          <w:sz w:val="20"/>
          <w:szCs w:val="20"/>
          <w:color w:val="auto"/>
        </w:rPr>
      </w:pPr>
      <w:r>
        <w:rPr>
          <w:rFonts w:ascii="Arial" w:cs="Arial" w:eastAsia="Arial" w:hAnsi="Arial"/>
          <w:sz w:val="24"/>
          <w:szCs w:val="24"/>
          <w:b w:val="1"/>
          <w:bCs w:val="1"/>
          <w:color w:val="auto"/>
        </w:rPr>
        <w:t>JACKSON DA SILVA TORRES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0" w:lineRule="exact"/>
        <w:rPr>
          <w:sz w:val="24"/>
          <w:szCs w:val="24"/>
          <w:color w:val="auto"/>
        </w:rPr>
      </w:pPr>
    </w:p>
    <w:p>
      <w:pPr>
        <w:jc w:val="center"/>
        <w:ind w:left="280"/>
        <w:spacing w:after="0" w:line="331" w:lineRule="auto"/>
        <w:rPr>
          <w:sz w:val="20"/>
          <w:szCs w:val="20"/>
          <w:color w:val="auto"/>
        </w:rPr>
      </w:pPr>
      <w:r>
        <w:rPr>
          <w:rFonts w:ascii="Arial" w:cs="Arial" w:eastAsia="Arial" w:hAnsi="Arial"/>
          <w:sz w:val="24"/>
          <w:szCs w:val="24"/>
          <w:b w:val="1"/>
          <w:bCs w:val="1"/>
          <w:color w:val="auto"/>
        </w:rPr>
        <w:t>OS EFEITOS DAS VARIAÇÕES DOS COMPONENTES DO SPREAD EX-POST NA RENTABILIDADE DAS INSTITUIÇÕES BANCÁRIAS.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7" w:lineRule="exact"/>
        <w:rPr>
          <w:sz w:val="24"/>
          <w:szCs w:val="24"/>
          <w:color w:val="auto"/>
        </w:rPr>
      </w:pPr>
    </w:p>
    <w:p>
      <w:pPr>
        <w:jc w:val="center"/>
        <w:ind w:right="-279"/>
        <w:spacing w:after="0"/>
        <w:rPr>
          <w:sz w:val="20"/>
          <w:szCs w:val="20"/>
          <w:color w:val="auto"/>
        </w:rPr>
      </w:pPr>
      <w:r>
        <w:rPr>
          <w:rFonts w:ascii="Arial" w:cs="Arial" w:eastAsia="Arial" w:hAnsi="Arial"/>
          <w:sz w:val="29"/>
          <w:szCs w:val="29"/>
          <w:b w:val="1"/>
          <w:bCs w:val="1"/>
          <w:color w:val="auto"/>
        </w:rPr>
        <w:t>CURITIBA</w:t>
      </w:r>
    </w:p>
    <w:p>
      <w:pPr>
        <w:sectPr>
          <w:pgSz w:w="11900" w:h="16838" w:orient="portrait"/>
          <w:cols w:equalWidth="0" w:num="1">
            <w:col w:w="9300"/>
          </w:cols>
          <w:pgMar w:left="1440" w:top="1440" w:right="1166" w:bottom="982" w:gutter="0" w:footer="0" w:header="0"/>
        </w:sectPr>
      </w:pPr>
    </w:p>
    <w:p>
      <w:pPr>
        <w:spacing w:after="0" w:line="231" w:lineRule="exact"/>
        <w:rPr>
          <w:sz w:val="24"/>
          <w:szCs w:val="24"/>
          <w:color w:val="auto"/>
        </w:rPr>
      </w:pPr>
    </w:p>
    <w:p>
      <w:pPr>
        <w:jc w:val="center"/>
        <w:ind w:right="-299"/>
        <w:spacing w:after="0"/>
        <w:rPr>
          <w:sz w:val="20"/>
          <w:szCs w:val="20"/>
          <w:color w:val="auto"/>
        </w:rPr>
      </w:pPr>
      <w:r>
        <w:rPr>
          <w:rFonts w:ascii="Arial" w:cs="Arial" w:eastAsia="Arial" w:hAnsi="Arial"/>
          <w:sz w:val="28"/>
          <w:szCs w:val="28"/>
          <w:b w:val="1"/>
          <w:bCs w:val="1"/>
          <w:color w:val="auto"/>
        </w:rPr>
        <w:t>2021</w:t>
      </w:r>
    </w:p>
    <w:p>
      <w:pPr>
        <w:sectPr>
          <w:pgSz w:w="11900" w:h="16838" w:orient="portrait"/>
          <w:cols w:equalWidth="0" w:num="1">
            <w:col w:w="9300"/>
          </w:cols>
          <w:pgMar w:left="1440" w:top="1440" w:right="1166" w:bottom="982" w:gutter="0" w:footer="0" w:header="0"/>
          <w:type w:val="continuous"/>
        </w:sectPr>
      </w:pPr>
    </w:p>
    <w:p>
      <w:pPr>
        <w:spacing w:after="0" w:line="274" w:lineRule="exact"/>
        <w:rPr>
          <w:sz w:val="20"/>
          <w:szCs w:val="20"/>
          <w:color w:val="auto"/>
        </w:rPr>
      </w:pPr>
    </w:p>
    <w:p>
      <w:pPr>
        <w:jc w:val="center"/>
        <w:ind w:right="-299"/>
        <w:spacing w:after="0"/>
        <w:rPr>
          <w:sz w:val="20"/>
          <w:szCs w:val="20"/>
          <w:color w:val="auto"/>
        </w:rPr>
      </w:pPr>
      <w:r>
        <w:rPr>
          <w:rFonts w:ascii="Arial" w:cs="Arial" w:eastAsia="Arial" w:hAnsi="Arial"/>
          <w:sz w:val="24"/>
          <w:szCs w:val="24"/>
          <w:color w:val="auto"/>
        </w:rPr>
        <w:t>JACKSON DA SILVA TORRES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ind w:left="320"/>
        <w:spacing w:after="0" w:line="327" w:lineRule="auto"/>
        <w:rPr>
          <w:sz w:val="20"/>
          <w:szCs w:val="20"/>
          <w:color w:val="auto"/>
        </w:rPr>
      </w:pPr>
      <w:r>
        <w:rPr>
          <w:rFonts w:ascii="Arial" w:cs="Arial" w:eastAsia="Arial" w:hAnsi="Arial"/>
          <w:sz w:val="24"/>
          <w:szCs w:val="24"/>
          <w:color w:val="auto"/>
        </w:rPr>
        <w:t>OS EFEITOS DAS VARIAÇÕES DOS COMPONENTES DO SPREAD EX-POST NA RENTABILIDADE DAS INSTITUIÇÕES BANCÁRIAS.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Trabalho apresentado como requisito parcial</w:t>
      </w:r>
    </w:p>
    <w:p>
      <w:pPr>
        <w:spacing w:after="0" w:line="18"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para a obtenção do título de Mestre Profisisonal</w:t>
      </w:r>
    </w:p>
    <w:p>
      <w:pPr>
        <w:spacing w:after="0" w:line="18" w:lineRule="exact"/>
        <w:rPr>
          <w:sz w:val="20"/>
          <w:szCs w:val="20"/>
          <w:color w:val="auto"/>
        </w:rPr>
      </w:pPr>
    </w:p>
    <w:p>
      <w:pPr>
        <w:ind w:left="4600"/>
        <w:spacing w:after="0"/>
        <w:rPr>
          <w:sz w:val="20"/>
          <w:szCs w:val="20"/>
          <w:color w:val="auto"/>
        </w:rPr>
      </w:pPr>
      <w:r>
        <w:rPr>
          <w:rFonts w:ascii="Arial" w:cs="Arial" w:eastAsia="Arial" w:hAnsi="Arial"/>
          <w:sz w:val="21"/>
          <w:szCs w:val="21"/>
          <w:color w:val="auto"/>
        </w:rPr>
        <w:t>em Economia no curso de Mestrado Profissional</w:t>
      </w:r>
    </w:p>
    <w:p>
      <w:pPr>
        <w:spacing w:after="0" w:line="30"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em Economia pelo Departamento de Economia</w:t>
      </w:r>
    </w:p>
    <w:p>
      <w:pPr>
        <w:spacing w:after="0" w:line="18"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da Universidade Federal do Paraná.</w:t>
      </w:r>
    </w:p>
    <w:p>
      <w:pPr>
        <w:spacing w:after="0" w:line="131" w:lineRule="exact"/>
        <w:rPr>
          <w:sz w:val="20"/>
          <w:szCs w:val="20"/>
          <w:color w:val="auto"/>
        </w:rPr>
      </w:pPr>
    </w:p>
    <w:p>
      <w:pPr>
        <w:ind w:left="4600"/>
        <w:spacing w:after="0"/>
        <w:rPr>
          <w:sz w:val="20"/>
          <w:szCs w:val="20"/>
          <w:color w:val="auto"/>
        </w:rPr>
      </w:pPr>
      <w:r>
        <w:rPr>
          <w:rFonts w:ascii="Arial" w:cs="Arial" w:eastAsia="Arial" w:hAnsi="Arial"/>
          <w:sz w:val="22"/>
          <w:szCs w:val="22"/>
          <w:color w:val="auto"/>
        </w:rPr>
        <w:t>Orientadora: Profª Dra. Mayla Costa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center"/>
        <w:ind w:right="-319"/>
        <w:spacing w:after="0"/>
        <w:rPr>
          <w:sz w:val="20"/>
          <w:szCs w:val="20"/>
          <w:color w:val="auto"/>
        </w:rPr>
      </w:pPr>
      <w:r>
        <w:rPr>
          <w:rFonts w:ascii="Arial" w:cs="Arial" w:eastAsia="Arial" w:hAnsi="Arial"/>
          <w:sz w:val="24"/>
          <w:szCs w:val="24"/>
          <w:color w:val="auto"/>
        </w:rPr>
        <w:t>CURITIBA</w:t>
      </w:r>
    </w:p>
    <w:p>
      <w:pPr>
        <w:sectPr>
          <w:pgSz w:w="11900" w:h="16838" w:orient="portrait"/>
          <w:cols w:equalWidth="0" w:num="1">
            <w:col w:w="9280"/>
          </w:cols>
          <w:pgMar w:left="1440" w:top="1440" w:right="1186" w:bottom="1440" w:gutter="0" w:footer="0" w:header="0"/>
        </w:sectPr>
      </w:pPr>
    </w:p>
    <w:p>
      <w:pPr>
        <w:spacing w:after="0" w:line="202" w:lineRule="exact"/>
        <w:rPr>
          <w:sz w:val="20"/>
          <w:szCs w:val="20"/>
          <w:color w:val="auto"/>
        </w:rPr>
      </w:pPr>
    </w:p>
    <w:p>
      <w:pPr>
        <w:jc w:val="center"/>
        <w:ind w:right="-239"/>
        <w:spacing w:after="0"/>
        <w:rPr>
          <w:sz w:val="20"/>
          <w:szCs w:val="20"/>
          <w:color w:val="auto"/>
        </w:rPr>
      </w:pPr>
      <w:r>
        <w:rPr>
          <w:rFonts w:ascii="Arial" w:cs="Arial" w:eastAsia="Arial" w:hAnsi="Arial"/>
          <w:sz w:val="23"/>
          <w:szCs w:val="23"/>
          <w:color w:val="auto"/>
        </w:rPr>
        <w:t>2021</w:t>
      </w:r>
    </w:p>
    <w:p>
      <w:pPr>
        <w:sectPr>
          <w:pgSz w:w="11900" w:h="16838" w:orient="portrait"/>
          <w:cols w:equalWidth="0" w:num="1">
            <w:col w:w="9280"/>
          </w:cols>
          <w:pgMar w:left="1440" w:top="1440" w:right="1186" w:bottom="1440" w:gutter="0" w:footer="0" w:header="0"/>
          <w:type w:val="continuous"/>
        </w:sectPr>
      </w:pPr>
    </w:p>
    <w:p>
      <w:pPr>
        <w:spacing w:after="0" w:line="273" w:lineRule="exact"/>
        <w:rPr>
          <w:sz w:val="20"/>
          <w:szCs w:val="20"/>
          <w:color w:val="auto"/>
        </w:rPr>
      </w:pPr>
    </w:p>
    <w:p>
      <w:pPr>
        <w:jc w:val="center"/>
        <w:ind w:right="-179"/>
        <w:spacing w:after="0"/>
        <w:rPr>
          <w:sz w:val="20"/>
          <w:szCs w:val="20"/>
          <w:color w:val="auto"/>
        </w:rPr>
      </w:pPr>
      <w:r>
        <w:rPr>
          <w:rFonts w:ascii="Arial" w:cs="Arial" w:eastAsia="Arial" w:hAnsi="Arial"/>
          <w:sz w:val="24"/>
          <w:szCs w:val="24"/>
          <w:b w:val="1"/>
          <w:bCs w:val="1"/>
          <w:color w:val="auto"/>
        </w:rPr>
        <w:t>LISTA DE ILUSTRAÇÕES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260" w:type="dxa"/>
        <w:tblCellMar>
          <w:top w:w="0" w:type="dxa"/>
          <w:left w:w="0" w:type="dxa"/>
          <w:bottom w:w="0" w:type="dxa"/>
          <w:right w:w="0" w:type="dxa"/>
        </w:tblCellMar>
      </w:tblPr>
      <w:tr>
        <w:trPr>
          <w:trHeight w:val="294"/>
        </w:trPr>
        <w:tc>
          <w:tcPr>
            <w:tcW w:w="1220" w:type="dxa"/>
            <w:vAlign w:val="bottom"/>
          </w:tcPr>
          <w:p>
            <w:pPr>
              <w:spacing w:after="0"/>
              <w:rPr>
                <w:sz w:val="20"/>
                <w:szCs w:val="20"/>
                <w:color w:val="auto"/>
              </w:rPr>
            </w:pPr>
            <w:r>
              <w:rPr>
                <w:rFonts w:ascii="Arial" w:cs="Arial" w:eastAsia="Arial" w:hAnsi="Arial"/>
                <w:sz w:val="24"/>
                <w:szCs w:val="24"/>
                <w:color w:val="auto"/>
              </w:rPr>
              <w:t>FIGURA 1</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do setor bancário brasileiro por segmento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12</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2</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da quantidade de instituições no setor bancário brasileiro</w:t>
            </w:r>
          </w:p>
        </w:tc>
        <w:tc>
          <w:tcPr>
            <w:tcW w:w="380" w:type="dxa"/>
            <w:vAlign w:val="bottom"/>
          </w:tcPr>
          <w:p>
            <w:pPr>
              <w:jc w:val="right"/>
              <w:spacing w:after="0"/>
              <w:rPr>
                <w:sz w:val="20"/>
                <w:szCs w:val="20"/>
                <w:color w:val="auto"/>
              </w:rPr>
            </w:pPr>
            <w:r>
              <w:rPr>
                <w:rFonts w:ascii="Arial" w:cs="Arial" w:eastAsia="Arial" w:hAnsi="Arial"/>
                <w:sz w:val="24"/>
                <w:szCs w:val="24"/>
                <w:color w:val="auto"/>
              </w:rPr>
              <w:t>14</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3</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de origem de capital das instituições bancárias no Brasil</w:t>
            </w:r>
          </w:p>
        </w:tc>
        <w:tc>
          <w:tcPr>
            <w:tcW w:w="380" w:type="dxa"/>
            <w:vAlign w:val="bottom"/>
          </w:tcPr>
          <w:p>
            <w:pPr>
              <w:jc w:val="right"/>
              <w:spacing w:after="0"/>
              <w:rPr>
                <w:sz w:val="20"/>
                <w:szCs w:val="20"/>
                <w:color w:val="auto"/>
              </w:rPr>
            </w:pPr>
            <w:r>
              <w:rPr>
                <w:rFonts w:ascii="Arial" w:cs="Arial" w:eastAsia="Arial" w:hAnsi="Arial"/>
                <w:sz w:val="24"/>
                <w:szCs w:val="24"/>
                <w:color w:val="auto"/>
              </w:rPr>
              <w:t>15</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4</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da relação Crédito/PIB no Brasil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16</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5</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anual do saldo carteira de crédito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17</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6</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da Base Monetária — no Brasil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20</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7</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Diagrama de ilustração das vertentes de pesquisa do spread  . .</w:t>
            </w:r>
          </w:p>
        </w:tc>
        <w:tc>
          <w:tcPr>
            <w:tcW w:w="380" w:type="dxa"/>
            <w:vAlign w:val="bottom"/>
          </w:tcPr>
          <w:p>
            <w:pPr>
              <w:jc w:val="right"/>
              <w:spacing w:after="0"/>
              <w:rPr>
                <w:sz w:val="20"/>
                <w:szCs w:val="20"/>
                <w:color w:val="auto"/>
              </w:rPr>
            </w:pPr>
            <w:r>
              <w:rPr>
                <w:rFonts w:ascii="Arial" w:cs="Arial" w:eastAsia="Arial" w:hAnsi="Arial"/>
                <w:sz w:val="24"/>
                <w:szCs w:val="24"/>
                <w:color w:val="auto"/>
              </w:rPr>
              <w:t>24</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8</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do spread bancário Brasileiro até 2011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27</w:t>
            </w:r>
          </w:p>
        </w:tc>
      </w:tr>
      <w:tr>
        <w:trPr>
          <w:trHeight w:val="359"/>
        </w:trPr>
        <w:tc>
          <w:tcPr>
            <w:tcW w:w="1220" w:type="dxa"/>
            <w:vAlign w:val="bottom"/>
          </w:tcPr>
          <w:p>
            <w:pPr>
              <w:spacing w:after="0"/>
              <w:rPr>
                <w:sz w:val="20"/>
                <w:szCs w:val="20"/>
                <w:color w:val="auto"/>
              </w:rPr>
            </w:pPr>
            <w:r>
              <w:rPr>
                <w:rFonts w:ascii="Arial" w:cs="Arial" w:eastAsia="Arial" w:hAnsi="Arial"/>
                <w:sz w:val="24"/>
                <w:szCs w:val="24"/>
                <w:color w:val="auto"/>
              </w:rPr>
              <w:t>FIGURA 9</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220" w:type="dxa"/>
            <w:vAlign w:val="bottom"/>
          </w:tcPr>
          <w:p>
            <w:pPr>
              <w:ind w:left="60"/>
              <w:spacing w:after="0"/>
              <w:rPr>
                <w:sz w:val="20"/>
                <w:szCs w:val="20"/>
                <w:color w:val="auto"/>
              </w:rPr>
            </w:pPr>
            <w:r>
              <w:rPr>
                <w:rFonts w:ascii="Arial" w:cs="Arial" w:eastAsia="Arial" w:hAnsi="Arial"/>
                <w:sz w:val="24"/>
                <w:szCs w:val="24"/>
                <w:color w:val="auto"/>
              </w:rPr>
              <w:t>Evolução do Spread médio das operações de crédito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28</w:t>
            </w:r>
          </w:p>
        </w:tc>
      </w:tr>
      <w:tr>
        <w:trPr>
          <w:trHeight w:val="359"/>
        </w:trPr>
        <w:tc>
          <w:tcPr>
            <w:tcW w:w="8720" w:type="dxa"/>
            <w:vAlign w:val="bottom"/>
            <w:gridSpan w:val="3"/>
          </w:tcPr>
          <w:p>
            <w:pPr>
              <w:spacing w:after="0"/>
              <w:rPr>
                <w:sz w:val="20"/>
                <w:szCs w:val="20"/>
                <w:color w:val="auto"/>
              </w:rPr>
            </w:pPr>
            <w:r>
              <w:rPr>
                <w:rFonts w:ascii="Arial" w:cs="Arial" w:eastAsia="Arial" w:hAnsi="Arial"/>
                <w:sz w:val="24"/>
                <w:szCs w:val="24"/>
                <w:color w:val="auto"/>
              </w:rPr>
              <w:t>FIGURA 10 – Evolução do Spread do Índice do Custo de Crédito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29</w:t>
            </w:r>
          </w:p>
        </w:tc>
      </w:tr>
      <w:tr>
        <w:trPr>
          <w:trHeight w:val="359"/>
        </w:trPr>
        <w:tc>
          <w:tcPr>
            <w:tcW w:w="8720" w:type="dxa"/>
            <w:vAlign w:val="bottom"/>
            <w:gridSpan w:val="3"/>
          </w:tcPr>
          <w:p>
            <w:pPr>
              <w:spacing w:after="0"/>
              <w:rPr>
                <w:sz w:val="20"/>
                <w:szCs w:val="20"/>
                <w:color w:val="auto"/>
              </w:rPr>
            </w:pPr>
            <w:r>
              <w:rPr>
                <w:rFonts w:ascii="Arial" w:cs="Arial" w:eastAsia="Arial" w:hAnsi="Arial"/>
                <w:sz w:val="24"/>
                <w:szCs w:val="24"/>
                <w:color w:val="auto"/>
              </w:rPr>
              <w:t>FIGURA 11 – Evolução do Indicador de Custo de Crédito (ICC)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30</w:t>
            </w:r>
          </w:p>
        </w:tc>
      </w:tr>
    </w:tbl>
    <w:p>
      <w:pPr>
        <w:sectPr>
          <w:pgSz w:w="11900" w:h="16838" w:orient="portrait"/>
          <w:cols w:equalWidth="0" w:num="1">
            <w:col w:w="9340"/>
          </w:cols>
          <w:pgMar w:left="1440" w:top="1440" w:right="1126" w:bottom="1440" w:gutter="0" w:footer="0" w:header="0"/>
        </w:sectPr>
      </w:pPr>
    </w:p>
    <w:p>
      <w:pPr>
        <w:spacing w:after="0" w:line="273" w:lineRule="exact"/>
        <w:rPr>
          <w:sz w:val="20"/>
          <w:szCs w:val="20"/>
          <w:color w:val="auto"/>
        </w:rPr>
      </w:pPr>
    </w:p>
    <w:p>
      <w:pPr>
        <w:jc w:val="center"/>
        <w:ind w:right="-179"/>
        <w:spacing w:after="0"/>
        <w:rPr>
          <w:sz w:val="20"/>
          <w:szCs w:val="20"/>
          <w:color w:val="auto"/>
        </w:rPr>
      </w:pPr>
      <w:r>
        <w:rPr>
          <w:rFonts w:ascii="Arial" w:cs="Arial" w:eastAsia="Arial" w:hAnsi="Arial"/>
          <w:sz w:val="24"/>
          <w:szCs w:val="24"/>
          <w:b w:val="1"/>
          <w:bCs w:val="1"/>
          <w:color w:val="auto"/>
        </w:rPr>
        <w:t>LISTA DE TABELAS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260" w:type="dxa"/>
        <w:tblCellMar>
          <w:top w:w="0" w:type="dxa"/>
          <w:left w:w="0" w:type="dxa"/>
          <w:bottom w:w="0" w:type="dxa"/>
          <w:right w:w="0" w:type="dxa"/>
        </w:tblCellMar>
      </w:tblPr>
      <w:tr>
        <w:trPr>
          <w:trHeight w:val="294"/>
        </w:trPr>
        <w:tc>
          <w:tcPr>
            <w:tcW w:w="1200" w:type="dxa"/>
            <w:vAlign w:val="bottom"/>
          </w:tcPr>
          <w:p>
            <w:pPr>
              <w:spacing w:after="0"/>
              <w:rPr>
                <w:sz w:val="20"/>
                <w:szCs w:val="20"/>
                <w:color w:val="auto"/>
              </w:rPr>
            </w:pPr>
            <w:r>
              <w:rPr>
                <w:rFonts w:ascii="Arial" w:cs="Arial" w:eastAsia="Arial" w:hAnsi="Arial"/>
                <w:sz w:val="24"/>
                <w:szCs w:val="24"/>
                <w:color w:val="auto"/>
              </w:rPr>
              <w:t>TABELA 1</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w w:val="99"/>
              </w:rPr>
              <w:t>Composição do setor bancário brasileiro por segmento em dezem-</w:t>
            </w:r>
          </w:p>
        </w:tc>
        <w:tc>
          <w:tcPr>
            <w:tcW w:w="460" w:type="dxa"/>
            <w:vAlign w:val="bottom"/>
          </w:tcPr>
          <w:p>
            <w:pPr>
              <w:spacing w:after="0"/>
              <w:rPr>
                <w:sz w:val="24"/>
                <w:szCs w:val="24"/>
                <w:color w:val="auto"/>
              </w:rPr>
            </w:pPr>
          </w:p>
        </w:tc>
      </w:tr>
      <w:tr>
        <w:trPr>
          <w:trHeight w:val="359"/>
        </w:trPr>
        <w:tc>
          <w:tcPr>
            <w:tcW w:w="1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160" w:type="dxa"/>
            <w:vAlign w:val="bottom"/>
          </w:tcPr>
          <w:p>
            <w:pPr>
              <w:ind w:left="60"/>
              <w:spacing w:after="0"/>
              <w:rPr>
                <w:sz w:val="20"/>
                <w:szCs w:val="20"/>
                <w:color w:val="auto"/>
              </w:rPr>
            </w:pPr>
            <w:r>
              <w:rPr>
                <w:rFonts w:ascii="Arial" w:cs="Arial" w:eastAsia="Arial" w:hAnsi="Arial"/>
                <w:sz w:val="24"/>
                <w:szCs w:val="24"/>
                <w:color w:val="auto"/>
              </w:rPr>
              <w:t>bro de 2019  . .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11</w:t>
            </w:r>
          </w:p>
        </w:tc>
      </w:tr>
      <w:tr>
        <w:trPr>
          <w:trHeight w:val="359"/>
        </w:trPr>
        <w:tc>
          <w:tcPr>
            <w:tcW w:w="1200" w:type="dxa"/>
            <w:vAlign w:val="bottom"/>
          </w:tcPr>
          <w:p>
            <w:pPr>
              <w:spacing w:after="0"/>
              <w:rPr>
                <w:sz w:val="20"/>
                <w:szCs w:val="20"/>
                <w:color w:val="auto"/>
              </w:rPr>
            </w:pPr>
            <w:r>
              <w:rPr>
                <w:rFonts w:ascii="Arial" w:cs="Arial" w:eastAsia="Arial" w:hAnsi="Arial"/>
                <w:sz w:val="24"/>
                <w:szCs w:val="24"/>
                <w:color w:val="auto"/>
              </w:rPr>
              <w:t>TABELA 2</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rPr>
              <w:t>Composição do setor bancário brasileiro por tipo de iniciativa —</w:t>
            </w:r>
          </w:p>
        </w:tc>
        <w:tc>
          <w:tcPr>
            <w:tcW w:w="460" w:type="dxa"/>
            <w:vAlign w:val="bottom"/>
          </w:tcPr>
          <w:p>
            <w:pPr>
              <w:spacing w:after="0"/>
              <w:rPr>
                <w:sz w:val="24"/>
                <w:szCs w:val="24"/>
                <w:color w:val="auto"/>
              </w:rPr>
            </w:pPr>
          </w:p>
        </w:tc>
      </w:tr>
      <w:tr>
        <w:trPr>
          <w:trHeight w:val="359"/>
        </w:trPr>
        <w:tc>
          <w:tcPr>
            <w:tcW w:w="120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7160" w:type="dxa"/>
            <w:vAlign w:val="bottom"/>
          </w:tcPr>
          <w:p>
            <w:pPr>
              <w:ind w:left="60"/>
              <w:spacing w:after="0"/>
              <w:rPr>
                <w:sz w:val="20"/>
                <w:szCs w:val="20"/>
                <w:color w:val="auto"/>
              </w:rPr>
            </w:pPr>
            <w:r>
              <w:rPr>
                <w:rFonts w:ascii="Arial" w:cs="Arial" w:eastAsia="Arial" w:hAnsi="Arial"/>
                <w:sz w:val="24"/>
                <w:szCs w:val="24"/>
                <w:color w:val="auto"/>
              </w:rPr>
              <w:t>Dezembro 2019  . . . . . . . . . . . . . . . . . . . . .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13</w:t>
            </w:r>
          </w:p>
        </w:tc>
      </w:tr>
      <w:tr>
        <w:trPr>
          <w:trHeight w:val="359"/>
        </w:trPr>
        <w:tc>
          <w:tcPr>
            <w:tcW w:w="1200" w:type="dxa"/>
            <w:vAlign w:val="bottom"/>
          </w:tcPr>
          <w:p>
            <w:pPr>
              <w:spacing w:after="0"/>
              <w:rPr>
                <w:sz w:val="20"/>
                <w:szCs w:val="20"/>
                <w:color w:val="auto"/>
              </w:rPr>
            </w:pPr>
            <w:r>
              <w:rPr>
                <w:rFonts w:ascii="Arial" w:cs="Arial" w:eastAsia="Arial" w:hAnsi="Arial"/>
                <w:sz w:val="24"/>
                <w:szCs w:val="24"/>
                <w:color w:val="auto"/>
              </w:rPr>
              <w:t>TABELA 3</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600" w:type="dxa"/>
            <w:vAlign w:val="bottom"/>
            <w:gridSpan w:val="2"/>
          </w:tcPr>
          <w:p>
            <w:pPr>
              <w:ind w:left="60"/>
              <w:spacing w:after="0"/>
              <w:rPr>
                <w:sz w:val="20"/>
                <w:szCs w:val="20"/>
                <w:color w:val="auto"/>
              </w:rPr>
            </w:pPr>
            <w:r>
              <w:rPr>
                <w:rFonts w:ascii="Arial" w:cs="Arial" w:eastAsia="Arial" w:hAnsi="Arial"/>
                <w:sz w:val="24"/>
                <w:szCs w:val="24"/>
                <w:color w:val="auto"/>
                <w:w w:val="98"/>
              </w:rPr>
              <w:t>Setor bancário brasileiro por origem de capital — Dezembro de 2019 14</w:t>
            </w:r>
          </w:p>
        </w:tc>
      </w:tr>
      <w:tr>
        <w:trPr>
          <w:trHeight w:val="359"/>
        </w:trPr>
        <w:tc>
          <w:tcPr>
            <w:tcW w:w="8640" w:type="dxa"/>
            <w:vAlign w:val="bottom"/>
            <w:gridSpan w:val="3"/>
          </w:tcPr>
          <w:p>
            <w:pPr>
              <w:spacing w:after="0"/>
              <w:rPr>
                <w:sz w:val="20"/>
                <w:szCs w:val="20"/>
                <w:color w:val="auto"/>
              </w:rPr>
            </w:pPr>
            <w:r>
              <w:rPr>
                <w:rFonts w:ascii="Arial" w:cs="Arial" w:eastAsia="Arial" w:hAnsi="Arial"/>
                <w:sz w:val="24"/>
                <w:szCs w:val="24"/>
                <w:color w:val="auto"/>
              </w:rPr>
              <w:t>TABELA 4 – Esquema de obtenção do spread mais adotado no mercado . . .</w:t>
            </w:r>
          </w:p>
        </w:tc>
        <w:tc>
          <w:tcPr>
            <w:tcW w:w="46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359"/>
        </w:trPr>
        <w:tc>
          <w:tcPr>
            <w:tcW w:w="8640" w:type="dxa"/>
            <w:vAlign w:val="bottom"/>
            <w:gridSpan w:val="3"/>
          </w:tcPr>
          <w:p>
            <w:pPr>
              <w:spacing w:after="0"/>
              <w:rPr>
                <w:sz w:val="20"/>
                <w:szCs w:val="20"/>
                <w:color w:val="auto"/>
              </w:rPr>
            </w:pPr>
            <w:r>
              <w:rPr>
                <w:rFonts w:ascii="Arial" w:cs="Arial" w:eastAsia="Arial" w:hAnsi="Arial"/>
                <w:sz w:val="24"/>
                <w:szCs w:val="24"/>
                <w:color w:val="auto"/>
              </w:rPr>
              <w:t>TABELA 5 – Resumo de estudos sobre o spread ex-ante no Brasil — Parte 1 .</w:t>
            </w:r>
          </w:p>
        </w:tc>
        <w:tc>
          <w:tcPr>
            <w:tcW w:w="460" w:type="dxa"/>
            <w:vAlign w:val="bottom"/>
          </w:tcPr>
          <w:p>
            <w:pPr>
              <w:jc w:val="right"/>
              <w:spacing w:after="0"/>
              <w:rPr>
                <w:sz w:val="20"/>
                <w:szCs w:val="20"/>
                <w:color w:val="auto"/>
              </w:rPr>
            </w:pPr>
            <w:r>
              <w:rPr>
                <w:rFonts w:ascii="Arial" w:cs="Arial" w:eastAsia="Arial" w:hAnsi="Arial"/>
                <w:sz w:val="24"/>
                <w:szCs w:val="24"/>
                <w:color w:val="auto"/>
              </w:rPr>
              <w:t>33</w:t>
            </w:r>
          </w:p>
        </w:tc>
      </w:tr>
      <w:tr>
        <w:trPr>
          <w:trHeight w:val="359"/>
        </w:trPr>
        <w:tc>
          <w:tcPr>
            <w:tcW w:w="8640" w:type="dxa"/>
            <w:vAlign w:val="bottom"/>
            <w:gridSpan w:val="3"/>
          </w:tcPr>
          <w:p>
            <w:pPr>
              <w:spacing w:after="0"/>
              <w:rPr>
                <w:sz w:val="20"/>
                <w:szCs w:val="20"/>
                <w:color w:val="auto"/>
              </w:rPr>
            </w:pPr>
            <w:r>
              <w:rPr>
                <w:rFonts w:ascii="Arial" w:cs="Arial" w:eastAsia="Arial" w:hAnsi="Arial"/>
                <w:sz w:val="24"/>
                <w:szCs w:val="24"/>
                <w:color w:val="auto"/>
              </w:rPr>
              <w:t>TABELA 6 – Resumo de estudos sobre o spread ex-ante no Brasil — Parte 2 .</w:t>
            </w:r>
          </w:p>
        </w:tc>
        <w:tc>
          <w:tcPr>
            <w:tcW w:w="460" w:type="dxa"/>
            <w:vAlign w:val="bottom"/>
          </w:tcPr>
          <w:p>
            <w:pPr>
              <w:jc w:val="right"/>
              <w:spacing w:after="0"/>
              <w:rPr>
                <w:sz w:val="20"/>
                <w:szCs w:val="20"/>
                <w:color w:val="auto"/>
              </w:rPr>
            </w:pPr>
            <w:r>
              <w:rPr>
                <w:rFonts w:ascii="Arial" w:cs="Arial" w:eastAsia="Arial" w:hAnsi="Arial"/>
                <w:sz w:val="24"/>
                <w:szCs w:val="24"/>
                <w:color w:val="auto"/>
              </w:rPr>
              <w:t>34</w:t>
            </w:r>
          </w:p>
        </w:tc>
      </w:tr>
      <w:tr>
        <w:trPr>
          <w:trHeight w:val="359"/>
        </w:trPr>
        <w:tc>
          <w:tcPr>
            <w:tcW w:w="1200" w:type="dxa"/>
            <w:vAlign w:val="bottom"/>
          </w:tcPr>
          <w:p>
            <w:pPr>
              <w:spacing w:after="0"/>
              <w:rPr>
                <w:sz w:val="20"/>
                <w:szCs w:val="20"/>
                <w:color w:val="auto"/>
              </w:rPr>
            </w:pPr>
            <w:r>
              <w:rPr>
                <w:rFonts w:ascii="Arial" w:cs="Arial" w:eastAsia="Arial" w:hAnsi="Arial"/>
                <w:sz w:val="24"/>
                <w:szCs w:val="24"/>
                <w:color w:val="auto"/>
              </w:rPr>
              <w:t>TABELA 7</w:t>
            </w:r>
          </w:p>
        </w:tc>
        <w:tc>
          <w:tcPr>
            <w:tcW w:w="280" w:type="dxa"/>
            <w:vAlign w:val="bottom"/>
          </w:tcPr>
          <w:p>
            <w:pPr>
              <w:ind w:left="80"/>
              <w:spacing w:after="0"/>
              <w:rPr>
                <w:sz w:val="20"/>
                <w:szCs w:val="20"/>
                <w:color w:val="auto"/>
              </w:rPr>
            </w:pPr>
            <w:r>
              <w:rPr>
                <w:rFonts w:ascii="Arial" w:cs="Arial" w:eastAsia="Arial" w:hAnsi="Arial"/>
                <w:sz w:val="24"/>
                <w:szCs w:val="24"/>
                <w:color w:val="auto"/>
              </w:rPr>
              <w:t>–</w:t>
            </w:r>
          </w:p>
        </w:tc>
        <w:tc>
          <w:tcPr>
            <w:tcW w:w="7160" w:type="dxa"/>
            <w:vAlign w:val="bottom"/>
          </w:tcPr>
          <w:p>
            <w:pPr>
              <w:ind w:left="60"/>
              <w:spacing w:after="0"/>
              <w:rPr>
                <w:sz w:val="20"/>
                <w:szCs w:val="20"/>
                <w:color w:val="auto"/>
              </w:rPr>
            </w:pPr>
            <w:r>
              <w:rPr>
                <w:rFonts w:ascii="Arial" w:cs="Arial" w:eastAsia="Arial" w:hAnsi="Arial"/>
                <w:sz w:val="24"/>
                <w:szCs w:val="24"/>
                <w:color w:val="auto"/>
              </w:rPr>
              <w:t>Resumo de estudos sobre o spread ex-post no Brasil . . . . . . .</w:t>
            </w:r>
          </w:p>
        </w:tc>
        <w:tc>
          <w:tcPr>
            <w:tcW w:w="460" w:type="dxa"/>
            <w:vAlign w:val="bottom"/>
          </w:tcPr>
          <w:p>
            <w:pPr>
              <w:jc w:val="right"/>
              <w:spacing w:after="0"/>
              <w:rPr>
                <w:sz w:val="20"/>
                <w:szCs w:val="20"/>
                <w:color w:val="auto"/>
              </w:rPr>
            </w:pPr>
            <w:r>
              <w:rPr>
                <w:rFonts w:ascii="Arial" w:cs="Arial" w:eastAsia="Arial" w:hAnsi="Arial"/>
                <w:sz w:val="24"/>
                <w:szCs w:val="24"/>
                <w:color w:val="auto"/>
              </w:rPr>
              <w:t>34</w:t>
            </w:r>
          </w:p>
        </w:tc>
      </w:tr>
    </w:tbl>
    <w:p>
      <w:pPr>
        <w:sectPr>
          <w:pgSz w:w="11900" w:h="16838" w:orient="portrait"/>
          <w:cols w:equalWidth="0" w:num="1">
            <w:col w:w="9340"/>
          </w:cols>
          <w:pgMar w:left="1440" w:top="1440" w:right="1126" w:bottom="1440" w:gutter="0" w:footer="0" w:header="0"/>
        </w:sectPr>
      </w:pPr>
    </w:p>
    <w:p>
      <w:pPr>
        <w:ind w:left="9220"/>
        <w:spacing w:after="0"/>
        <w:rPr>
          <w:sz w:val="20"/>
          <w:szCs w:val="20"/>
          <w:color w:val="auto"/>
        </w:rPr>
      </w:pPr>
      <w:r>
        <w:rPr>
          <w:rFonts w:ascii="Arial" w:cs="Arial" w:eastAsia="Arial" w:hAnsi="Arial"/>
          <w:sz w:val="20"/>
          <w:szCs w:val="20"/>
          <w:color w:val="auto"/>
        </w:rPr>
        <w:t>4</w:t>
      </w:r>
    </w:p>
    <w:p>
      <w:pPr>
        <w:spacing w:after="0" w:line="200" w:lineRule="exact"/>
        <w:rPr>
          <w:sz w:val="20"/>
          <w:szCs w:val="20"/>
          <w:color w:val="auto"/>
        </w:rPr>
      </w:pPr>
    </w:p>
    <w:p>
      <w:pPr>
        <w:spacing w:after="0" w:line="255" w:lineRule="exact"/>
        <w:rPr>
          <w:sz w:val="20"/>
          <w:szCs w:val="20"/>
          <w:color w:val="auto"/>
        </w:rPr>
      </w:pPr>
    </w:p>
    <w:p>
      <w:pPr>
        <w:jc w:val="center"/>
        <w:ind w:right="-179"/>
        <w:spacing w:after="0"/>
        <w:rPr>
          <w:sz w:val="20"/>
          <w:szCs w:val="20"/>
          <w:color w:val="auto"/>
        </w:rPr>
      </w:pPr>
      <w:r>
        <w:rPr>
          <w:rFonts w:ascii="Arial" w:cs="Arial" w:eastAsia="Arial" w:hAnsi="Arial"/>
          <w:sz w:val="24"/>
          <w:szCs w:val="24"/>
          <w:b w:val="1"/>
          <w:bCs w:val="1"/>
          <w:color w:val="auto"/>
        </w:rPr>
        <w:t>SUMÁRIO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tbl>
      <w:tblPr>
        <w:tblLayout w:type="fixed"/>
        <w:tblInd w:w="260" w:type="dxa"/>
        <w:tblCellMar>
          <w:top w:w="0" w:type="dxa"/>
          <w:left w:w="0" w:type="dxa"/>
          <w:bottom w:w="0" w:type="dxa"/>
          <w:right w:w="0" w:type="dxa"/>
        </w:tblCellMar>
      </w:tblPr>
      <w:tr>
        <w:trPr>
          <w:trHeight w:val="299"/>
        </w:trPr>
        <w:tc>
          <w:tcPr>
            <w:tcW w:w="840" w:type="dxa"/>
            <w:vAlign w:val="bottom"/>
          </w:tcPr>
          <w:p>
            <w:pPr>
              <w:spacing w:after="0"/>
              <w:rPr>
                <w:sz w:val="20"/>
                <w:szCs w:val="20"/>
                <w:color w:val="auto"/>
              </w:rPr>
            </w:pPr>
            <w:r>
              <w:rPr>
                <w:rFonts w:ascii="Arial" w:cs="Arial" w:eastAsia="Arial" w:hAnsi="Arial"/>
                <w:sz w:val="24"/>
                <w:szCs w:val="24"/>
                <w:b w:val="1"/>
                <w:bCs w:val="1"/>
                <w:color w:val="auto"/>
              </w:rPr>
              <w:t>1</w:t>
            </w:r>
          </w:p>
        </w:tc>
        <w:tc>
          <w:tcPr>
            <w:tcW w:w="7880" w:type="dxa"/>
            <w:vAlign w:val="bottom"/>
          </w:tcPr>
          <w:p>
            <w:pPr>
              <w:ind w:left="320"/>
              <w:spacing w:after="0"/>
              <w:rPr>
                <w:sz w:val="20"/>
                <w:szCs w:val="20"/>
                <w:color w:val="auto"/>
              </w:rPr>
            </w:pPr>
            <w:r>
              <w:rPr>
                <w:rFonts w:ascii="Arial" w:cs="Arial" w:eastAsia="Arial" w:hAnsi="Arial"/>
                <w:sz w:val="24"/>
                <w:szCs w:val="24"/>
                <w:b w:val="1"/>
                <w:bCs w:val="1"/>
                <w:color w:val="auto"/>
              </w:rPr>
              <w:t>INTRODUÇÃO...............................</w:t>
            </w:r>
          </w:p>
        </w:tc>
        <w:tc>
          <w:tcPr>
            <w:tcW w:w="380" w:type="dxa"/>
            <w:vAlign w:val="bottom"/>
          </w:tcPr>
          <w:p>
            <w:pPr>
              <w:jc w:val="right"/>
              <w:spacing w:after="0"/>
              <w:rPr>
                <w:sz w:val="20"/>
                <w:szCs w:val="20"/>
                <w:color w:val="auto"/>
              </w:rPr>
            </w:pPr>
            <w:r>
              <w:rPr>
                <w:rFonts w:ascii="Arial" w:cs="Arial" w:eastAsia="Arial" w:hAnsi="Arial"/>
                <w:sz w:val="24"/>
                <w:szCs w:val="24"/>
                <w:b w:val="1"/>
                <w:bCs w:val="1"/>
                <w:color w:val="auto"/>
              </w:rPr>
              <w:t>5</w:t>
            </w:r>
          </w:p>
        </w:tc>
      </w:tr>
      <w:tr>
        <w:trPr>
          <w:trHeight w:val="394"/>
        </w:trPr>
        <w:tc>
          <w:tcPr>
            <w:tcW w:w="840" w:type="dxa"/>
            <w:vAlign w:val="bottom"/>
          </w:tcPr>
          <w:p>
            <w:pPr>
              <w:spacing w:after="0"/>
              <w:rPr>
                <w:sz w:val="20"/>
                <w:szCs w:val="20"/>
                <w:color w:val="auto"/>
              </w:rPr>
            </w:pPr>
            <w:r>
              <w:rPr>
                <w:rFonts w:ascii="Arial" w:cs="Arial" w:eastAsia="Arial" w:hAnsi="Arial"/>
                <w:sz w:val="24"/>
                <w:szCs w:val="24"/>
                <w:color w:val="auto"/>
              </w:rPr>
              <w:t>1.1</w:t>
            </w:r>
          </w:p>
        </w:tc>
        <w:tc>
          <w:tcPr>
            <w:tcW w:w="7880" w:type="dxa"/>
            <w:vAlign w:val="bottom"/>
          </w:tcPr>
          <w:p>
            <w:pPr>
              <w:ind w:left="320"/>
              <w:spacing w:after="0"/>
              <w:rPr>
                <w:sz w:val="20"/>
                <w:szCs w:val="20"/>
                <w:color w:val="auto"/>
              </w:rPr>
            </w:pPr>
            <w:r>
              <w:rPr>
                <w:rFonts w:ascii="Arial" w:cs="Arial" w:eastAsia="Arial" w:hAnsi="Arial"/>
                <w:sz w:val="24"/>
                <w:szCs w:val="24"/>
                <w:color w:val="auto"/>
              </w:rPr>
              <w:t>CONTEXTUALIZAÇÃO..........................</w:t>
            </w:r>
          </w:p>
        </w:tc>
        <w:tc>
          <w:tcPr>
            <w:tcW w:w="380" w:type="dxa"/>
            <w:vAlign w:val="bottom"/>
          </w:tcPr>
          <w:p>
            <w:pPr>
              <w:jc w:val="right"/>
              <w:spacing w:after="0"/>
              <w:rPr>
                <w:sz w:val="20"/>
                <w:szCs w:val="20"/>
                <w:color w:val="auto"/>
              </w:rPr>
            </w:pPr>
            <w:r>
              <w:rPr>
                <w:rFonts w:ascii="Arial" w:cs="Arial" w:eastAsia="Arial" w:hAnsi="Arial"/>
                <w:sz w:val="24"/>
                <w:szCs w:val="24"/>
                <w:color w:val="auto"/>
              </w:rPr>
              <w:t>5</w:t>
            </w:r>
          </w:p>
        </w:tc>
      </w:tr>
      <w:tr>
        <w:trPr>
          <w:trHeight w:val="398"/>
        </w:trPr>
        <w:tc>
          <w:tcPr>
            <w:tcW w:w="840" w:type="dxa"/>
            <w:vAlign w:val="bottom"/>
          </w:tcPr>
          <w:p>
            <w:pPr>
              <w:spacing w:after="0"/>
              <w:rPr>
                <w:sz w:val="20"/>
                <w:szCs w:val="20"/>
                <w:color w:val="auto"/>
              </w:rPr>
            </w:pPr>
            <w:r>
              <w:rPr>
                <w:rFonts w:ascii="Arial" w:cs="Arial" w:eastAsia="Arial" w:hAnsi="Arial"/>
                <w:sz w:val="24"/>
                <w:szCs w:val="24"/>
                <w:color w:val="auto"/>
              </w:rPr>
              <w:t>1.2</w:t>
            </w:r>
          </w:p>
        </w:tc>
        <w:tc>
          <w:tcPr>
            <w:tcW w:w="7880" w:type="dxa"/>
            <w:vAlign w:val="bottom"/>
          </w:tcPr>
          <w:p>
            <w:pPr>
              <w:ind w:left="320"/>
              <w:spacing w:after="0"/>
              <w:rPr>
                <w:sz w:val="20"/>
                <w:szCs w:val="20"/>
                <w:color w:val="auto"/>
              </w:rPr>
            </w:pPr>
            <w:r>
              <w:rPr>
                <w:rFonts w:ascii="Arial" w:cs="Arial" w:eastAsia="Arial" w:hAnsi="Arial"/>
                <w:sz w:val="24"/>
                <w:szCs w:val="24"/>
                <w:color w:val="auto"/>
              </w:rPr>
              <w:t>OBJETIVOS ................................</w:t>
            </w:r>
          </w:p>
        </w:tc>
        <w:tc>
          <w:tcPr>
            <w:tcW w:w="38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359"/>
        </w:trPr>
        <w:tc>
          <w:tcPr>
            <w:tcW w:w="840" w:type="dxa"/>
            <w:vAlign w:val="bottom"/>
          </w:tcPr>
          <w:p>
            <w:pPr>
              <w:spacing w:after="0"/>
              <w:rPr>
                <w:sz w:val="20"/>
                <w:szCs w:val="20"/>
                <w:color w:val="auto"/>
              </w:rPr>
            </w:pPr>
            <w:r>
              <w:rPr>
                <w:rFonts w:ascii="Arial" w:cs="Arial" w:eastAsia="Arial" w:hAnsi="Arial"/>
                <w:sz w:val="24"/>
                <w:szCs w:val="24"/>
                <w:color w:val="auto"/>
              </w:rPr>
              <w:t>1.2.1</w:t>
            </w:r>
          </w:p>
        </w:tc>
        <w:tc>
          <w:tcPr>
            <w:tcW w:w="7880" w:type="dxa"/>
            <w:vAlign w:val="bottom"/>
          </w:tcPr>
          <w:p>
            <w:pPr>
              <w:ind w:left="320"/>
              <w:spacing w:after="0"/>
              <w:rPr>
                <w:sz w:val="20"/>
                <w:szCs w:val="20"/>
                <w:color w:val="auto"/>
              </w:rPr>
            </w:pPr>
            <w:r>
              <w:rPr>
                <w:rFonts w:ascii="Arial" w:cs="Arial" w:eastAsia="Arial" w:hAnsi="Arial"/>
                <w:sz w:val="24"/>
                <w:szCs w:val="24"/>
                <w:color w:val="auto"/>
              </w:rPr>
              <w:t>Objetivo Geral  . . . .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359"/>
        </w:trPr>
        <w:tc>
          <w:tcPr>
            <w:tcW w:w="840" w:type="dxa"/>
            <w:vAlign w:val="bottom"/>
          </w:tcPr>
          <w:p>
            <w:pPr>
              <w:spacing w:after="0"/>
              <w:rPr>
                <w:sz w:val="20"/>
                <w:szCs w:val="20"/>
                <w:color w:val="auto"/>
              </w:rPr>
            </w:pPr>
            <w:r>
              <w:rPr>
                <w:rFonts w:ascii="Arial" w:cs="Arial" w:eastAsia="Arial" w:hAnsi="Arial"/>
                <w:sz w:val="24"/>
                <w:szCs w:val="24"/>
                <w:color w:val="auto"/>
              </w:rPr>
              <w:t>1.2.2</w:t>
            </w:r>
          </w:p>
        </w:tc>
        <w:tc>
          <w:tcPr>
            <w:tcW w:w="7880" w:type="dxa"/>
            <w:vAlign w:val="bottom"/>
          </w:tcPr>
          <w:p>
            <w:pPr>
              <w:ind w:left="320"/>
              <w:spacing w:after="0"/>
              <w:rPr>
                <w:sz w:val="20"/>
                <w:szCs w:val="20"/>
                <w:color w:val="auto"/>
              </w:rPr>
            </w:pPr>
            <w:r>
              <w:rPr>
                <w:rFonts w:ascii="Arial" w:cs="Arial" w:eastAsia="Arial" w:hAnsi="Arial"/>
                <w:sz w:val="24"/>
                <w:szCs w:val="24"/>
                <w:color w:val="auto"/>
              </w:rPr>
              <w:t>Objetivos Específicos . . . . . . .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6</w:t>
            </w:r>
          </w:p>
        </w:tc>
      </w:tr>
      <w:tr>
        <w:trPr>
          <w:trHeight w:val="398"/>
        </w:trPr>
        <w:tc>
          <w:tcPr>
            <w:tcW w:w="840" w:type="dxa"/>
            <w:vAlign w:val="bottom"/>
          </w:tcPr>
          <w:p>
            <w:pPr>
              <w:spacing w:after="0"/>
              <w:rPr>
                <w:sz w:val="20"/>
                <w:szCs w:val="20"/>
                <w:color w:val="auto"/>
              </w:rPr>
            </w:pPr>
            <w:r>
              <w:rPr>
                <w:rFonts w:ascii="Arial" w:cs="Arial" w:eastAsia="Arial" w:hAnsi="Arial"/>
                <w:sz w:val="24"/>
                <w:szCs w:val="24"/>
                <w:color w:val="auto"/>
              </w:rPr>
              <w:t>1.3</w:t>
            </w:r>
          </w:p>
        </w:tc>
        <w:tc>
          <w:tcPr>
            <w:tcW w:w="7880" w:type="dxa"/>
            <w:vAlign w:val="bottom"/>
          </w:tcPr>
          <w:p>
            <w:pPr>
              <w:ind w:left="320"/>
              <w:spacing w:after="0"/>
              <w:rPr>
                <w:sz w:val="20"/>
                <w:szCs w:val="20"/>
                <w:color w:val="auto"/>
              </w:rPr>
            </w:pPr>
            <w:r>
              <w:rPr>
                <w:rFonts w:ascii="Arial" w:cs="Arial" w:eastAsia="Arial" w:hAnsi="Arial"/>
                <w:sz w:val="24"/>
                <w:szCs w:val="24"/>
                <w:color w:val="auto"/>
              </w:rPr>
              <w:t>JUSTIFICATIVA TEÓRICA E PRÁTICA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7</w:t>
            </w:r>
          </w:p>
        </w:tc>
      </w:tr>
      <w:tr>
        <w:trPr>
          <w:trHeight w:val="398"/>
        </w:trPr>
        <w:tc>
          <w:tcPr>
            <w:tcW w:w="840" w:type="dxa"/>
            <w:vAlign w:val="bottom"/>
          </w:tcPr>
          <w:p>
            <w:pPr>
              <w:spacing w:after="0"/>
              <w:rPr>
                <w:sz w:val="20"/>
                <w:szCs w:val="20"/>
                <w:color w:val="auto"/>
              </w:rPr>
            </w:pPr>
            <w:r>
              <w:rPr>
                <w:rFonts w:ascii="Arial" w:cs="Arial" w:eastAsia="Arial" w:hAnsi="Arial"/>
                <w:sz w:val="24"/>
                <w:szCs w:val="24"/>
                <w:color w:val="auto"/>
              </w:rPr>
              <w:t>1.4</w:t>
            </w:r>
          </w:p>
        </w:tc>
        <w:tc>
          <w:tcPr>
            <w:tcW w:w="7880" w:type="dxa"/>
            <w:vAlign w:val="bottom"/>
          </w:tcPr>
          <w:p>
            <w:pPr>
              <w:ind w:left="320"/>
              <w:spacing w:after="0"/>
              <w:rPr>
                <w:sz w:val="20"/>
                <w:szCs w:val="20"/>
                <w:color w:val="auto"/>
              </w:rPr>
            </w:pPr>
            <w:r>
              <w:rPr>
                <w:rFonts w:ascii="Arial" w:cs="Arial" w:eastAsia="Arial" w:hAnsi="Arial"/>
                <w:sz w:val="24"/>
                <w:szCs w:val="24"/>
                <w:color w:val="auto"/>
              </w:rPr>
              <w:t>ESTRUTURADADISSERTAÇÃO . . . . . . . . . . . . . . . . . . . .</w:t>
            </w:r>
          </w:p>
        </w:tc>
        <w:tc>
          <w:tcPr>
            <w:tcW w:w="380" w:type="dxa"/>
            <w:vAlign w:val="bottom"/>
          </w:tcPr>
          <w:p>
            <w:pPr>
              <w:jc w:val="right"/>
              <w:spacing w:after="0"/>
              <w:rPr>
                <w:sz w:val="20"/>
                <w:szCs w:val="20"/>
                <w:color w:val="auto"/>
              </w:rPr>
            </w:pPr>
            <w:r>
              <w:rPr>
                <w:rFonts w:ascii="Arial" w:cs="Arial" w:eastAsia="Arial" w:hAnsi="Arial"/>
                <w:sz w:val="24"/>
                <w:szCs w:val="24"/>
                <w:color w:val="auto"/>
              </w:rPr>
              <w:t>8</w:t>
            </w:r>
          </w:p>
        </w:tc>
      </w:tr>
    </w:tbl>
    <w:p>
      <w:pPr>
        <w:spacing w:after="0" w:line="253" w:lineRule="exact"/>
        <w:rPr>
          <w:sz w:val="20"/>
          <w:szCs w:val="20"/>
          <w:color w:val="auto"/>
        </w:rPr>
      </w:pPr>
    </w:p>
    <w:tbl>
      <w:tblPr>
        <w:tblLayout w:type="fixed"/>
        <w:tblInd w:w="260" w:type="dxa"/>
        <w:tblCellMar>
          <w:top w:w="0" w:type="dxa"/>
          <w:left w:w="0" w:type="dxa"/>
          <w:bottom w:w="0" w:type="dxa"/>
          <w:right w:w="0" w:type="dxa"/>
        </w:tblCellMar>
      </w:tblPr>
      <w:tr>
        <w:trPr>
          <w:trHeight w:val="299"/>
        </w:trPr>
        <w:tc>
          <w:tcPr>
            <w:tcW w:w="840" w:type="dxa"/>
            <w:vAlign w:val="bottom"/>
          </w:tcPr>
          <w:p>
            <w:pPr>
              <w:spacing w:after="0"/>
              <w:rPr>
                <w:sz w:val="20"/>
                <w:szCs w:val="20"/>
                <w:color w:val="auto"/>
              </w:rPr>
            </w:pPr>
            <w:r>
              <w:rPr>
                <w:rFonts w:ascii="Arial" w:cs="Arial" w:eastAsia="Arial" w:hAnsi="Arial"/>
                <w:sz w:val="24"/>
                <w:szCs w:val="24"/>
                <w:b w:val="1"/>
                <w:bCs w:val="1"/>
                <w:color w:val="auto"/>
              </w:rPr>
              <w:t>2</w:t>
            </w:r>
          </w:p>
        </w:tc>
        <w:tc>
          <w:tcPr>
            <w:tcW w:w="7800" w:type="dxa"/>
            <w:vAlign w:val="bottom"/>
          </w:tcPr>
          <w:p>
            <w:pPr>
              <w:ind w:left="320"/>
              <w:spacing w:after="0"/>
              <w:rPr>
                <w:sz w:val="20"/>
                <w:szCs w:val="20"/>
                <w:color w:val="auto"/>
              </w:rPr>
            </w:pPr>
            <w:r>
              <w:rPr>
                <w:rFonts w:ascii="Arial" w:cs="Arial" w:eastAsia="Arial" w:hAnsi="Arial"/>
                <w:sz w:val="24"/>
                <w:szCs w:val="24"/>
                <w:b w:val="1"/>
                <w:bCs w:val="1"/>
                <w:color w:val="auto"/>
              </w:rPr>
              <w:t>REFERENCIALTEÓRICO........................</w:t>
            </w:r>
          </w:p>
        </w:tc>
        <w:tc>
          <w:tcPr>
            <w:tcW w:w="440" w:type="dxa"/>
            <w:vAlign w:val="bottom"/>
          </w:tcPr>
          <w:p>
            <w:pPr>
              <w:jc w:val="right"/>
              <w:spacing w:after="0"/>
              <w:rPr>
                <w:sz w:val="20"/>
                <w:szCs w:val="20"/>
                <w:color w:val="auto"/>
              </w:rPr>
            </w:pPr>
            <w:r>
              <w:rPr>
                <w:rFonts w:ascii="Arial" w:cs="Arial" w:eastAsia="Arial" w:hAnsi="Arial"/>
                <w:sz w:val="24"/>
                <w:szCs w:val="24"/>
                <w:b w:val="1"/>
                <w:bCs w:val="1"/>
                <w:color w:val="auto"/>
              </w:rPr>
              <w:t>9</w:t>
            </w:r>
          </w:p>
        </w:tc>
      </w:tr>
      <w:tr>
        <w:trPr>
          <w:trHeight w:val="394"/>
        </w:trPr>
        <w:tc>
          <w:tcPr>
            <w:tcW w:w="840" w:type="dxa"/>
            <w:vAlign w:val="bottom"/>
          </w:tcPr>
          <w:p>
            <w:pPr>
              <w:spacing w:after="0"/>
              <w:rPr>
                <w:sz w:val="20"/>
                <w:szCs w:val="20"/>
                <w:color w:val="auto"/>
              </w:rPr>
            </w:pPr>
            <w:r>
              <w:rPr>
                <w:rFonts w:ascii="Arial" w:cs="Arial" w:eastAsia="Arial" w:hAnsi="Arial"/>
                <w:sz w:val="24"/>
                <w:szCs w:val="24"/>
                <w:color w:val="auto"/>
              </w:rPr>
              <w:t>2.1</w:t>
            </w:r>
          </w:p>
        </w:tc>
        <w:tc>
          <w:tcPr>
            <w:tcW w:w="7800" w:type="dxa"/>
            <w:vAlign w:val="bottom"/>
          </w:tcPr>
          <w:p>
            <w:pPr>
              <w:ind w:left="320"/>
              <w:spacing w:after="0"/>
              <w:rPr>
                <w:sz w:val="20"/>
                <w:szCs w:val="20"/>
                <w:color w:val="auto"/>
              </w:rPr>
            </w:pPr>
            <w:r>
              <w:rPr>
                <w:rFonts w:ascii="Arial" w:cs="Arial" w:eastAsia="Arial" w:hAnsi="Arial"/>
                <w:sz w:val="24"/>
                <w:szCs w:val="24"/>
                <w:color w:val="auto"/>
              </w:rPr>
              <w:t>SETORBANCÁRIONOBRASIL. . . . . . . . . . . . . . . . . . . . .</w:t>
            </w:r>
          </w:p>
        </w:tc>
        <w:tc>
          <w:tcPr>
            <w:tcW w:w="440" w:type="dxa"/>
            <w:vAlign w:val="bottom"/>
          </w:tcPr>
          <w:p>
            <w:pPr>
              <w:jc w:val="right"/>
              <w:spacing w:after="0"/>
              <w:rPr>
                <w:sz w:val="20"/>
                <w:szCs w:val="20"/>
                <w:color w:val="auto"/>
              </w:rPr>
            </w:pPr>
            <w:r>
              <w:rPr>
                <w:rFonts w:ascii="Arial" w:cs="Arial" w:eastAsia="Arial" w:hAnsi="Arial"/>
                <w:sz w:val="24"/>
                <w:szCs w:val="24"/>
                <w:color w:val="auto"/>
              </w:rPr>
              <w:t>9</w:t>
            </w:r>
          </w:p>
        </w:tc>
      </w:tr>
      <w:tr>
        <w:trPr>
          <w:trHeight w:val="398"/>
        </w:trPr>
        <w:tc>
          <w:tcPr>
            <w:tcW w:w="840" w:type="dxa"/>
            <w:vAlign w:val="bottom"/>
          </w:tcPr>
          <w:p>
            <w:pPr>
              <w:spacing w:after="0"/>
              <w:rPr>
                <w:sz w:val="20"/>
                <w:szCs w:val="20"/>
                <w:color w:val="auto"/>
              </w:rPr>
            </w:pPr>
            <w:r>
              <w:rPr>
                <w:rFonts w:ascii="Arial" w:cs="Arial" w:eastAsia="Arial" w:hAnsi="Arial"/>
                <w:sz w:val="24"/>
                <w:szCs w:val="24"/>
                <w:color w:val="auto"/>
              </w:rPr>
              <w:t>2.2</w:t>
            </w:r>
          </w:p>
        </w:tc>
        <w:tc>
          <w:tcPr>
            <w:tcW w:w="7800" w:type="dxa"/>
            <w:vAlign w:val="bottom"/>
          </w:tcPr>
          <w:p>
            <w:pPr>
              <w:ind w:left="320"/>
              <w:spacing w:after="0"/>
              <w:rPr>
                <w:sz w:val="20"/>
                <w:szCs w:val="20"/>
                <w:color w:val="auto"/>
              </w:rPr>
            </w:pPr>
            <w:r>
              <w:rPr>
                <w:rFonts w:ascii="Arial" w:cs="Arial" w:eastAsia="Arial" w:hAnsi="Arial"/>
                <w:sz w:val="24"/>
                <w:szCs w:val="24"/>
                <w:color w:val="auto"/>
              </w:rPr>
              <w:t>SPREADBANCÁRIO...........................</w:t>
            </w:r>
          </w:p>
        </w:tc>
        <w:tc>
          <w:tcPr>
            <w:tcW w:w="440" w:type="dxa"/>
            <w:vAlign w:val="bottom"/>
          </w:tcPr>
          <w:p>
            <w:pPr>
              <w:jc w:val="right"/>
              <w:spacing w:after="0"/>
              <w:rPr>
                <w:sz w:val="20"/>
                <w:szCs w:val="20"/>
                <w:color w:val="auto"/>
              </w:rPr>
            </w:pPr>
            <w:r>
              <w:rPr>
                <w:rFonts w:ascii="Arial" w:cs="Arial" w:eastAsia="Arial" w:hAnsi="Arial"/>
                <w:sz w:val="24"/>
                <w:szCs w:val="24"/>
                <w:color w:val="auto"/>
              </w:rPr>
              <w:t>23</w:t>
            </w:r>
          </w:p>
        </w:tc>
      </w:tr>
      <w:tr>
        <w:trPr>
          <w:trHeight w:val="359"/>
        </w:trPr>
        <w:tc>
          <w:tcPr>
            <w:tcW w:w="840" w:type="dxa"/>
            <w:vAlign w:val="bottom"/>
          </w:tcPr>
          <w:p>
            <w:pPr>
              <w:spacing w:after="0"/>
              <w:rPr>
                <w:sz w:val="20"/>
                <w:szCs w:val="20"/>
                <w:color w:val="auto"/>
              </w:rPr>
            </w:pPr>
            <w:r>
              <w:rPr>
                <w:rFonts w:ascii="Arial" w:cs="Arial" w:eastAsia="Arial" w:hAnsi="Arial"/>
                <w:sz w:val="24"/>
                <w:szCs w:val="24"/>
                <w:color w:val="auto"/>
              </w:rPr>
              <w:t>2.2.1</w:t>
            </w:r>
          </w:p>
        </w:tc>
        <w:tc>
          <w:tcPr>
            <w:tcW w:w="7800" w:type="dxa"/>
            <w:vAlign w:val="bottom"/>
          </w:tcPr>
          <w:p>
            <w:pPr>
              <w:ind w:left="320"/>
              <w:spacing w:after="0"/>
              <w:rPr>
                <w:sz w:val="20"/>
                <w:szCs w:val="20"/>
                <w:color w:val="auto"/>
              </w:rPr>
            </w:pPr>
            <w:r>
              <w:rPr>
                <w:rFonts w:ascii="Arial" w:cs="Arial" w:eastAsia="Arial" w:hAnsi="Arial"/>
                <w:sz w:val="24"/>
                <w:szCs w:val="24"/>
                <w:color w:val="auto"/>
              </w:rPr>
              <w:t>Conceitos e Definições  . . . . . . . . . . . . . . . . . . . . . . . . . .</w:t>
            </w:r>
          </w:p>
        </w:tc>
        <w:tc>
          <w:tcPr>
            <w:tcW w:w="440" w:type="dxa"/>
            <w:vAlign w:val="bottom"/>
          </w:tcPr>
          <w:p>
            <w:pPr>
              <w:jc w:val="right"/>
              <w:spacing w:after="0"/>
              <w:rPr>
                <w:sz w:val="20"/>
                <w:szCs w:val="20"/>
                <w:color w:val="auto"/>
              </w:rPr>
            </w:pPr>
            <w:r>
              <w:rPr>
                <w:rFonts w:ascii="Arial" w:cs="Arial" w:eastAsia="Arial" w:hAnsi="Arial"/>
                <w:sz w:val="24"/>
                <w:szCs w:val="24"/>
                <w:color w:val="auto"/>
              </w:rPr>
              <w:t>23</w:t>
            </w:r>
          </w:p>
        </w:tc>
      </w:tr>
      <w:tr>
        <w:trPr>
          <w:trHeight w:val="359"/>
        </w:trPr>
        <w:tc>
          <w:tcPr>
            <w:tcW w:w="840" w:type="dxa"/>
            <w:vAlign w:val="bottom"/>
          </w:tcPr>
          <w:p>
            <w:pPr>
              <w:spacing w:after="0"/>
              <w:rPr>
                <w:sz w:val="20"/>
                <w:szCs w:val="20"/>
                <w:color w:val="auto"/>
              </w:rPr>
            </w:pPr>
            <w:r>
              <w:rPr>
                <w:rFonts w:ascii="Arial" w:cs="Arial" w:eastAsia="Arial" w:hAnsi="Arial"/>
                <w:sz w:val="24"/>
                <w:szCs w:val="24"/>
                <w:color w:val="auto"/>
              </w:rPr>
              <w:t>2.2.2</w:t>
            </w:r>
          </w:p>
        </w:tc>
        <w:tc>
          <w:tcPr>
            <w:tcW w:w="7800" w:type="dxa"/>
            <w:vAlign w:val="bottom"/>
          </w:tcPr>
          <w:p>
            <w:pPr>
              <w:ind w:left="320"/>
              <w:spacing w:after="0"/>
              <w:rPr>
                <w:sz w:val="20"/>
                <w:szCs w:val="20"/>
                <w:color w:val="auto"/>
              </w:rPr>
            </w:pPr>
            <w:r>
              <w:rPr>
                <w:rFonts w:ascii="Arial" w:cs="Arial" w:eastAsia="Arial" w:hAnsi="Arial"/>
                <w:sz w:val="24"/>
                <w:szCs w:val="24"/>
                <w:color w:val="auto"/>
              </w:rPr>
              <w:t>Spread Bancário no Brasil  . . . . . . . . . . . . . . . . . . . . . . . .</w:t>
            </w:r>
          </w:p>
        </w:tc>
        <w:tc>
          <w:tcPr>
            <w:tcW w:w="440" w:type="dxa"/>
            <w:vAlign w:val="bottom"/>
          </w:tcPr>
          <w:p>
            <w:pPr>
              <w:jc w:val="right"/>
              <w:spacing w:after="0"/>
              <w:rPr>
                <w:sz w:val="20"/>
                <w:szCs w:val="20"/>
                <w:color w:val="auto"/>
              </w:rPr>
            </w:pPr>
            <w:r>
              <w:rPr>
                <w:rFonts w:ascii="Arial" w:cs="Arial" w:eastAsia="Arial" w:hAnsi="Arial"/>
                <w:sz w:val="24"/>
                <w:szCs w:val="24"/>
                <w:color w:val="auto"/>
              </w:rPr>
              <w:t>26</w:t>
            </w:r>
          </w:p>
        </w:tc>
      </w:tr>
      <w:tr>
        <w:trPr>
          <w:trHeight w:val="359"/>
        </w:trPr>
        <w:tc>
          <w:tcPr>
            <w:tcW w:w="840" w:type="dxa"/>
            <w:vAlign w:val="bottom"/>
          </w:tcPr>
          <w:p>
            <w:pPr>
              <w:spacing w:after="0"/>
              <w:rPr>
                <w:sz w:val="20"/>
                <w:szCs w:val="20"/>
                <w:color w:val="auto"/>
              </w:rPr>
            </w:pPr>
            <w:r>
              <w:rPr>
                <w:rFonts w:ascii="Arial" w:cs="Arial" w:eastAsia="Arial" w:hAnsi="Arial"/>
                <w:sz w:val="24"/>
                <w:szCs w:val="24"/>
                <w:color w:val="auto"/>
              </w:rPr>
              <w:t>2.2.3</w:t>
            </w:r>
          </w:p>
        </w:tc>
        <w:tc>
          <w:tcPr>
            <w:tcW w:w="7800" w:type="dxa"/>
            <w:vAlign w:val="bottom"/>
          </w:tcPr>
          <w:p>
            <w:pPr>
              <w:ind w:left="320"/>
              <w:spacing w:after="0"/>
              <w:rPr>
                <w:sz w:val="20"/>
                <w:szCs w:val="20"/>
                <w:color w:val="auto"/>
              </w:rPr>
            </w:pPr>
            <w:r>
              <w:rPr>
                <w:rFonts w:ascii="Arial" w:cs="Arial" w:eastAsia="Arial" w:hAnsi="Arial"/>
                <w:sz w:val="24"/>
                <w:szCs w:val="24"/>
                <w:color w:val="auto"/>
              </w:rPr>
              <w:t>Estudos anteriores . . . . . . . . . . . . . . . . . . . . . . . . . . . . .</w:t>
            </w:r>
          </w:p>
        </w:tc>
        <w:tc>
          <w:tcPr>
            <w:tcW w:w="440" w:type="dxa"/>
            <w:vAlign w:val="bottom"/>
          </w:tcPr>
          <w:p>
            <w:pPr>
              <w:jc w:val="right"/>
              <w:spacing w:after="0"/>
              <w:rPr>
                <w:sz w:val="20"/>
                <w:szCs w:val="20"/>
                <w:color w:val="auto"/>
              </w:rPr>
            </w:pPr>
            <w:r>
              <w:rPr>
                <w:rFonts w:ascii="Arial" w:cs="Arial" w:eastAsia="Arial" w:hAnsi="Arial"/>
                <w:sz w:val="24"/>
                <w:szCs w:val="24"/>
                <w:color w:val="auto"/>
              </w:rPr>
              <w:t>30</w:t>
            </w:r>
          </w:p>
        </w:tc>
      </w:tr>
    </w:tbl>
    <w:p>
      <w:pPr>
        <w:spacing w:after="0" w:line="253" w:lineRule="exact"/>
        <w:rPr>
          <w:sz w:val="20"/>
          <w:szCs w:val="20"/>
          <w:color w:val="auto"/>
        </w:rPr>
      </w:pPr>
    </w:p>
    <w:p>
      <w:pPr>
        <w:ind w:left="1420" w:hanging="1161"/>
        <w:spacing w:after="0"/>
        <w:tabs>
          <w:tab w:leader="none" w:pos="1420" w:val="left"/>
        </w:tabs>
        <w:numPr>
          <w:ilvl w:val="0"/>
          <w:numId w:val="1"/>
        </w:numPr>
        <w:rPr>
          <w:rFonts w:ascii="Arial" w:cs="Arial" w:eastAsia="Arial" w:hAnsi="Arial"/>
          <w:sz w:val="24"/>
          <w:szCs w:val="24"/>
          <w:b w:val="1"/>
          <w:bCs w:val="1"/>
          <w:color w:val="auto"/>
        </w:rPr>
      </w:pPr>
      <w:r>
        <w:rPr>
          <w:rFonts w:ascii="Arial" w:cs="Arial" w:eastAsia="Arial" w:hAnsi="Arial"/>
          <w:sz w:val="24"/>
          <w:szCs w:val="24"/>
          <w:b w:val="1"/>
          <w:bCs w:val="1"/>
          <w:color w:val="auto"/>
        </w:rPr>
        <w:t>PROCEDIMENTOS METODOLÓGICOS  . . . . . . . . . . . . . . . .   36</w:t>
      </w:r>
    </w:p>
    <w:p>
      <w:pPr>
        <w:spacing w:after="0" w:line="272" w:lineRule="exact"/>
        <w:rPr>
          <w:sz w:val="20"/>
          <w:szCs w:val="20"/>
          <w:color w:val="auto"/>
        </w:rPr>
      </w:pPr>
    </w:p>
    <w:p>
      <w:pPr>
        <w:ind w:left="1420" w:hanging="1161"/>
        <w:spacing w:after="0"/>
        <w:tabs>
          <w:tab w:leader="none" w:pos="1420" w:val="left"/>
        </w:tabs>
        <w:numPr>
          <w:ilvl w:val="0"/>
          <w:numId w:val="2"/>
        </w:numPr>
        <w:rPr>
          <w:rFonts w:ascii="Arial" w:cs="Arial" w:eastAsia="Arial" w:hAnsi="Arial"/>
          <w:sz w:val="24"/>
          <w:szCs w:val="24"/>
          <w:b w:val="1"/>
          <w:bCs w:val="1"/>
          <w:color w:val="auto"/>
        </w:rPr>
      </w:pPr>
      <w:r>
        <w:rPr>
          <w:rFonts w:ascii="Arial" w:cs="Arial" w:eastAsia="Arial" w:hAnsi="Arial"/>
          <w:sz w:val="24"/>
          <w:szCs w:val="24"/>
          <w:b w:val="1"/>
          <w:bCs w:val="1"/>
          <w:color w:val="auto"/>
        </w:rPr>
        <w:t>APRESENTAÇÃO E ANÁLISE DOS RESULTADOS  . . . . . . . . .   49</w:t>
      </w:r>
    </w:p>
    <w:p>
      <w:pPr>
        <w:spacing w:after="0" w:line="271" w:lineRule="exact"/>
        <w:rPr>
          <w:rFonts w:ascii="Arial" w:cs="Arial" w:eastAsia="Arial" w:hAnsi="Arial"/>
          <w:sz w:val="24"/>
          <w:szCs w:val="24"/>
          <w:b w:val="1"/>
          <w:bCs w:val="1"/>
          <w:color w:val="auto"/>
        </w:rPr>
      </w:pPr>
    </w:p>
    <w:p>
      <w:pPr>
        <w:ind w:left="260"/>
        <w:spacing w:after="0"/>
        <w:rPr>
          <w:rFonts w:ascii="Arial" w:cs="Arial" w:eastAsia="Arial" w:hAnsi="Arial"/>
          <w:sz w:val="24"/>
          <w:szCs w:val="24"/>
          <w:b w:val="1"/>
          <w:bCs w:val="1"/>
          <w:color w:val="auto"/>
        </w:rPr>
      </w:pPr>
      <w:r>
        <w:rPr>
          <w:rFonts w:ascii="Arial" w:cs="Arial" w:eastAsia="Arial" w:hAnsi="Arial"/>
          <w:sz w:val="24"/>
          <w:szCs w:val="24"/>
          <w:b w:val="1"/>
          <w:bCs w:val="1"/>
          <w:color w:val="auto"/>
        </w:rPr>
        <w:t>5RESULTADOS...............................  50</w: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260"/>
        <w:spacing w:after="0"/>
        <w:tabs>
          <w:tab w:leader="none" w:pos="9040" w:val="left"/>
        </w:tabs>
        <w:rPr>
          <w:sz w:val="20"/>
          <w:szCs w:val="20"/>
          <w:color w:val="auto"/>
        </w:rPr>
      </w:pPr>
      <w:r>
        <w:rPr>
          <w:rFonts w:ascii="Arial" w:cs="Arial" w:eastAsia="Arial" w:hAnsi="Arial"/>
          <w:sz w:val="24"/>
          <w:szCs w:val="24"/>
          <w:b w:val="1"/>
          <w:bCs w:val="1"/>
          <w:color w:val="auto"/>
        </w:rPr>
        <w:t>CONSIDERAÇÕESFINAIS..............................</w:t>
      </w:r>
      <w:r>
        <w:rPr>
          <w:sz w:val="20"/>
          <w:szCs w:val="20"/>
          <w:color w:val="auto"/>
        </w:rPr>
        <w:tab/>
      </w:r>
      <w:r>
        <w:rPr>
          <w:rFonts w:ascii="Arial" w:cs="Arial" w:eastAsia="Arial" w:hAnsi="Arial"/>
          <w:sz w:val="23"/>
          <w:szCs w:val="23"/>
          <w:b w:val="1"/>
          <w:bCs w:val="1"/>
          <w:color w:val="auto"/>
        </w:rPr>
        <w:t>51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260"/>
        <w:spacing w:after="0"/>
        <w:tabs>
          <w:tab w:leader="none" w:pos="9040" w:val="left"/>
        </w:tabs>
        <w:rPr>
          <w:sz w:val="20"/>
          <w:szCs w:val="20"/>
          <w:color w:val="auto"/>
        </w:rPr>
      </w:pPr>
      <w:r>
        <w:rPr>
          <w:rFonts w:ascii="Arial" w:cs="Arial" w:eastAsia="Arial" w:hAnsi="Arial"/>
          <w:sz w:val="24"/>
          <w:szCs w:val="24"/>
          <w:b w:val="1"/>
          <w:bCs w:val="1"/>
          <w:color w:val="auto"/>
        </w:rPr>
        <w:t>Referências  . . . . . . . . . . . . . . . . . . . . . . . . . . . . . . . . . . . . . .</w:t>
      </w:r>
      <w:r>
        <w:rPr>
          <w:sz w:val="20"/>
          <w:szCs w:val="20"/>
          <w:color w:val="auto"/>
        </w:rPr>
        <w:tab/>
      </w:r>
      <w:r>
        <w:rPr>
          <w:rFonts w:ascii="Arial" w:cs="Arial" w:eastAsia="Arial" w:hAnsi="Arial"/>
          <w:sz w:val="23"/>
          <w:szCs w:val="23"/>
          <w:b w:val="1"/>
          <w:bCs w:val="1"/>
          <w:color w:val="auto"/>
        </w:rPr>
        <w:t>52</w:t>
      </w:r>
    </w:p>
    <w:p>
      <w:pPr>
        <w:sectPr>
          <w:pgSz w:w="11900" w:h="16838" w:orient="portrait"/>
          <w:cols w:equalWidth="0" w:num="1">
            <w:col w:w="9340"/>
          </w:cols>
          <w:pgMar w:left="1440" w:top="1028" w:right="1126" w:bottom="1440" w:gutter="0" w:footer="0" w:header="0"/>
        </w:sectPr>
      </w:pPr>
    </w:p>
    <w:p>
      <w:pPr>
        <w:ind w:left="9220"/>
        <w:spacing w:after="0"/>
        <w:rPr>
          <w:sz w:val="20"/>
          <w:szCs w:val="20"/>
          <w:color w:val="auto"/>
        </w:rPr>
      </w:pPr>
      <w:r>
        <w:rPr>
          <w:rFonts w:ascii="Arial" w:cs="Arial" w:eastAsia="Arial" w:hAnsi="Arial"/>
          <w:sz w:val="20"/>
          <w:szCs w:val="20"/>
          <w:color w:val="auto"/>
        </w:rPr>
        <w:t>5</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1 INTRODUÇÃO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1.1</w:t>
      </w:r>
      <w:r>
        <w:rPr>
          <w:sz w:val="20"/>
          <w:szCs w:val="20"/>
          <w:color w:val="auto"/>
        </w:rPr>
        <w:tab/>
      </w:r>
      <w:r>
        <w:rPr>
          <w:rFonts w:ascii="Arial" w:cs="Arial" w:eastAsia="Arial" w:hAnsi="Arial"/>
          <w:sz w:val="23"/>
          <w:szCs w:val="23"/>
          <w:color w:val="auto"/>
        </w:rPr>
        <w:t>CONTEXTUALIZAÇÃO</w:t>
      </w:r>
    </w:p>
    <w:p>
      <w:pPr>
        <w:spacing w:after="0" w:line="319"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No processo histórico, ao longo dos séculos, os instrumentos financeiros passaram por profundas modificações e evoluções, assumindo papel determinante na geração e acúmulo de riqueza para as famílias e nações. Nesse contexto surgiram e se consolidaram as instituições bancárias, atuando essencialmente na segurança de depósitos e na oferta de crédito.</w:t>
      </w:r>
    </w:p>
    <w:p>
      <w:pPr>
        <w:spacing w:after="0" w:line="101" w:lineRule="exact"/>
        <w:rPr>
          <w:sz w:val="20"/>
          <w:szCs w:val="20"/>
          <w:color w:val="auto"/>
        </w:rPr>
      </w:pPr>
    </w:p>
    <w:p>
      <w:pPr>
        <w:jc w:val="both"/>
        <w:ind w:left="260" w:right="20" w:firstLine="850"/>
        <w:spacing w:after="0" w:line="330" w:lineRule="auto"/>
        <w:rPr>
          <w:sz w:val="20"/>
          <w:szCs w:val="20"/>
          <w:color w:val="auto"/>
        </w:rPr>
      </w:pPr>
      <w:r>
        <w:rPr>
          <w:rFonts w:ascii="Arial" w:cs="Arial" w:eastAsia="Arial" w:hAnsi="Arial"/>
          <w:sz w:val="23"/>
          <w:szCs w:val="23"/>
          <w:color w:val="auto"/>
        </w:rPr>
        <w:t>Na contrapartida destas atividades, as instituições bancárias são remuneradas basicamente de duas formas. A primeira delas é através de taxas sobre os serviços prestados. A segunda se dá pelo resultado da diferença entre a taxa cobrada no oferecimento de crédito e a taxa que remunera os recursos captados e utilizados para empréstimo, caracterizada como o spread bancário (LEITE, 1996) (CAMPELLO; BRUNSTEIN, 2005) (NEVES JÚNIOR; SOARES RIBEIRO; MENDES, 2007).</w:t>
      </w:r>
    </w:p>
    <w:p>
      <w:pPr>
        <w:spacing w:after="0" w:line="89"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A medida que a oferta de crédito desponta como um fator fundamental para o crescimento econômico de longo prazo, incentivando empreendimentos produtivos, contribuindo assim com a geração de emprego, renda e lucros, o spread bancário passa a ser um indicador estratégico para determinação do nível de desenvolvimento dos países e regiões (IMF, 2005) (LEVINE, 1997).</w:t>
      </w:r>
    </w:p>
    <w:p>
      <w:pPr>
        <w:spacing w:after="0" w:line="101"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A primeira via da importância do spread bancário está relacionada com a solidez do sistema financeiro. O nível deste indicador deve ser suficiente para garantir lucros atrativos, fazendo que as instituições mantenham suas atividades e que novas tenham interesse em entrar no mercado, resultando em um setor forte, com segurança e liquidez (LEVINE, 1997) (DANTAS, 2012) (LEAL, 2006).</w:t>
      </w:r>
    </w:p>
    <w:p>
      <w:pPr>
        <w:spacing w:after="0" w:line="101"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A segunda via remete a relação entre o spread e o nível de atividade econô-mica. Segundo a teoria, um elevado nível de spread bancário desfavoreceria o crédito produtivo e consequentemente o nível de atividade econômica, impactando no cres-cimento e desenvolvimento do país ou região (IMF, 2005) (DANTAS, 2012) (LEAL, 2006).</w:t>
      </w:r>
    </w:p>
    <w:p>
      <w:pPr>
        <w:spacing w:after="0" w:line="101" w:lineRule="exact"/>
        <w:rPr>
          <w:sz w:val="20"/>
          <w:szCs w:val="20"/>
          <w:color w:val="auto"/>
        </w:rPr>
      </w:pPr>
    </w:p>
    <w:p>
      <w:pPr>
        <w:jc w:val="both"/>
        <w:ind w:left="260" w:right="40" w:firstLine="858"/>
        <w:spacing w:after="0" w:line="315" w:lineRule="auto"/>
        <w:rPr>
          <w:sz w:val="20"/>
          <w:szCs w:val="20"/>
          <w:color w:val="auto"/>
        </w:rPr>
      </w:pPr>
      <w:r>
        <w:rPr>
          <w:rFonts w:ascii="Arial" w:cs="Arial" w:eastAsia="Arial" w:hAnsi="Arial"/>
          <w:sz w:val="24"/>
          <w:szCs w:val="24"/>
          <w:color w:val="auto"/>
        </w:rPr>
        <w:t>Tais premissas são sustentadas pelo Fundo Monetário Internacional (FMI) e pelo Banco Mundial (BM), que realizam e incentivam estudos sobre o indicador a nível mundial. A grande maioria dos estudos demonstram a relação inversa entre a taxa de spread bancário e o indicadores que indicam o desenvolvimento dos países e regiões (IMF, 2005).</w:t>
      </w:r>
    </w:p>
    <w:p>
      <w:pPr>
        <w:sectPr>
          <w:pgSz w:w="11900" w:h="16838" w:orient="portrait"/>
          <w:cols w:equalWidth="0" w:num="1">
            <w:col w:w="9360"/>
          </w:cols>
          <w:pgMar w:left="1440" w:top="1028" w:right="1106" w:bottom="958" w:gutter="0" w:footer="0" w:header="0"/>
        </w:sectPr>
      </w:pPr>
    </w:p>
    <w:p>
      <w:pPr>
        <w:ind w:left="9200"/>
        <w:spacing w:after="0"/>
        <w:rPr>
          <w:sz w:val="20"/>
          <w:szCs w:val="20"/>
          <w:color w:val="auto"/>
        </w:rPr>
      </w:pPr>
      <w:r>
        <w:rPr>
          <w:rFonts w:ascii="Arial" w:cs="Arial" w:eastAsia="Arial" w:hAnsi="Arial"/>
          <w:sz w:val="24"/>
          <w:szCs w:val="24"/>
          <w:color w:val="auto"/>
        </w:rPr>
        <w:t>6</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334" w:lineRule="auto"/>
        <w:rPr>
          <w:sz w:val="20"/>
          <w:szCs w:val="20"/>
          <w:color w:val="auto"/>
        </w:rPr>
      </w:pPr>
      <w:r>
        <w:rPr>
          <w:rFonts w:ascii="Arial" w:cs="Arial" w:eastAsia="Arial" w:hAnsi="Arial"/>
          <w:sz w:val="23"/>
          <w:szCs w:val="23"/>
          <w:color w:val="auto"/>
        </w:rPr>
        <w:t>Estudos constataram que a América Latina possui as maiores taxas de juros, bancos mais ineficientes, implicando assim níveis de spread elevados (DANTAS, 2012). O caso brasileiro é destacado com um cenário ainda mais crítico, como níveis de lucro considerados elevados, afetando principalmente o setor produtivo (DANTAS, 2012).</w:t>
      </w:r>
    </w:p>
    <w:p>
      <w:pPr>
        <w:spacing w:after="0" w:line="81" w:lineRule="exact"/>
        <w:rPr>
          <w:sz w:val="20"/>
          <w:szCs w:val="20"/>
          <w:color w:val="auto"/>
        </w:rPr>
      </w:pPr>
    </w:p>
    <w:p>
      <w:pPr>
        <w:jc w:val="both"/>
        <w:ind w:left="260" w:right="20" w:firstLine="857"/>
        <w:spacing w:after="0" w:line="314" w:lineRule="auto"/>
        <w:rPr>
          <w:sz w:val="20"/>
          <w:szCs w:val="20"/>
          <w:color w:val="auto"/>
        </w:rPr>
      </w:pPr>
      <w:r>
        <w:rPr>
          <w:rFonts w:ascii="Arial" w:cs="Arial" w:eastAsia="Arial" w:hAnsi="Arial"/>
          <w:sz w:val="24"/>
          <w:szCs w:val="24"/>
          <w:color w:val="auto"/>
        </w:rPr>
        <w:t>Entre diversos países estudados, desde a década de 1990, é evidenciado o caso brasileiro com elevados níveis de spread bancário, baixa relação entre crédito e PIB e cenários de crescimento econômicos instáveis e considerados baixos (LEVINE, 1997; MATOS, 2003). E mesmo com recentes modificações no cenário, o mercado brasileiro é um caso que desperta constantes iniciativas de estudos que buscam sua compreensão.</w:t>
      </w:r>
    </w:p>
    <w:p>
      <w:pPr>
        <w:spacing w:after="0" w:line="104" w:lineRule="exact"/>
        <w:rPr>
          <w:sz w:val="20"/>
          <w:szCs w:val="20"/>
          <w:color w:val="auto"/>
        </w:rPr>
      </w:pPr>
    </w:p>
    <w:p>
      <w:pPr>
        <w:jc w:val="both"/>
        <w:ind w:left="260" w:right="40" w:firstLine="850"/>
        <w:spacing w:after="0" w:line="332" w:lineRule="auto"/>
        <w:rPr>
          <w:sz w:val="20"/>
          <w:szCs w:val="20"/>
          <w:color w:val="auto"/>
        </w:rPr>
      </w:pPr>
      <w:r>
        <w:rPr>
          <w:rFonts w:ascii="Arial" w:cs="Arial" w:eastAsia="Arial" w:hAnsi="Arial"/>
          <w:sz w:val="23"/>
          <w:szCs w:val="23"/>
          <w:color w:val="auto"/>
        </w:rPr>
        <w:t>Durante a década de 1990, o spread bancário brasileiro esteve superior a 50% a.a., enquanto na América Latina o observado foi entre 10% e 15% a.a. A relação crédito/PIB no Brasil, em 2003, era de 23%, considerado muito baixo em comparação ao Chile com 68,5%, Uruguai com 64,3%, Estados Unidos com 60,8%, Japão com 64,3%, Coréia com 98,9% e Europa com 140,6% (CAMARGO, 2009; LEAL, 2006)</w:t>
      </w:r>
    </w:p>
    <w:p>
      <w:pPr>
        <w:spacing w:after="0" w:line="83" w:lineRule="exact"/>
        <w:rPr>
          <w:sz w:val="20"/>
          <w:szCs w:val="20"/>
          <w:color w:val="auto"/>
        </w:rPr>
      </w:pPr>
    </w:p>
    <w:p>
      <w:pPr>
        <w:jc w:val="both"/>
        <w:ind w:left="260" w:right="20" w:firstLine="850"/>
        <w:spacing w:after="0" w:line="311" w:lineRule="auto"/>
        <w:rPr>
          <w:sz w:val="20"/>
          <w:szCs w:val="20"/>
          <w:color w:val="auto"/>
        </w:rPr>
      </w:pPr>
      <w:r>
        <w:rPr>
          <w:rFonts w:ascii="Arial" w:cs="Arial" w:eastAsia="Arial" w:hAnsi="Arial"/>
          <w:sz w:val="24"/>
          <w:szCs w:val="24"/>
          <w:color w:val="auto"/>
        </w:rPr>
        <w:t>Observa-se assim, a relevância do estudo acerca das variáveis que influen-ciam o spread bancário no Brasil. Sendo assim, esta pesquisa parte das indagações:</w:t>
      </w:r>
    </w:p>
    <w:p>
      <w:pPr>
        <w:spacing w:after="0" w:line="2" w:lineRule="exact"/>
        <w:rPr>
          <w:sz w:val="20"/>
          <w:szCs w:val="20"/>
          <w:color w:val="auto"/>
        </w:rPr>
      </w:pPr>
    </w:p>
    <w:p>
      <w:pPr>
        <w:jc w:val="both"/>
        <w:ind w:left="260" w:right="60" w:hanging="9"/>
        <w:spacing w:after="0" w:line="319" w:lineRule="auto"/>
        <w:tabs>
          <w:tab w:leader="none" w:pos="619" w:val="left"/>
        </w:tabs>
        <w:numPr>
          <w:ilvl w:val="0"/>
          <w:numId w:val="3"/>
        </w:numPr>
        <w:rPr>
          <w:rFonts w:ascii="Arial" w:cs="Arial" w:eastAsia="Arial" w:hAnsi="Arial"/>
          <w:sz w:val="24"/>
          <w:szCs w:val="24"/>
          <w:color w:val="auto"/>
        </w:rPr>
      </w:pPr>
      <w:r>
        <w:rPr>
          <w:rFonts w:ascii="Arial" w:cs="Arial" w:eastAsia="Arial" w:hAnsi="Arial"/>
          <w:sz w:val="24"/>
          <w:szCs w:val="24"/>
          <w:color w:val="auto"/>
        </w:rPr>
        <w:t>Quais variáveis exógenas e endógenas influenciam os componentes explícitos e implícitos do spread bancário e (2) como a variação destes componentes afetam a rentabilidade dos bancos no Brasil?</w:t>
      </w:r>
    </w:p>
    <w:p>
      <w:pPr>
        <w:spacing w:after="0" w:line="335"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1.2</w:t>
      </w:r>
      <w:r>
        <w:rPr>
          <w:sz w:val="20"/>
          <w:szCs w:val="20"/>
          <w:color w:val="auto"/>
        </w:rPr>
        <w:tab/>
      </w:r>
      <w:r>
        <w:rPr>
          <w:rFonts w:ascii="Arial" w:cs="Arial" w:eastAsia="Arial" w:hAnsi="Arial"/>
          <w:sz w:val="23"/>
          <w:szCs w:val="23"/>
          <w:color w:val="auto"/>
        </w:rPr>
        <w:t>OBJETIVOS</w:t>
      </w:r>
    </w:p>
    <w:p>
      <w:pPr>
        <w:spacing w:after="0" w:line="319"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1.2.1</w:t>
      </w:r>
      <w:r>
        <w:rPr>
          <w:sz w:val="20"/>
          <w:szCs w:val="20"/>
          <w:color w:val="auto"/>
        </w:rPr>
        <w:tab/>
      </w:r>
      <w:r>
        <w:rPr>
          <w:rFonts w:ascii="Arial" w:cs="Arial" w:eastAsia="Arial" w:hAnsi="Arial"/>
          <w:sz w:val="23"/>
          <w:szCs w:val="23"/>
          <w:color w:val="auto"/>
        </w:rPr>
        <w:t>OBJETIVO GERAL</w:t>
      </w:r>
    </w:p>
    <w:p>
      <w:pPr>
        <w:spacing w:after="0" w:line="237" w:lineRule="exact"/>
        <w:rPr>
          <w:sz w:val="20"/>
          <w:szCs w:val="20"/>
          <w:color w:val="auto"/>
        </w:rPr>
      </w:pPr>
    </w:p>
    <w:p>
      <w:pPr>
        <w:jc w:val="both"/>
        <w:ind w:left="260" w:right="20" w:firstLine="850"/>
        <w:spacing w:after="0" w:line="338" w:lineRule="auto"/>
        <w:rPr>
          <w:sz w:val="20"/>
          <w:szCs w:val="20"/>
          <w:color w:val="auto"/>
        </w:rPr>
      </w:pPr>
      <w:r>
        <w:rPr>
          <w:rFonts w:ascii="Arial" w:cs="Arial" w:eastAsia="Arial" w:hAnsi="Arial"/>
          <w:sz w:val="23"/>
          <w:szCs w:val="23"/>
          <w:color w:val="auto"/>
        </w:rPr>
        <w:t>Este estudo buscará verificar quais variáveis microeconômicas e macroeconô-micas exercem influência significativa sobre o spread ex-post e como estas afetaram a rentabilidade das instituições bancárias brasileiras, entre os anos de 1999 e 2020.</w:t>
      </w:r>
    </w:p>
    <w:p>
      <w:pPr>
        <w:spacing w:after="0" w:line="293"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1.2.2</w:t>
      </w:r>
      <w:r>
        <w:rPr>
          <w:sz w:val="20"/>
          <w:szCs w:val="20"/>
          <w:color w:val="auto"/>
        </w:rPr>
        <w:tab/>
      </w:r>
      <w:r>
        <w:rPr>
          <w:rFonts w:ascii="Arial" w:cs="Arial" w:eastAsia="Arial" w:hAnsi="Arial"/>
          <w:sz w:val="23"/>
          <w:szCs w:val="23"/>
          <w:color w:val="auto"/>
        </w:rPr>
        <w:t>OBJETIVOS ESPECÍFICOS</w:t>
      </w:r>
    </w:p>
    <w:p>
      <w:pPr>
        <w:spacing w:after="0" w:line="357" w:lineRule="exact"/>
        <w:rPr>
          <w:sz w:val="20"/>
          <w:szCs w:val="20"/>
          <w:color w:val="auto"/>
        </w:rPr>
      </w:pPr>
    </w:p>
    <w:p>
      <w:pPr>
        <w:ind w:left="840" w:hanging="312"/>
        <w:spacing w:after="0"/>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Caracterizar historicamente o setor bancário no Brasil;</w:t>
      </w:r>
    </w:p>
    <w:p>
      <w:pPr>
        <w:spacing w:after="0" w:line="82" w:lineRule="exact"/>
        <w:rPr>
          <w:rFonts w:ascii="Arial" w:cs="Arial" w:eastAsia="Arial" w:hAnsi="Arial"/>
          <w:sz w:val="24"/>
          <w:szCs w:val="24"/>
          <w:color w:val="auto"/>
        </w:rPr>
      </w:pPr>
    </w:p>
    <w:p>
      <w:pPr>
        <w:jc w:val="both"/>
        <w:ind w:left="840" w:right="60" w:hanging="312"/>
        <w:spacing w:after="0" w:line="311" w:lineRule="auto"/>
        <w:tabs>
          <w:tab w:leader="none" w:pos="846" w:val="left"/>
        </w:tabs>
        <w:numPr>
          <w:ilvl w:val="0"/>
          <w:numId w:val="4"/>
        </w:numPr>
        <w:rPr>
          <w:rFonts w:ascii="Arial" w:cs="Arial" w:eastAsia="Arial" w:hAnsi="Arial"/>
          <w:sz w:val="24"/>
          <w:szCs w:val="24"/>
          <w:color w:val="auto"/>
        </w:rPr>
      </w:pPr>
      <w:r>
        <w:rPr>
          <w:rFonts w:ascii="Arial" w:cs="Arial" w:eastAsia="Arial" w:hAnsi="Arial"/>
          <w:sz w:val="24"/>
          <w:szCs w:val="24"/>
          <w:color w:val="auto"/>
        </w:rPr>
        <w:t>Identificar e testar variáveis macroeconômicas e microeconômicas enquanto componentes implícitos e explícitos do spread bancário ex-post e como suas variações afetam a rentabilidade dos bancos;</w:t>
      </w:r>
    </w:p>
    <w:p>
      <w:pPr>
        <w:spacing w:after="0" w:line="2" w:lineRule="exact"/>
        <w:rPr>
          <w:rFonts w:ascii="Arial" w:cs="Arial" w:eastAsia="Arial" w:hAnsi="Arial"/>
          <w:sz w:val="24"/>
          <w:szCs w:val="24"/>
          <w:color w:val="auto"/>
        </w:rPr>
      </w:pPr>
    </w:p>
    <w:p>
      <w:pPr>
        <w:ind w:left="840" w:right="60" w:hanging="312"/>
        <w:spacing w:after="0" w:line="327" w:lineRule="auto"/>
        <w:tabs>
          <w:tab w:leader="none" w:pos="840" w:val="left"/>
        </w:tabs>
        <w:numPr>
          <w:ilvl w:val="0"/>
          <w:numId w:val="4"/>
        </w:numPr>
        <w:rPr>
          <w:rFonts w:ascii="Arial" w:cs="Arial" w:eastAsia="Arial" w:hAnsi="Arial"/>
          <w:sz w:val="24"/>
          <w:szCs w:val="24"/>
          <w:color w:val="auto"/>
        </w:rPr>
      </w:pPr>
      <w:r>
        <w:rPr>
          <w:rFonts w:ascii="Arial" w:cs="Arial" w:eastAsia="Arial" w:hAnsi="Arial"/>
          <w:sz w:val="24"/>
          <w:szCs w:val="24"/>
          <w:color w:val="auto"/>
        </w:rPr>
        <w:t>Analisar como as variações do spread bancário afetaram a rentabilidade dos bancos, no período de 1999 a 2020.</w:t>
      </w:r>
    </w:p>
    <w:p>
      <w:pPr>
        <w:sectPr>
          <w:pgSz w:w="11900" w:h="16838" w:orient="portrait"/>
          <w:cols w:equalWidth="0" w:num="1">
            <w:col w:w="9380"/>
          </w:cols>
          <w:pgMar w:left="1440" w:top="991" w:right="1086" w:bottom="1440" w:gutter="0" w:footer="0" w:header="0"/>
        </w:sectPr>
      </w:pPr>
    </w:p>
    <w:p>
      <w:pPr>
        <w:ind w:left="9200"/>
        <w:spacing w:after="0"/>
        <w:rPr>
          <w:sz w:val="20"/>
          <w:szCs w:val="20"/>
          <w:color w:val="auto"/>
        </w:rPr>
      </w:pPr>
      <w:r>
        <w:rPr>
          <w:rFonts w:ascii="Arial" w:cs="Arial" w:eastAsia="Arial" w:hAnsi="Arial"/>
          <w:sz w:val="24"/>
          <w:szCs w:val="24"/>
          <w:color w:val="auto"/>
        </w:rPr>
        <w:t>7</w:t>
      </w:r>
    </w:p>
    <w:p>
      <w:pPr>
        <w:spacing w:after="0" w:line="200" w:lineRule="exact"/>
        <w:rPr>
          <w:sz w:val="20"/>
          <w:szCs w:val="20"/>
          <w:color w:val="auto"/>
        </w:rPr>
      </w:pPr>
    </w:p>
    <w:p>
      <w:pPr>
        <w:spacing w:after="0" w:line="246"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1.3</w:t>
      </w:r>
      <w:r>
        <w:rPr>
          <w:sz w:val="20"/>
          <w:szCs w:val="20"/>
          <w:color w:val="auto"/>
        </w:rPr>
        <w:tab/>
      </w:r>
      <w:r>
        <w:rPr>
          <w:rFonts w:ascii="Arial" w:cs="Arial" w:eastAsia="Arial" w:hAnsi="Arial"/>
          <w:sz w:val="23"/>
          <w:szCs w:val="23"/>
          <w:color w:val="auto"/>
        </w:rPr>
        <w:t>JUSTIFICATIVA TEÓRICA E PRÁTICA</w:t>
      </w:r>
    </w:p>
    <w:p>
      <w:pPr>
        <w:spacing w:after="0" w:line="319"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A medida que o nível de dinamismo da economia se eleva, ocorrendo evoluções e modificações em espaço de tempo mais curtos, o setor financeiro deve acompanhar tais perspectivas, devido sua importância no processo, principalmente no que se refere ao oferecimento de novos produtos, ampliação de crédito, oportunidades para investidores, solidez e liquidez do sistema.</w:t>
      </w:r>
    </w:p>
    <w:p>
      <w:pPr>
        <w:spacing w:after="0" w:line="101"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E nesse cenário dinâmico e evolutivo, o spread bancário desponta como o indicador que capta o nível de desenvolvimento do sistema financeiro, no sentido de equacionar a relação entre a remuneração dos superavitários e os juros cobrados dos deficitários de capital, com maior relevância aos destinados a empreendimentos produtivos.</w:t>
      </w:r>
    </w:p>
    <w:p>
      <w:pPr>
        <w:spacing w:after="0" w:line="101"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Nesse sentido, os estudos acerca do spread bancário se tornam necessá-rios e importantes, diante da perspectiva do dinamismo e constantes transformações d economia. O caso brasileiro demonstra ser ainda mais relevante, por se colocar em uma posição considerada peculiar, diante dos históricos de baixo crescimento e desenvolvimento e um setor bancário concentrado com elevados níveis de spread.</w:t>
      </w:r>
    </w:p>
    <w:p>
      <w:pPr>
        <w:spacing w:after="0" w:line="101" w:lineRule="exact"/>
        <w:rPr>
          <w:sz w:val="20"/>
          <w:szCs w:val="20"/>
          <w:color w:val="auto"/>
        </w:rPr>
      </w:pPr>
    </w:p>
    <w:p>
      <w:pPr>
        <w:jc w:val="both"/>
        <w:ind w:left="260" w:firstLine="850"/>
        <w:spacing w:after="0" w:line="284" w:lineRule="auto"/>
        <w:rPr>
          <w:sz w:val="20"/>
          <w:szCs w:val="20"/>
          <w:color w:val="auto"/>
        </w:rPr>
      </w:pPr>
      <w:r>
        <w:rPr>
          <w:rFonts w:ascii="Arial" w:cs="Arial" w:eastAsia="Arial" w:hAnsi="Arial"/>
          <w:sz w:val="24"/>
          <w:szCs w:val="24"/>
          <w:color w:val="auto"/>
        </w:rPr>
        <w:t>Foi verificado o panorama das publicações de pesquisas relacionadas ao setor bancário no brasil, através da plataforma Capes, entre os anos 2000 e 2020</w:t>
      </w:r>
      <w:r>
        <w:rPr>
          <w:rFonts w:ascii="Arial" w:cs="Arial" w:eastAsia="Arial" w:hAnsi="Arial"/>
          <w:sz w:val="31"/>
          <w:szCs w:val="31"/>
          <w:color w:val="auto"/>
        </w:rPr>
        <w:t xml:space="preserve"> </w:t>
      </w:r>
      <w:r>
        <w:rPr>
          <w:rFonts w:ascii="Arial" w:cs="Arial" w:eastAsia="Arial" w:hAnsi="Arial"/>
          <w:sz w:val="31"/>
          <w:szCs w:val="31"/>
          <w:color w:val="auto"/>
          <w:vertAlign w:val="superscript"/>
        </w:rPr>
        <w:t>1</w:t>
      </w:r>
      <w:r>
        <w:rPr>
          <w:rFonts w:ascii="Arial" w:cs="Arial" w:eastAsia="Arial" w:hAnsi="Arial"/>
          <w:sz w:val="24"/>
          <w:szCs w:val="24"/>
          <w:color w:val="auto"/>
        </w:rPr>
        <w:t>, remontando um total de 4.512 publicações, indicando a relevância do tema.</w:t>
      </w:r>
    </w:p>
    <w:p>
      <w:pPr>
        <w:spacing w:after="0" w:line="120" w:lineRule="exact"/>
        <w:rPr>
          <w:sz w:val="20"/>
          <w:szCs w:val="20"/>
          <w:color w:val="auto"/>
        </w:rPr>
      </w:pPr>
    </w:p>
    <w:p>
      <w:pPr>
        <w:jc w:val="both"/>
        <w:ind w:left="260" w:right="40" w:firstLine="850"/>
        <w:spacing w:after="0" w:line="293" w:lineRule="auto"/>
        <w:rPr>
          <w:sz w:val="20"/>
          <w:szCs w:val="20"/>
          <w:color w:val="auto"/>
        </w:rPr>
      </w:pPr>
      <w:r>
        <w:rPr>
          <w:rFonts w:ascii="Arial" w:cs="Arial" w:eastAsia="Arial" w:hAnsi="Arial"/>
          <w:sz w:val="24"/>
          <w:szCs w:val="24"/>
          <w:color w:val="auto"/>
        </w:rPr>
        <w:t>Enquanto as pesquisas relacionadas especificamente com o spread bancário brasileiro, através da plataforma Capes foram identificados 3.435 estudos entre os anos de 2000 e 2020</w:t>
      </w:r>
      <w:r>
        <w:rPr>
          <w:rFonts w:ascii="Arial" w:cs="Arial" w:eastAsia="Arial" w:hAnsi="Arial"/>
          <w:sz w:val="31"/>
          <w:szCs w:val="31"/>
          <w:color w:val="auto"/>
        </w:rPr>
        <w:t xml:space="preserve"> </w:t>
      </w:r>
      <w:r>
        <w:rPr>
          <w:rFonts w:ascii="Arial" w:cs="Arial" w:eastAsia="Arial" w:hAnsi="Arial"/>
          <w:sz w:val="31"/>
          <w:szCs w:val="31"/>
          <w:color w:val="auto"/>
          <w:vertAlign w:val="superscript"/>
        </w:rPr>
        <w:t>2</w:t>
      </w:r>
      <w:r>
        <w:rPr>
          <w:rFonts w:ascii="Arial" w:cs="Arial" w:eastAsia="Arial" w:hAnsi="Arial"/>
          <w:sz w:val="24"/>
          <w:szCs w:val="24"/>
          <w:color w:val="auto"/>
        </w:rPr>
        <w:t>, o que também vem destacar a importância da temática na literatura acadêmica.</w:t>
      </w:r>
    </w:p>
    <w:p>
      <w:pPr>
        <w:spacing w:after="0" w:line="108"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Mesmo com um número considerado de estudos sobre o setor bancário brasi-leiro e outros diversos citando o spread bancário, ainda se fazem necessárias novas iniciativas, diante a importância deste indicador na solidez do setor financeiro e seu papel no desenvolvimento econômico, e principalmente por ainda existirem incongruên-cias, divergências e lacunas a serem explanadas.</w:t>
      </w:r>
    </w:p>
    <w:p>
      <w:pPr>
        <w:spacing w:after="0" w:line="101"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O próximo capítulo irá abordar sobre aspectos conceituais, teóricos, técnicos e históricos do setor e spread bancário brasileiro, buscando demonstrar as principais características deste mercado, através da descrição e demonstração da evolução da estrutura e seus principais indicadores.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224790</wp:posOffset>
                </wp:positionV>
                <wp:extent cx="230251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7.7pt" to="194.25pt,17.7pt" o:allowincell="f" strokecolor="#000000" strokeweight="0.398pt"/>
            </w:pict>
          </mc:Fallback>
        </mc:AlternateContent>
      </w:r>
    </w:p>
    <w:p>
      <w:pPr>
        <w:spacing w:after="0" w:line="373" w:lineRule="exact"/>
        <w:rPr>
          <w:sz w:val="20"/>
          <w:szCs w:val="20"/>
          <w:color w:val="auto"/>
        </w:rPr>
      </w:pPr>
    </w:p>
    <w:p>
      <w:pPr>
        <w:ind w:left="540" w:right="20" w:hanging="281"/>
        <w:spacing w:after="0" w:line="210" w:lineRule="auto"/>
        <w:tabs>
          <w:tab w:leader="none" w:pos="540" w:val="left"/>
        </w:tabs>
        <w:numPr>
          <w:ilvl w:val="0"/>
          <w:numId w:val="5"/>
        </w:numPr>
        <w:rPr>
          <w:rFonts w:ascii="Arial" w:cs="Arial" w:eastAsia="Arial" w:hAnsi="Arial"/>
          <w:sz w:val="28"/>
          <w:szCs w:val="28"/>
          <w:color w:val="auto"/>
          <w:vertAlign w:val="superscript"/>
        </w:rPr>
      </w:pPr>
      <w:r>
        <w:rPr>
          <w:rFonts w:ascii="Arial" w:cs="Arial" w:eastAsia="Arial" w:hAnsi="Arial"/>
          <w:sz w:val="20"/>
          <w:szCs w:val="20"/>
          <w:color w:val="auto"/>
        </w:rPr>
        <w:t>Foram utilizados operadores booleanos em inglês: banking(structure or market or sector or industry) and brazil* e revisados por pares.</w:t>
      </w:r>
    </w:p>
    <w:p>
      <w:pPr>
        <w:spacing w:after="0" w:line="2" w:lineRule="exact"/>
        <w:rPr>
          <w:sz w:val="20"/>
          <w:szCs w:val="20"/>
          <w:color w:val="auto"/>
        </w:rPr>
      </w:pPr>
    </w:p>
    <w:p>
      <w:pPr>
        <w:ind w:left="540" w:right="40" w:hanging="281"/>
        <w:spacing w:after="0" w:line="209" w:lineRule="auto"/>
        <w:tabs>
          <w:tab w:leader="none" w:pos="540" w:val="left"/>
        </w:tabs>
        <w:numPr>
          <w:ilvl w:val="0"/>
          <w:numId w:val="6"/>
        </w:numPr>
        <w:rPr>
          <w:rFonts w:ascii="Arial" w:cs="Arial" w:eastAsia="Arial" w:hAnsi="Arial"/>
          <w:sz w:val="28"/>
          <w:szCs w:val="28"/>
          <w:color w:val="auto"/>
          <w:vertAlign w:val="superscript"/>
        </w:rPr>
      </w:pPr>
      <w:r>
        <w:rPr>
          <w:rFonts w:ascii="Arial" w:cs="Arial" w:eastAsia="Arial" w:hAnsi="Arial"/>
          <w:sz w:val="20"/>
          <w:szCs w:val="20"/>
          <w:color w:val="auto"/>
        </w:rPr>
        <w:t>Foram utilizados os operadores boleanos em inglês (bank or banking) and spread and brazil, revisados por pares.</w:t>
      </w:r>
    </w:p>
    <w:p>
      <w:pPr>
        <w:sectPr>
          <w:pgSz w:w="11900" w:h="16838" w:orient="portrait"/>
          <w:cols w:equalWidth="0" w:num="1">
            <w:col w:w="9360"/>
          </w:cols>
          <w:pgMar w:left="1440" w:top="991" w:right="1106" w:bottom="750" w:gutter="0" w:footer="0" w:header="0"/>
        </w:sectPr>
      </w:pPr>
    </w:p>
    <w:p>
      <w:pPr>
        <w:ind w:left="9200"/>
        <w:spacing w:after="0"/>
        <w:rPr>
          <w:sz w:val="20"/>
          <w:szCs w:val="20"/>
          <w:color w:val="auto"/>
        </w:rPr>
      </w:pPr>
      <w:r>
        <w:rPr>
          <w:rFonts w:ascii="Arial" w:cs="Arial" w:eastAsia="Arial" w:hAnsi="Arial"/>
          <w:sz w:val="24"/>
          <w:szCs w:val="24"/>
          <w:color w:val="auto"/>
        </w:rPr>
        <w:t>8</w:t>
      </w:r>
    </w:p>
    <w:p>
      <w:pPr>
        <w:spacing w:after="0" w:line="200" w:lineRule="exact"/>
        <w:rPr>
          <w:sz w:val="20"/>
          <w:szCs w:val="20"/>
          <w:color w:val="auto"/>
        </w:rPr>
      </w:pPr>
    </w:p>
    <w:p>
      <w:pPr>
        <w:spacing w:after="0" w:line="246" w:lineRule="exact"/>
        <w:rPr>
          <w:sz w:val="20"/>
          <w:szCs w:val="20"/>
          <w:color w:val="auto"/>
        </w:rPr>
      </w:pPr>
    </w:p>
    <w:p>
      <w:pPr>
        <w:ind w:left="260"/>
        <w:spacing w:after="0"/>
        <w:tabs>
          <w:tab w:leader="none" w:pos="800" w:val="left"/>
        </w:tabs>
        <w:rPr>
          <w:sz w:val="20"/>
          <w:szCs w:val="20"/>
          <w:color w:val="auto"/>
        </w:rPr>
      </w:pPr>
      <w:r>
        <w:rPr>
          <w:rFonts w:ascii="Arial" w:cs="Arial" w:eastAsia="Arial" w:hAnsi="Arial"/>
          <w:sz w:val="24"/>
          <w:szCs w:val="24"/>
          <w:color w:val="auto"/>
        </w:rPr>
        <w:t>1.4</w:t>
      </w:r>
      <w:r>
        <w:rPr>
          <w:sz w:val="20"/>
          <w:szCs w:val="20"/>
          <w:color w:val="auto"/>
        </w:rPr>
        <w:tab/>
      </w:r>
      <w:r>
        <w:rPr>
          <w:rFonts w:ascii="Arial" w:cs="Arial" w:eastAsia="Arial" w:hAnsi="Arial"/>
          <w:sz w:val="23"/>
          <w:szCs w:val="23"/>
          <w:color w:val="auto"/>
        </w:rPr>
        <w:t>ESTRUTURA DA DISSERTAÇÃO</w:t>
      </w:r>
    </w:p>
    <w:p>
      <w:pPr>
        <w:spacing w:after="0" w:line="319" w:lineRule="exact"/>
        <w:rPr>
          <w:sz w:val="20"/>
          <w:szCs w:val="20"/>
          <w:color w:val="auto"/>
        </w:rPr>
      </w:pPr>
    </w:p>
    <w:p>
      <w:pPr>
        <w:jc w:val="both"/>
        <w:ind w:left="260" w:firstLine="856"/>
        <w:spacing w:after="0" w:line="334" w:lineRule="auto"/>
        <w:rPr>
          <w:sz w:val="20"/>
          <w:szCs w:val="20"/>
          <w:color w:val="auto"/>
        </w:rPr>
      </w:pPr>
      <w:r>
        <w:rPr>
          <w:rFonts w:ascii="Arial" w:cs="Arial" w:eastAsia="Arial" w:hAnsi="Arial"/>
          <w:sz w:val="23"/>
          <w:szCs w:val="23"/>
          <w:color w:val="auto"/>
        </w:rPr>
        <w:t>A presente dissertação estará estruturada em cinco capítulos. Este primeiro, apresenta a contextualização, objetivos, justificativa e a presente estrutura do trabalho. E visa contextualizar as principais questões sobre o tema proposto com ótica direcionada para a proposição e objetivos, bem como nortear o andamento da pesquisa.</w:t>
      </w:r>
    </w:p>
    <w:p>
      <w:pPr>
        <w:spacing w:after="0" w:line="81" w:lineRule="exact"/>
        <w:rPr>
          <w:sz w:val="20"/>
          <w:szCs w:val="20"/>
          <w:color w:val="auto"/>
        </w:rPr>
      </w:pPr>
    </w:p>
    <w:p>
      <w:pPr>
        <w:jc w:val="both"/>
        <w:ind w:left="260" w:firstLine="850"/>
        <w:spacing w:after="0" w:line="319" w:lineRule="auto"/>
        <w:rPr>
          <w:sz w:val="20"/>
          <w:szCs w:val="20"/>
          <w:color w:val="auto"/>
        </w:rPr>
      </w:pPr>
      <w:r>
        <w:rPr>
          <w:rFonts w:ascii="Arial" w:cs="Arial" w:eastAsia="Arial" w:hAnsi="Arial"/>
          <w:sz w:val="24"/>
          <w:szCs w:val="24"/>
          <w:color w:val="auto"/>
        </w:rPr>
        <w:t>No segundo capítulo será realizado o levantamento teórico a respeito dos conceitos, aspectos fundamentais e dados amplos do setor bancário e spread no Brasil, por meio de pesquisa bibliográfica e busca em bancos de dados.</w:t>
      </w:r>
    </w:p>
    <w:p>
      <w:pPr>
        <w:spacing w:after="0" w:line="95"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O terceiro capítulo terá como anseio identificar e testar a variáveis macroe-conômicas e microeconômicas que se configuram como componentes implícitos e explícitos do spread bancário ex-post, e como variação destes componentes afetam a rentabilidade dos bancos. Será realizada através da coleta, análises, tratamento de dados e construção de modelo econométrico utilizando dados em painel.</w:t>
      </w:r>
    </w:p>
    <w:p>
      <w:pPr>
        <w:spacing w:after="0" w:line="101" w:lineRule="exact"/>
        <w:rPr>
          <w:sz w:val="20"/>
          <w:szCs w:val="20"/>
          <w:color w:val="auto"/>
        </w:rPr>
      </w:pPr>
    </w:p>
    <w:p>
      <w:pPr>
        <w:jc w:val="both"/>
        <w:ind w:left="260" w:firstLine="856"/>
        <w:spacing w:after="0" w:line="319" w:lineRule="auto"/>
        <w:rPr>
          <w:sz w:val="20"/>
          <w:szCs w:val="20"/>
          <w:color w:val="auto"/>
        </w:rPr>
      </w:pPr>
      <w:r>
        <w:rPr>
          <w:rFonts w:ascii="Arial" w:cs="Arial" w:eastAsia="Arial" w:hAnsi="Arial"/>
          <w:sz w:val="24"/>
          <w:szCs w:val="24"/>
          <w:color w:val="auto"/>
        </w:rPr>
        <w:t>O quarto capítulo almeja explanar e analisar, diante as premissas empregadas, os resultados obtidos na pesquisa, visando descrever e embasar as relações entre as variáveis, e contextualizando com as pesquisas identificadas.</w:t>
      </w:r>
    </w:p>
    <w:p>
      <w:pPr>
        <w:spacing w:after="0" w:line="95" w:lineRule="exact"/>
        <w:rPr>
          <w:sz w:val="20"/>
          <w:szCs w:val="20"/>
          <w:color w:val="auto"/>
        </w:rPr>
      </w:pPr>
    </w:p>
    <w:p>
      <w:pPr>
        <w:jc w:val="both"/>
        <w:ind w:left="260" w:right="40" w:firstLine="850"/>
        <w:spacing w:after="0" w:line="319" w:lineRule="auto"/>
        <w:rPr>
          <w:sz w:val="20"/>
          <w:szCs w:val="20"/>
          <w:color w:val="auto"/>
        </w:rPr>
      </w:pPr>
      <w:r>
        <w:rPr>
          <w:rFonts w:ascii="Arial" w:cs="Arial" w:eastAsia="Arial" w:hAnsi="Arial"/>
          <w:sz w:val="24"/>
          <w:szCs w:val="24"/>
          <w:color w:val="auto"/>
        </w:rPr>
        <w:t>Por fim serão realizadas as considerações finais, buscando contextualizar os resultados obtidos com o cenário e os estudos identificados e sugerindo estudos complementares.</w:t>
      </w:r>
    </w:p>
    <w:p>
      <w:pPr>
        <w:sectPr>
          <w:pgSz w:w="11900" w:h="16838" w:orient="portrait"/>
          <w:cols w:equalWidth="0" w:num="1">
            <w:col w:w="9360"/>
          </w:cols>
          <w:pgMar w:left="1440" w:top="991" w:right="1106" w:bottom="1440" w:gutter="0" w:footer="0" w:header="0"/>
        </w:sectPr>
      </w:pPr>
    </w:p>
    <w:p>
      <w:pPr>
        <w:ind w:left="9220"/>
        <w:spacing w:after="0"/>
        <w:rPr>
          <w:sz w:val="20"/>
          <w:szCs w:val="20"/>
          <w:color w:val="auto"/>
        </w:rPr>
      </w:pPr>
      <w:r>
        <w:rPr>
          <w:rFonts w:ascii="Arial" w:cs="Arial" w:eastAsia="Arial" w:hAnsi="Arial"/>
          <w:sz w:val="20"/>
          <w:szCs w:val="20"/>
          <w:color w:val="auto"/>
        </w:rPr>
        <w:t>9</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2 REFERENCIAL TEÓRICO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260"/>
        <w:spacing w:after="0"/>
        <w:tabs>
          <w:tab w:leader="none" w:pos="820" w:val="left"/>
        </w:tabs>
        <w:rPr>
          <w:sz w:val="20"/>
          <w:szCs w:val="20"/>
          <w:color w:val="auto"/>
        </w:rPr>
      </w:pPr>
      <w:r>
        <w:rPr>
          <w:rFonts w:ascii="Arial" w:cs="Arial" w:eastAsia="Arial" w:hAnsi="Arial"/>
          <w:sz w:val="24"/>
          <w:szCs w:val="24"/>
          <w:color w:val="auto"/>
        </w:rPr>
        <w:t>2.1</w:t>
      </w:r>
      <w:r>
        <w:rPr>
          <w:sz w:val="20"/>
          <w:szCs w:val="20"/>
          <w:color w:val="auto"/>
        </w:rPr>
        <w:tab/>
      </w:r>
      <w:r>
        <w:rPr>
          <w:rFonts w:ascii="Arial" w:cs="Arial" w:eastAsia="Arial" w:hAnsi="Arial"/>
          <w:sz w:val="23"/>
          <w:szCs w:val="23"/>
          <w:color w:val="auto"/>
        </w:rPr>
        <w:t>SETOR BANCÁRIO NO BRASIL</w:t>
      </w:r>
    </w:p>
    <w:p>
      <w:pPr>
        <w:spacing w:after="0" w:line="319"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Neste capítulo serão abordados os conceitos, características, composição e evolução do setor bancário brasileiro, com objetivo de identificar variáveis quantitativas e qualitativas relevantes para as análises dos componentes e determinantes do spread bancário.</w:t>
      </w:r>
    </w:p>
    <w:p>
      <w:pPr>
        <w:spacing w:after="0" w:line="96" w:lineRule="exact"/>
        <w:rPr>
          <w:sz w:val="20"/>
          <w:szCs w:val="20"/>
          <w:color w:val="auto"/>
        </w:rPr>
      </w:pPr>
    </w:p>
    <w:p>
      <w:pPr>
        <w:jc w:val="both"/>
        <w:ind w:left="260" w:right="40" w:firstLine="850"/>
        <w:spacing w:after="0" w:line="359" w:lineRule="auto"/>
        <w:rPr>
          <w:sz w:val="20"/>
          <w:szCs w:val="20"/>
          <w:color w:val="auto"/>
        </w:rPr>
      </w:pPr>
      <w:r>
        <w:rPr>
          <w:rFonts w:ascii="Arial" w:cs="Arial" w:eastAsia="Arial" w:hAnsi="Arial"/>
          <w:sz w:val="22"/>
          <w:szCs w:val="22"/>
          <w:color w:val="auto"/>
        </w:rPr>
        <w:t>Essa avaliação se torna relevante na concepção que o nível de desenvolvimento do sistema financeiro guarda relação direta com grau de desenvolvimento econômico de um país ou região, diante seu nível de oferta, custo e destinação do crédito.</w:t>
      </w:r>
    </w:p>
    <w:p>
      <w:pPr>
        <w:spacing w:after="0" w:line="60" w:lineRule="exact"/>
        <w:rPr>
          <w:sz w:val="20"/>
          <w:szCs w:val="20"/>
          <w:color w:val="auto"/>
        </w:rPr>
      </w:pPr>
    </w:p>
    <w:p>
      <w:pPr>
        <w:jc w:val="both"/>
        <w:ind w:left="260" w:firstLine="850"/>
        <w:spacing w:after="0" w:line="338" w:lineRule="auto"/>
        <w:rPr>
          <w:sz w:val="20"/>
          <w:szCs w:val="20"/>
          <w:color w:val="auto"/>
        </w:rPr>
      </w:pPr>
      <w:r>
        <w:rPr>
          <w:rFonts w:ascii="Arial" w:cs="Arial" w:eastAsia="Arial" w:hAnsi="Arial"/>
          <w:sz w:val="23"/>
          <w:szCs w:val="23"/>
          <w:color w:val="auto"/>
        </w:rPr>
        <w:t>O setor bancário exerce papel socioeconômico fundamental, atuando na in-termediação financeira, promovendo a circulação do fluxo de crédito, disponibilizando meios de pagamentos e opções para alocação de recursos MAFFILI E SOUZA (2007)</w:t>
      </w:r>
    </w:p>
    <w:p>
      <w:pPr>
        <w:spacing w:after="0" w:line="78" w:lineRule="exact"/>
        <w:rPr>
          <w:sz w:val="20"/>
          <w:szCs w:val="20"/>
          <w:color w:val="auto"/>
        </w:rPr>
      </w:pPr>
    </w:p>
    <w:p>
      <w:pPr>
        <w:ind w:left="260" w:right="40" w:firstLine="850"/>
        <w:spacing w:after="0" w:line="325" w:lineRule="auto"/>
        <w:rPr>
          <w:sz w:val="20"/>
          <w:szCs w:val="20"/>
          <w:color w:val="auto"/>
        </w:rPr>
      </w:pPr>
      <w:r>
        <w:rPr>
          <w:rFonts w:ascii="Arial" w:cs="Arial" w:eastAsia="Arial" w:hAnsi="Arial"/>
          <w:sz w:val="23"/>
          <w:szCs w:val="23"/>
          <w:color w:val="auto"/>
        </w:rPr>
        <w:t>O desenvolvimento do setor bancário pode ser influenciado por diversos fatores endógenos — relacionados com a gestão, tecnologia e eficiência de cada instituição</w:t>
      </w:r>
    </w:p>
    <w:p>
      <w:pPr>
        <w:spacing w:after="0" w:line="1" w:lineRule="exact"/>
        <w:rPr>
          <w:sz w:val="20"/>
          <w:szCs w:val="20"/>
          <w:color w:val="auto"/>
        </w:rPr>
      </w:pPr>
    </w:p>
    <w:p>
      <w:pPr>
        <w:ind w:left="260" w:right="20" w:hanging="28"/>
        <w:spacing w:after="0" w:line="327" w:lineRule="auto"/>
        <w:rPr>
          <w:sz w:val="20"/>
          <w:szCs w:val="20"/>
          <w:color w:val="auto"/>
        </w:rPr>
      </w:pPr>
      <w:r>
        <w:rPr>
          <w:rFonts w:ascii="Arial" w:cs="Arial" w:eastAsia="Arial" w:hAnsi="Arial"/>
          <w:sz w:val="24"/>
          <w:szCs w:val="24"/>
          <w:color w:val="auto"/>
        </w:rPr>
        <w:t>— e exógenos — envolvendo a regulação, conjuntura econômica e social (ROVER; TOMAZZIA; FÁVER, 2011).</w:t>
      </w:r>
    </w:p>
    <w:p>
      <w:pPr>
        <w:spacing w:after="0" w:line="85" w:lineRule="exact"/>
        <w:rPr>
          <w:sz w:val="20"/>
          <w:szCs w:val="20"/>
          <w:color w:val="auto"/>
        </w:rPr>
      </w:pPr>
    </w:p>
    <w:p>
      <w:pPr>
        <w:jc w:val="both"/>
        <w:ind w:left="260" w:right="40" w:firstLine="850"/>
        <w:spacing w:after="0" w:line="314" w:lineRule="auto"/>
        <w:rPr>
          <w:sz w:val="20"/>
          <w:szCs w:val="20"/>
          <w:color w:val="auto"/>
        </w:rPr>
      </w:pPr>
      <w:r>
        <w:rPr>
          <w:rFonts w:ascii="Arial" w:cs="Arial" w:eastAsia="Arial" w:hAnsi="Arial"/>
          <w:sz w:val="24"/>
          <w:szCs w:val="24"/>
          <w:color w:val="auto"/>
        </w:rPr>
        <w:t>Devido a importância de um sistema financeiro sólido no desenvolvimento econômico de longo prazo, o lucro das instituições bancárias desperta constante atenção em diversos países e regiões. Estas giram em torno dos riscos que envolvem descontinuidade e insolvência (COUTO apud (DANTAS, 2012)). De acordo com Freitas e Khöler (2009) apud Dantas (2012), o Brasil apresenta uma conjuntura bancária bem específica em comparação a outros países.</w:t>
      </w:r>
    </w:p>
    <w:p>
      <w:pPr>
        <w:spacing w:after="0" w:line="104" w:lineRule="exact"/>
        <w:rPr>
          <w:sz w:val="20"/>
          <w:szCs w:val="20"/>
          <w:color w:val="auto"/>
        </w:rPr>
      </w:pPr>
    </w:p>
    <w:p>
      <w:pPr>
        <w:jc w:val="both"/>
        <w:ind w:left="260" w:right="40" w:firstLine="858"/>
        <w:spacing w:after="0" w:line="314" w:lineRule="auto"/>
        <w:rPr>
          <w:sz w:val="20"/>
          <w:szCs w:val="20"/>
          <w:color w:val="auto"/>
        </w:rPr>
      </w:pPr>
      <w:r>
        <w:rPr>
          <w:rFonts w:ascii="Arial" w:cs="Arial" w:eastAsia="Arial" w:hAnsi="Arial"/>
          <w:sz w:val="24"/>
          <w:szCs w:val="24"/>
          <w:color w:val="auto"/>
        </w:rPr>
        <w:t>O setor bancário brasileiro é componente do Sistema Financeiro Nacional (SFN), sob hierarquia normativa do Conselho Monetário Nacional (CMN) e supervisão do Banco Central do Brasil (BACEN). As instituições que formam o setor bancário assumem o papel de operadoras no mercado de crédito, atuando como intermediadoras financeiras junto às pessoas físicas e jurídicas, podendo ser de caráter público ou privado (BRASIL, 1964).</w:t>
      </w:r>
    </w:p>
    <w:p>
      <w:pPr>
        <w:spacing w:after="0" w:line="104" w:lineRule="exact"/>
        <w:rPr>
          <w:sz w:val="20"/>
          <w:szCs w:val="20"/>
          <w:color w:val="auto"/>
        </w:rPr>
      </w:pPr>
    </w:p>
    <w:p>
      <w:pPr>
        <w:jc w:val="both"/>
        <w:ind w:left="260" w:firstLine="858"/>
        <w:spacing w:after="0" w:line="293" w:lineRule="auto"/>
        <w:rPr>
          <w:sz w:val="20"/>
          <w:szCs w:val="20"/>
          <w:color w:val="auto"/>
        </w:rPr>
      </w:pPr>
      <w:r>
        <w:rPr>
          <w:rFonts w:ascii="Arial" w:cs="Arial" w:eastAsia="Arial" w:hAnsi="Arial"/>
          <w:sz w:val="24"/>
          <w:szCs w:val="24"/>
          <w:color w:val="auto"/>
        </w:rPr>
        <w:t>As modalidades de instituições no setor bancário brasileiro são os Bancos Comerciais, Bancos de Investimentos, Bancos de Desenvolvimento, Bancos de Câmbio, Bancos Múltiplos e Caixas Econômicas</w:t>
      </w:r>
      <w:r>
        <w:rPr>
          <w:rFonts w:ascii="Arial" w:cs="Arial" w:eastAsia="Arial" w:hAnsi="Arial"/>
          <w:sz w:val="31"/>
          <w:szCs w:val="31"/>
          <w:color w:val="auto"/>
          <w:vertAlign w:val="superscript"/>
        </w:rPr>
        <w:t>1</w:t>
      </w:r>
      <w:r>
        <w:rPr>
          <w:rFonts w:ascii="Arial" w:cs="Arial" w:eastAsia="Arial" w:hAnsi="Arial"/>
          <w:sz w:val="24"/>
          <w:szCs w:val="24"/>
          <w:color w:val="auto"/>
        </w:rPr>
        <w:t xml:space="preserve"> (BRASIL, 1964) (CMN, 1994) (CMN, 1999) (CMN, 1976) (CMN, 2006) (BRASIL, 1969).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233045</wp:posOffset>
                </wp:positionV>
                <wp:extent cx="230251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8.35pt" to="194.25pt,18.35pt" o:allowincell="f" strokecolor="#000000" strokeweight="0.398pt"/>
            </w:pict>
          </mc:Fallback>
        </mc:AlternateContent>
      </w:r>
    </w:p>
    <w:p>
      <w:pPr>
        <w:sectPr>
          <w:pgSz w:w="11900" w:h="16838" w:orient="portrait"/>
          <w:cols w:equalWidth="0" w:num="1">
            <w:col w:w="9360"/>
          </w:cols>
          <w:pgMar w:left="1440" w:top="1028" w:right="1106" w:bottom="553" w:gutter="0" w:footer="0" w:header="0"/>
        </w:sectPr>
      </w:pPr>
    </w:p>
    <w:p>
      <w:pPr>
        <w:spacing w:after="0" w:line="340" w:lineRule="exact"/>
        <w:rPr>
          <w:sz w:val="20"/>
          <w:szCs w:val="20"/>
          <w:color w:val="auto"/>
        </w:rPr>
      </w:pPr>
    </w:p>
    <w:p>
      <w:pPr>
        <w:ind w:left="540" w:hanging="281"/>
        <w:spacing w:after="0"/>
        <w:tabs>
          <w:tab w:leader="none" w:pos="540" w:val="left"/>
        </w:tabs>
        <w:numPr>
          <w:ilvl w:val="0"/>
          <w:numId w:val="8"/>
        </w:numPr>
        <w:rPr>
          <w:rFonts w:ascii="Arial" w:cs="Arial" w:eastAsia="Arial" w:hAnsi="Arial"/>
          <w:sz w:val="27"/>
          <w:szCs w:val="27"/>
          <w:color w:val="auto"/>
          <w:vertAlign w:val="superscript"/>
        </w:rPr>
      </w:pPr>
      <w:r>
        <w:rPr>
          <w:rFonts w:ascii="Arial" w:cs="Arial" w:eastAsia="Arial" w:hAnsi="Arial"/>
          <w:sz w:val="19"/>
          <w:szCs w:val="19"/>
          <w:color w:val="auto"/>
        </w:rPr>
        <w:t>Atualmente nessa modalidade somente a Caixa Econômica Federal está em funcionamento</w:t>
      </w:r>
    </w:p>
    <w:p>
      <w:pPr>
        <w:sectPr>
          <w:pgSz w:w="11900" w:h="16838" w:orient="portrait"/>
          <w:cols w:equalWidth="0" w:num="1">
            <w:col w:w="9360"/>
          </w:cols>
          <w:pgMar w:left="1440" w:top="1028" w:right="1106" w:bottom="553" w:gutter="0" w:footer="0" w:header="0"/>
          <w:type w:val="continuous"/>
        </w:sectPr>
      </w:pPr>
    </w:p>
    <w:p>
      <w:pPr>
        <w:ind w:left="9060"/>
        <w:spacing w:after="0"/>
        <w:rPr>
          <w:sz w:val="20"/>
          <w:szCs w:val="20"/>
          <w:color w:val="auto"/>
        </w:rPr>
      </w:pPr>
      <w:r>
        <w:rPr>
          <w:rFonts w:ascii="Arial" w:cs="Arial" w:eastAsia="Arial" w:hAnsi="Arial"/>
          <w:sz w:val="24"/>
          <w:szCs w:val="24"/>
          <w:color w:val="auto"/>
        </w:rPr>
        <w:t>10</w:t>
      </w:r>
    </w:p>
    <w:p>
      <w:pPr>
        <w:spacing w:after="0" w:line="200" w:lineRule="exact"/>
        <w:rPr>
          <w:sz w:val="20"/>
          <w:szCs w:val="20"/>
          <w:color w:val="auto"/>
        </w:rPr>
      </w:pPr>
    </w:p>
    <w:p>
      <w:pPr>
        <w:spacing w:after="0" w:line="246" w:lineRule="exact"/>
        <w:rPr>
          <w:sz w:val="20"/>
          <w:szCs w:val="20"/>
          <w:color w:val="auto"/>
        </w:rPr>
      </w:pPr>
    </w:p>
    <w:p>
      <w:pPr>
        <w:jc w:val="both"/>
        <w:ind w:left="260" w:right="20" w:firstLine="857"/>
        <w:spacing w:after="0" w:line="332" w:lineRule="auto"/>
        <w:rPr>
          <w:sz w:val="20"/>
          <w:szCs w:val="20"/>
          <w:color w:val="auto"/>
        </w:rPr>
      </w:pPr>
      <w:r>
        <w:rPr>
          <w:rFonts w:ascii="Arial" w:cs="Arial" w:eastAsia="Arial" w:hAnsi="Arial"/>
          <w:sz w:val="23"/>
          <w:szCs w:val="23"/>
          <w:color w:val="auto"/>
        </w:rPr>
        <w:t>Entre as características gerais na formalização das instituições bancárias, estão a obrigatoriedade de serem instituídas como sociedades anônimas, possuirem em sua denominação a as nomenclaturas: banco, banco de investimento, banco de desenvolvimento, banco de câmbio, caixa econômica, conforme sua categoria (BRASIL, 1964) (CMN, 1994) (CMN, 1999) (CMN, 1976) (CMN, 2006) (BRASIL, 1969).</w:t>
      </w:r>
    </w:p>
    <w:p>
      <w:pPr>
        <w:spacing w:after="0" w:line="64" w:lineRule="exact"/>
        <w:rPr>
          <w:sz w:val="20"/>
          <w:szCs w:val="20"/>
          <w:color w:val="auto"/>
        </w:rPr>
      </w:pPr>
    </w:p>
    <w:p>
      <w:pPr>
        <w:jc w:val="both"/>
        <w:ind w:left="260" w:right="20" w:firstLine="850"/>
        <w:spacing w:after="0" w:line="315" w:lineRule="auto"/>
        <w:rPr>
          <w:sz w:val="20"/>
          <w:szCs w:val="20"/>
          <w:color w:val="auto"/>
        </w:rPr>
      </w:pPr>
      <w:r>
        <w:rPr>
          <w:rFonts w:ascii="Arial" w:cs="Arial" w:eastAsia="Arial" w:hAnsi="Arial"/>
          <w:sz w:val="24"/>
          <w:szCs w:val="24"/>
          <w:color w:val="auto"/>
        </w:rPr>
        <w:t>Os bancos comerciais são instituições financeiras de caráter público ou privado, atuando na intermediação de recursos financeiros de curto e médio prazo para finan-ciamento de atividades comerciais, industriais, serviços, pessoas físicas e terceiros, realizando captações através de depósitos à vista de livre movimento e depósitos à prazo (CMN, 1994).</w:t>
      </w:r>
    </w:p>
    <w:p>
      <w:pPr>
        <w:spacing w:after="0" w:line="82" w:lineRule="exact"/>
        <w:rPr>
          <w:sz w:val="20"/>
          <w:szCs w:val="20"/>
          <w:color w:val="auto"/>
        </w:rPr>
      </w:pPr>
    </w:p>
    <w:p>
      <w:pPr>
        <w:jc w:val="both"/>
        <w:ind w:left="260" w:firstLine="858"/>
        <w:spacing w:after="0" w:line="314" w:lineRule="auto"/>
        <w:rPr>
          <w:sz w:val="20"/>
          <w:szCs w:val="20"/>
          <w:color w:val="auto"/>
        </w:rPr>
      </w:pPr>
      <w:r>
        <w:rPr>
          <w:rFonts w:ascii="Arial" w:cs="Arial" w:eastAsia="Arial" w:hAnsi="Arial"/>
          <w:sz w:val="24"/>
          <w:szCs w:val="24"/>
          <w:color w:val="auto"/>
        </w:rPr>
        <w:t>Na modalidade de Bancos de Investimento, as instituições financeiras devem ter caráter privado, podendo operar participações temporárias em sociedades, financia-mentos produtivos para ativo fixo e capital de giro e gestão de recursos de terceiros. Realizam captação de recursos por meio de depósitos a prazo, repasses externos e internos e comercialização de cotas de fundos de investimentos que administram (CMN, 1999).</w:t>
      </w:r>
    </w:p>
    <w:p>
      <w:pPr>
        <w:spacing w:after="0" w:line="85" w:lineRule="exact"/>
        <w:rPr>
          <w:sz w:val="20"/>
          <w:szCs w:val="20"/>
          <w:color w:val="auto"/>
        </w:rPr>
      </w:pPr>
    </w:p>
    <w:p>
      <w:pPr>
        <w:jc w:val="both"/>
        <w:ind w:left="260" w:right="60" w:firstLine="850"/>
        <w:spacing w:after="0" w:line="314" w:lineRule="auto"/>
        <w:rPr>
          <w:sz w:val="20"/>
          <w:szCs w:val="20"/>
          <w:color w:val="auto"/>
        </w:rPr>
      </w:pPr>
      <w:r>
        <w:rPr>
          <w:rFonts w:ascii="Arial" w:cs="Arial" w:eastAsia="Arial" w:hAnsi="Arial"/>
          <w:sz w:val="24"/>
          <w:szCs w:val="24"/>
          <w:color w:val="auto"/>
        </w:rPr>
        <w:t>Na categoria de Bancos de Desenvolvimento, são autorizadas instituições financeiras de caráter público, controladas por governos estaduais, com foco em financiamento de atividades que promovam o desenvolvimento econômico regional no médio e longo prazo, realizando operações passivas de depósitos à prazo, recursos externos, endossos hipotecários e operações ativas de empréstimos e financiamentos ao setor privado (CMN, 1976).</w:t>
      </w:r>
    </w:p>
    <w:p>
      <w:pPr>
        <w:spacing w:after="0" w:line="85" w:lineRule="exact"/>
        <w:rPr>
          <w:sz w:val="20"/>
          <w:szCs w:val="20"/>
          <w:color w:val="auto"/>
        </w:rPr>
      </w:pPr>
    </w:p>
    <w:p>
      <w:pPr>
        <w:jc w:val="both"/>
        <w:ind w:left="260" w:right="20" w:firstLine="858"/>
        <w:spacing w:after="0" w:line="315" w:lineRule="auto"/>
        <w:rPr>
          <w:sz w:val="20"/>
          <w:szCs w:val="20"/>
          <w:color w:val="auto"/>
        </w:rPr>
      </w:pPr>
      <w:r>
        <w:rPr>
          <w:rFonts w:ascii="Arial" w:cs="Arial" w:eastAsia="Arial" w:hAnsi="Arial"/>
          <w:sz w:val="24"/>
          <w:szCs w:val="24"/>
          <w:color w:val="auto"/>
        </w:rPr>
        <w:t>Os Bancos Múltiplos se caracterizam por instituições financeiras que, podem assumir caráter público ou privado e, são autorizadas a realizar operações ativas e passivas por meio de acúmulo das carteiras comercial, investimento, desenvolvimento, crédito imobiliário, arrendamento mercantil e crédito, financiamento e investimento (CMN, 1994).</w:t>
      </w:r>
    </w:p>
    <w:p>
      <w:pPr>
        <w:spacing w:after="0" w:line="82" w:lineRule="exact"/>
        <w:rPr>
          <w:sz w:val="20"/>
          <w:szCs w:val="20"/>
          <w:color w:val="auto"/>
        </w:rPr>
      </w:pPr>
    </w:p>
    <w:p>
      <w:pPr>
        <w:jc w:val="both"/>
        <w:ind w:left="260" w:firstLine="858"/>
        <w:spacing w:after="0" w:line="315" w:lineRule="auto"/>
        <w:rPr>
          <w:sz w:val="20"/>
          <w:szCs w:val="20"/>
          <w:color w:val="auto"/>
        </w:rPr>
      </w:pPr>
      <w:r>
        <w:rPr>
          <w:rFonts w:ascii="Arial" w:cs="Arial" w:eastAsia="Arial" w:hAnsi="Arial"/>
          <w:sz w:val="24"/>
          <w:szCs w:val="24"/>
          <w:color w:val="auto"/>
        </w:rPr>
        <w:t>Em sua composição os Bancos Múltiplos devem assumir no mínimo duas carteiras e, de forma obrigatória, uma delas, deve ser a comercial ou a de investimento. As que optarem por carteira comercial podem realizar captação via depósito à vista. Somente os Bancos Públicos podem acumular a carteira de desenvolvimento (CMN, 1994).</w:t>
      </w:r>
    </w:p>
    <w:p>
      <w:pPr>
        <w:spacing w:after="0" w:line="82" w:lineRule="exact"/>
        <w:rPr>
          <w:sz w:val="20"/>
          <w:szCs w:val="20"/>
          <w:color w:val="auto"/>
        </w:rPr>
      </w:pPr>
    </w:p>
    <w:p>
      <w:pPr>
        <w:jc w:val="both"/>
        <w:ind w:left="260" w:right="20" w:firstLine="850"/>
        <w:spacing w:after="0" w:line="314" w:lineRule="auto"/>
        <w:rPr>
          <w:sz w:val="20"/>
          <w:szCs w:val="20"/>
          <w:color w:val="auto"/>
        </w:rPr>
      </w:pPr>
      <w:r>
        <w:rPr>
          <w:rFonts w:ascii="Arial" w:cs="Arial" w:eastAsia="Arial" w:hAnsi="Arial"/>
          <w:sz w:val="24"/>
          <w:szCs w:val="24"/>
          <w:color w:val="auto"/>
        </w:rPr>
        <w:t>No segmento de Bancos de Câmbio, as instituições financeiras possuem autorização para realizar operações de compra e venda de crédito cambial. Entre as operações de crédito estão o financiamento para exportadores e importadores e antecipação mediante contratos cambiais. Podem receber depósitos em contas com movimentação restrita e sem remuneração exclusiva para as operações cambiais (CMN, 2006).</w:t>
      </w:r>
    </w:p>
    <w:p>
      <w:pPr>
        <w:sectPr>
          <w:pgSz w:w="11900" w:h="16838" w:orient="portrait"/>
          <w:cols w:equalWidth="0" w:num="1">
            <w:col w:w="9380"/>
          </w:cols>
          <w:pgMar w:left="1440" w:top="991" w:right="1086" w:bottom="318" w:gutter="0" w:footer="0" w:header="0"/>
        </w:sectPr>
      </w:pPr>
    </w:p>
    <w:p>
      <w:pPr>
        <w:ind w:left="9060"/>
        <w:spacing w:after="0"/>
        <w:rPr>
          <w:sz w:val="20"/>
          <w:szCs w:val="20"/>
          <w:color w:val="auto"/>
        </w:rPr>
      </w:pPr>
      <w:r>
        <w:rPr>
          <w:rFonts w:ascii="Arial" w:cs="Arial" w:eastAsia="Arial" w:hAnsi="Arial"/>
          <w:sz w:val="24"/>
          <w:szCs w:val="24"/>
          <w:color w:val="auto"/>
        </w:rPr>
        <w:t>11</w:t>
      </w:r>
    </w:p>
    <w:p>
      <w:pPr>
        <w:spacing w:after="0" w:line="200" w:lineRule="exact"/>
        <w:rPr>
          <w:sz w:val="20"/>
          <w:szCs w:val="20"/>
          <w:color w:val="auto"/>
        </w:rPr>
      </w:pPr>
    </w:p>
    <w:p>
      <w:pPr>
        <w:spacing w:after="0" w:line="215" w:lineRule="exact"/>
        <w:rPr>
          <w:sz w:val="20"/>
          <w:szCs w:val="20"/>
          <w:color w:val="auto"/>
        </w:rPr>
      </w:pPr>
    </w:p>
    <w:p>
      <w:pPr>
        <w:ind w:left="480"/>
        <w:spacing w:after="0"/>
        <w:rPr>
          <w:sz w:val="20"/>
          <w:szCs w:val="20"/>
          <w:color w:val="auto"/>
        </w:rPr>
      </w:pPr>
      <w:r>
        <w:rPr>
          <w:rFonts w:ascii="Arial" w:cs="Arial" w:eastAsia="Arial" w:hAnsi="Arial"/>
          <w:sz w:val="22"/>
          <w:szCs w:val="22"/>
          <w:color w:val="auto"/>
        </w:rPr>
        <w:t>Tabela 1 – Composição do setor bancário brasileiro por segmento em dezembro de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75691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66.2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3140" w:type="dxa"/>
            <w:vAlign w:val="bottom"/>
          </w:tcPr>
          <w:p>
            <w:pPr>
              <w:ind w:left="120"/>
              <w:spacing w:after="0"/>
              <w:rPr>
                <w:sz w:val="20"/>
                <w:szCs w:val="20"/>
                <w:color w:val="auto"/>
              </w:rPr>
            </w:pPr>
            <w:r>
              <w:rPr>
                <w:rFonts w:ascii="Arial" w:cs="Arial" w:eastAsia="Arial" w:hAnsi="Arial"/>
                <w:sz w:val="20"/>
                <w:szCs w:val="20"/>
                <w:color w:val="auto"/>
              </w:rPr>
              <w:t>Segmento</w:t>
            </w:r>
          </w:p>
        </w:tc>
        <w:tc>
          <w:tcPr>
            <w:tcW w:w="1660" w:type="dxa"/>
            <w:vAlign w:val="bottom"/>
          </w:tcPr>
          <w:p>
            <w:pPr>
              <w:ind w:left="620"/>
              <w:spacing w:after="0"/>
              <w:rPr>
                <w:sz w:val="20"/>
                <w:szCs w:val="20"/>
                <w:color w:val="auto"/>
              </w:rPr>
            </w:pPr>
            <w:r>
              <w:rPr>
                <w:rFonts w:ascii="Arial" w:cs="Arial" w:eastAsia="Arial" w:hAnsi="Arial"/>
                <w:sz w:val="20"/>
                <w:szCs w:val="20"/>
                <w:color w:val="auto"/>
              </w:rPr>
              <w:t>Sigla</w:t>
            </w:r>
          </w:p>
        </w:tc>
        <w:tc>
          <w:tcPr>
            <w:tcW w:w="1260" w:type="dxa"/>
            <w:vAlign w:val="bottom"/>
          </w:tcPr>
          <w:p>
            <w:pPr>
              <w:ind w:left="300"/>
              <w:spacing w:after="0"/>
              <w:rPr>
                <w:sz w:val="20"/>
                <w:szCs w:val="20"/>
                <w:color w:val="auto"/>
              </w:rPr>
            </w:pPr>
            <w:r>
              <w:rPr>
                <w:rFonts w:ascii="Arial" w:cs="Arial" w:eastAsia="Arial" w:hAnsi="Arial"/>
                <w:sz w:val="20"/>
                <w:szCs w:val="20"/>
                <w:color w:val="auto"/>
              </w:rPr>
              <w:t>Ano</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Quantidade</w:t>
            </w:r>
          </w:p>
        </w:tc>
        <w:tc>
          <w:tcPr>
            <w:tcW w:w="1380" w:type="dxa"/>
            <w:vAlign w:val="bottom"/>
          </w:tcPr>
          <w:p>
            <w:pPr>
              <w:ind w:left="120"/>
              <w:spacing w:after="0"/>
              <w:rPr>
                <w:sz w:val="20"/>
                <w:szCs w:val="20"/>
                <w:color w:val="auto"/>
              </w:rPr>
            </w:pPr>
            <w:r>
              <w:rPr>
                <w:rFonts w:ascii="Arial" w:cs="Arial" w:eastAsia="Arial" w:hAnsi="Arial"/>
                <w:sz w:val="20"/>
                <w:szCs w:val="20"/>
                <w:color w:val="auto"/>
              </w:rPr>
              <w:t>Participação</w:t>
            </w:r>
          </w:p>
        </w:tc>
      </w:tr>
      <w:tr>
        <w:trPr>
          <w:trHeight w:val="57"/>
        </w:trPr>
        <w:tc>
          <w:tcPr>
            <w:tcW w:w="3140" w:type="dxa"/>
            <w:vAlign w:val="bottom"/>
            <w:tcBorders>
              <w:bottom w:val="single" w:sz="8" w:color="auto"/>
            </w:tcBorders>
          </w:tcPr>
          <w:p>
            <w:pPr>
              <w:spacing w:after="0"/>
              <w:rPr>
                <w:sz w:val="4"/>
                <w:szCs w:val="4"/>
                <w:color w:val="auto"/>
              </w:rPr>
            </w:pPr>
          </w:p>
        </w:tc>
        <w:tc>
          <w:tcPr>
            <w:tcW w:w="1660" w:type="dxa"/>
            <w:vAlign w:val="bottom"/>
            <w:tcBorders>
              <w:bottom w:val="single" w:sz="8" w:color="auto"/>
            </w:tcBorders>
          </w:tcPr>
          <w:p>
            <w:pPr>
              <w:spacing w:after="0"/>
              <w:rPr>
                <w:sz w:val="4"/>
                <w:szCs w:val="4"/>
                <w:color w:val="auto"/>
              </w:rPr>
            </w:pPr>
          </w:p>
        </w:tc>
        <w:tc>
          <w:tcPr>
            <w:tcW w:w="1260" w:type="dxa"/>
            <w:vAlign w:val="bottom"/>
            <w:tcBorders>
              <w:bottom w:val="single" w:sz="8" w:color="auto"/>
            </w:tcBorders>
          </w:tcPr>
          <w:p>
            <w:pPr>
              <w:spacing w:after="0"/>
              <w:rPr>
                <w:sz w:val="4"/>
                <w:szCs w:val="4"/>
                <w:color w:val="auto"/>
              </w:rPr>
            </w:pPr>
          </w:p>
        </w:tc>
        <w:tc>
          <w:tcPr>
            <w:tcW w:w="1640" w:type="dxa"/>
            <w:vAlign w:val="bottom"/>
            <w:tcBorders>
              <w:bottom w:val="single" w:sz="8" w:color="auto"/>
            </w:tcBorders>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r>
        <w:trPr>
          <w:trHeight w:val="275"/>
        </w:trPr>
        <w:tc>
          <w:tcPr>
            <w:tcW w:w="3140" w:type="dxa"/>
            <w:vAlign w:val="bottom"/>
          </w:tcPr>
          <w:p>
            <w:pPr>
              <w:ind w:left="120"/>
              <w:spacing w:after="0"/>
              <w:rPr>
                <w:sz w:val="20"/>
                <w:szCs w:val="20"/>
                <w:color w:val="auto"/>
              </w:rPr>
            </w:pPr>
            <w:r>
              <w:rPr>
                <w:rFonts w:ascii="Arial" w:cs="Arial" w:eastAsia="Arial" w:hAnsi="Arial"/>
                <w:sz w:val="20"/>
                <w:szCs w:val="20"/>
                <w:color w:val="auto"/>
              </w:rPr>
              <w:t>Banco Múltiplo</w:t>
            </w:r>
          </w:p>
        </w:tc>
        <w:tc>
          <w:tcPr>
            <w:tcW w:w="1660" w:type="dxa"/>
            <w:vAlign w:val="bottom"/>
          </w:tcPr>
          <w:p>
            <w:pPr>
              <w:ind w:left="620"/>
              <w:spacing w:after="0"/>
              <w:rPr>
                <w:sz w:val="20"/>
                <w:szCs w:val="20"/>
                <w:color w:val="auto"/>
              </w:rPr>
            </w:pPr>
            <w:r>
              <w:rPr>
                <w:rFonts w:ascii="Arial" w:cs="Arial" w:eastAsia="Arial" w:hAnsi="Arial"/>
                <w:sz w:val="20"/>
                <w:szCs w:val="20"/>
                <w:color w:val="auto"/>
              </w:rPr>
              <w:t>BM</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132</w:t>
            </w:r>
          </w:p>
        </w:tc>
        <w:tc>
          <w:tcPr>
            <w:tcW w:w="1380" w:type="dxa"/>
            <w:vAlign w:val="bottom"/>
          </w:tcPr>
          <w:p>
            <w:pPr>
              <w:ind w:left="120"/>
              <w:spacing w:after="0"/>
              <w:rPr>
                <w:sz w:val="20"/>
                <w:szCs w:val="20"/>
                <w:color w:val="auto"/>
              </w:rPr>
            </w:pPr>
            <w:r>
              <w:rPr>
                <w:rFonts w:ascii="Arial" w:cs="Arial" w:eastAsia="Arial" w:hAnsi="Arial"/>
                <w:sz w:val="20"/>
                <w:szCs w:val="20"/>
                <w:color w:val="auto"/>
              </w:rPr>
              <w:t>76.30%</w:t>
            </w:r>
          </w:p>
        </w:tc>
      </w:tr>
      <w:tr>
        <w:trPr>
          <w:trHeight w:val="239"/>
        </w:trPr>
        <w:tc>
          <w:tcPr>
            <w:tcW w:w="3140" w:type="dxa"/>
            <w:vAlign w:val="bottom"/>
          </w:tcPr>
          <w:p>
            <w:pPr>
              <w:ind w:left="120"/>
              <w:spacing w:after="0"/>
              <w:rPr>
                <w:sz w:val="20"/>
                <w:szCs w:val="20"/>
                <w:color w:val="auto"/>
              </w:rPr>
            </w:pPr>
            <w:r>
              <w:rPr>
                <w:rFonts w:ascii="Arial" w:cs="Arial" w:eastAsia="Arial" w:hAnsi="Arial"/>
                <w:sz w:val="20"/>
                <w:szCs w:val="20"/>
                <w:color w:val="auto"/>
              </w:rPr>
              <w:t>Banco Comercial</w:t>
            </w:r>
          </w:p>
        </w:tc>
        <w:tc>
          <w:tcPr>
            <w:tcW w:w="1660" w:type="dxa"/>
            <w:vAlign w:val="bottom"/>
          </w:tcPr>
          <w:p>
            <w:pPr>
              <w:ind w:left="620"/>
              <w:spacing w:after="0"/>
              <w:rPr>
                <w:sz w:val="20"/>
                <w:szCs w:val="20"/>
                <w:color w:val="auto"/>
              </w:rPr>
            </w:pPr>
            <w:r>
              <w:rPr>
                <w:rFonts w:ascii="Arial" w:cs="Arial" w:eastAsia="Arial" w:hAnsi="Arial"/>
                <w:sz w:val="20"/>
                <w:szCs w:val="20"/>
                <w:color w:val="auto"/>
              </w:rPr>
              <w:t>BC</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20</w:t>
            </w:r>
          </w:p>
        </w:tc>
        <w:tc>
          <w:tcPr>
            <w:tcW w:w="1380" w:type="dxa"/>
            <w:vAlign w:val="bottom"/>
          </w:tcPr>
          <w:p>
            <w:pPr>
              <w:ind w:left="120"/>
              <w:spacing w:after="0"/>
              <w:rPr>
                <w:sz w:val="20"/>
                <w:szCs w:val="20"/>
                <w:color w:val="auto"/>
              </w:rPr>
            </w:pPr>
            <w:r>
              <w:rPr>
                <w:rFonts w:ascii="Arial" w:cs="Arial" w:eastAsia="Arial" w:hAnsi="Arial"/>
                <w:sz w:val="20"/>
                <w:szCs w:val="20"/>
                <w:color w:val="auto"/>
              </w:rPr>
              <w:t>11.56%</w:t>
            </w:r>
          </w:p>
        </w:tc>
      </w:tr>
      <w:tr>
        <w:trPr>
          <w:trHeight w:val="239"/>
        </w:trPr>
        <w:tc>
          <w:tcPr>
            <w:tcW w:w="3140" w:type="dxa"/>
            <w:vAlign w:val="bottom"/>
          </w:tcPr>
          <w:p>
            <w:pPr>
              <w:ind w:left="120"/>
              <w:spacing w:after="0"/>
              <w:rPr>
                <w:sz w:val="20"/>
                <w:szCs w:val="20"/>
                <w:color w:val="auto"/>
              </w:rPr>
            </w:pPr>
            <w:r>
              <w:rPr>
                <w:rFonts w:ascii="Arial" w:cs="Arial" w:eastAsia="Arial" w:hAnsi="Arial"/>
                <w:sz w:val="20"/>
                <w:szCs w:val="20"/>
                <w:color w:val="auto"/>
              </w:rPr>
              <w:t>Banco de Investimento</w:t>
            </w:r>
          </w:p>
        </w:tc>
        <w:tc>
          <w:tcPr>
            <w:tcW w:w="1660" w:type="dxa"/>
            <w:vAlign w:val="bottom"/>
          </w:tcPr>
          <w:p>
            <w:pPr>
              <w:ind w:left="620"/>
              <w:spacing w:after="0"/>
              <w:rPr>
                <w:sz w:val="20"/>
                <w:szCs w:val="20"/>
                <w:color w:val="auto"/>
              </w:rPr>
            </w:pPr>
            <w:r>
              <w:rPr>
                <w:rFonts w:ascii="Arial" w:cs="Arial" w:eastAsia="Arial" w:hAnsi="Arial"/>
                <w:sz w:val="20"/>
                <w:szCs w:val="20"/>
                <w:color w:val="auto"/>
              </w:rPr>
              <w:t>BI</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11</w:t>
            </w:r>
          </w:p>
        </w:tc>
        <w:tc>
          <w:tcPr>
            <w:tcW w:w="1380" w:type="dxa"/>
            <w:vAlign w:val="bottom"/>
          </w:tcPr>
          <w:p>
            <w:pPr>
              <w:ind w:left="120"/>
              <w:spacing w:after="0"/>
              <w:rPr>
                <w:sz w:val="20"/>
                <w:szCs w:val="20"/>
                <w:color w:val="auto"/>
              </w:rPr>
            </w:pPr>
            <w:r>
              <w:rPr>
                <w:rFonts w:ascii="Arial" w:cs="Arial" w:eastAsia="Arial" w:hAnsi="Arial"/>
                <w:sz w:val="20"/>
                <w:szCs w:val="20"/>
                <w:color w:val="auto"/>
              </w:rPr>
              <w:t>6.36%</w:t>
            </w:r>
          </w:p>
        </w:tc>
      </w:tr>
      <w:tr>
        <w:trPr>
          <w:trHeight w:val="239"/>
        </w:trPr>
        <w:tc>
          <w:tcPr>
            <w:tcW w:w="3140" w:type="dxa"/>
            <w:vAlign w:val="bottom"/>
          </w:tcPr>
          <w:p>
            <w:pPr>
              <w:ind w:left="120"/>
              <w:spacing w:after="0"/>
              <w:rPr>
                <w:sz w:val="20"/>
                <w:szCs w:val="20"/>
                <w:color w:val="auto"/>
              </w:rPr>
            </w:pPr>
            <w:r>
              <w:rPr>
                <w:rFonts w:ascii="Arial" w:cs="Arial" w:eastAsia="Arial" w:hAnsi="Arial"/>
                <w:sz w:val="20"/>
                <w:szCs w:val="20"/>
                <w:color w:val="auto"/>
              </w:rPr>
              <w:t>Banco de Câmbio</w:t>
            </w:r>
          </w:p>
        </w:tc>
        <w:tc>
          <w:tcPr>
            <w:tcW w:w="1660" w:type="dxa"/>
            <w:vAlign w:val="bottom"/>
          </w:tcPr>
          <w:p>
            <w:pPr>
              <w:ind w:left="620"/>
              <w:spacing w:after="0"/>
              <w:rPr>
                <w:sz w:val="20"/>
                <w:szCs w:val="20"/>
                <w:color w:val="auto"/>
              </w:rPr>
            </w:pPr>
            <w:r>
              <w:rPr>
                <w:rFonts w:ascii="Arial" w:cs="Arial" w:eastAsia="Arial" w:hAnsi="Arial"/>
                <w:sz w:val="20"/>
                <w:szCs w:val="20"/>
                <w:color w:val="auto"/>
              </w:rPr>
              <w:t>B Camb</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5</w:t>
            </w:r>
          </w:p>
        </w:tc>
        <w:tc>
          <w:tcPr>
            <w:tcW w:w="1380" w:type="dxa"/>
            <w:vAlign w:val="bottom"/>
          </w:tcPr>
          <w:p>
            <w:pPr>
              <w:ind w:left="120"/>
              <w:spacing w:after="0"/>
              <w:rPr>
                <w:sz w:val="20"/>
                <w:szCs w:val="20"/>
                <w:color w:val="auto"/>
              </w:rPr>
            </w:pPr>
            <w:r>
              <w:rPr>
                <w:rFonts w:ascii="Arial" w:cs="Arial" w:eastAsia="Arial" w:hAnsi="Arial"/>
                <w:sz w:val="20"/>
                <w:szCs w:val="20"/>
                <w:color w:val="auto"/>
              </w:rPr>
              <w:t>2.89%</w:t>
            </w:r>
          </w:p>
        </w:tc>
      </w:tr>
      <w:tr>
        <w:trPr>
          <w:trHeight w:val="246"/>
        </w:trPr>
        <w:tc>
          <w:tcPr>
            <w:tcW w:w="3140" w:type="dxa"/>
            <w:vAlign w:val="bottom"/>
          </w:tcPr>
          <w:p>
            <w:pPr>
              <w:ind w:left="120"/>
              <w:spacing w:after="0"/>
              <w:rPr>
                <w:sz w:val="20"/>
                <w:szCs w:val="20"/>
                <w:color w:val="auto"/>
              </w:rPr>
            </w:pPr>
            <w:r>
              <w:rPr>
                <w:rFonts w:ascii="Arial" w:cs="Arial" w:eastAsia="Arial" w:hAnsi="Arial"/>
                <w:sz w:val="20"/>
                <w:szCs w:val="20"/>
                <w:color w:val="auto"/>
              </w:rPr>
              <w:t>Banco de Desenvolvimento</w:t>
            </w:r>
          </w:p>
        </w:tc>
        <w:tc>
          <w:tcPr>
            <w:tcW w:w="1660" w:type="dxa"/>
            <w:vAlign w:val="bottom"/>
          </w:tcPr>
          <w:p>
            <w:pPr>
              <w:ind w:left="620"/>
              <w:spacing w:after="0"/>
              <w:rPr>
                <w:sz w:val="20"/>
                <w:szCs w:val="20"/>
                <w:color w:val="auto"/>
              </w:rPr>
            </w:pPr>
            <w:r>
              <w:rPr>
                <w:rFonts w:ascii="Arial" w:cs="Arial" w:eastAsia="Arial" w:hAnsi="Arial"/>
                <w:sz w:val="20"/>
                <w:szCs w:val="20"/>
                <w:color w:val="auto"/>
              </w:rPr>
              <w:t>BD</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4</w:t>
            </w:r>
          </w:p>
        </w:tc>
        <w:tc>
          <w:tcPr>
            <w:tcW w:w="1380" w:type="dxa"/>
            <w:vAlign w:val="bottom"/>
          </w:tcPr>
          <w:p>
            <w:pPr>
              <w:ind w:left="120"/>
              <w:spacing w:after="0"/>
              <w:rPr>
                <w:sz w:val="20"/>
                <w:szCs w:val="20"/>
                <w:color w:val="auto"/>
              </w:rPr>
            </w:pPr>
            <w:r>
              <w:rPr>
                <w:rFonts w:ascii="Arial" w:cs="Arial" w:eastAsia="Arial" w:hAnsi="Arial"/>
                <w:sz w:val="20"/>
                <w:szCs w:val="20"/>
                <w:color w:val="auto"/>
              </w:rPr>
              <w:t>2.31%</w:t>
            </w:r>
          </w:p>
        </w:tc>
      </w:tr>
      <w:tr>
        <w:trPr>
          <w:trHeight w:val="356"/>
        </w:trPr>
        <w:tc>
          <w:tcPr>
            <w:tcW w:w="3140" w:type="dxa"/>
            <w:vAlign w:val="bottom"/>
          </w:tcPr>
          <w:p>
            <w:pPr>
              <w:ind w:left="120"/>
              <w:spacing w:after="0"/>
              <w:rPr>
                <w:sz w:val="20"/>
                <w:szCs w:val="20"/>
                <w:color w:val="auto"/>
              </w:rPr>
            </w:pPr>
            <w:r>
              <w:rPr>
                <w:rFonts w:ascii="Arial" w:cs="Arial" w:eastAsia="Arial" w:hAnsi="Arial"/>
                <w:sz w:val="20"/>
                <w:szCs w:val="20"/>
                <w:color w:val="auto"/>
              </w:rPr>
              <w:t>Caixas Econômicas</w:t>
            </w:r>
          </w:p>
        </w:tc>
        <w:tc>
          <w:tcPr>
            <w:tcW w:w="1660" w:type="dxa"/>
            <w:vAlign w:val="bottom"/>
          </w:tcPr>
          <w:p>
            <w:pPr>
              <w:ind w:left="620"/>
              <w:spacing w:after="0"/>
              <w:rPr>
                <w:sz w:val="20"/>
                <w:szCs w:val="20"/>
                <w:color w:val="auto"/>
              </w:rPr>
            </w:pPr>
            <w:r>
              <w:rPr>
                <w:rFonts w:ascii="Arial" w:cs="Arial" w:eastAsia="Arial" w:hAnsi="Arial"/>
                <w:sz w:val="20"/>
                <w:szCs w:val="20"/>
                <w:color w:val="auto"/>
              </w:rPr>
              <w:t>CE</w:t>
            </w:r>
          </w:p>
        </w:tc>
        <w:tc>
          <w:tcPr>
            <w:tcW w:w="1260" w:type="dxa"/>
            <w:vAlign w:val="bottom"/>
          </w:tcPr>
          <w:p>
            <w:pPr>
              <w:ind w:left="320"/>
              <w:spacing w:after="0"/>
              <w:rPr>
                <w:sz w:val="20"/>
                <w:szCs w:val="20"/>
                <w:color w:val="auto"/>
              </w:rPr>
            </w:pPr>
            <w:r>
              <w:rPr>
                <w:rFonts w:ascii="Arial" w:cs="Arial" w:eastAsia="Arial" w:hAnsi="Arial"/>
                <w:sz w:val="20"/>
                <w:szCs w:val="20"/>
                <w:color w:val="auto"/>
              </w:rPr>
              <w:t>2019</w:t>
            </w:r>
          </w:p>
        </w:tc>
        <w:tc>
          <w:tcPr>
            <w:tcW w:w="1640" w:type="dxa"/>
            <w:vAlign w:val="bottom"/>
          </w:tcPr>
          <w:p>
            <w:pPr>
              <w:jc w:val="right"/>
              <w:ind w:right="20"/>
              <w:spacing w:after="0"/>
              <w:rPr>
                <w:sz w:val="20"/>
                <w:szCs w:val="20"/>
                <w:color w:val="auto"/>
              </w:rPr>
            </w:pPr>
            <w:r>
              <w:rPr>
                <w:rFonts w:ascii="Arial" w:cs="Arial" w:eastAsia="Arial" w:hAnsi="Arial"/>
                <w:sz w:val="20"/>
                <w:szCs w:val="20"/>
                <w:color w:val="auto"/>
              </w:rPr>
              <w:t>1</w:t>
            </w:r>
          </w:p>
        </w:tc>
        <w:tc>
          <w:tcPr>
            <w:tcW w:w="1380" w:type="dxa"/>
            <w:vAlign w:val="bottom"/>
          </w:tcPr>
          <w:p>
            <w:pPr>
              <w:ind w:left="120"/>
              <w:spacing w:after="0"/>
              <w:rPr>
                <w:sz w:val="20"/>
                <w:szCs w:val="20"/>
                <w:color w:val="auto"/>
              </w:rPr>
            </w:pPr>
            <w:r>
              <w:rPr>
                <w:rFonts w:ascii="Arial" w:cs="Arial" w:eastAsia="Arial" w:hAnsi="Arial"/>
                <w:sz w:val="20"/>
                <w:szCs w:val="20"/>
                <w:color w:val="auto"/>
              </w:rPr>
              <w:t>0.58%</w:t>
            </w:r>
          </w:p>
        </w:tc>
      </w:tr>
      <w:tr>
        <w:trPr>
          <w:trHeight w:val="57"/>
        </w:trPr>
        <w:tc>
          <w:tcPr>
            <w:tcW w:w="7700" w:type="dxa"/>
            <w:vAlign w:val="bottom"/>
            <w:tcBorders>
              <w:bottom w:val="single" w:sz="8" w:color="auto"/>
            </w:tcBorders>
            <w:gridSpan w:val="4"/>
          </w:tcPr>
          <w:p>
            <w:pPr>
              <w:spacing w:after="0"/>
              <w:rPr>
                <w:sz w:val="4"/>
                <w:szCs w:val="4"/>
                <w:color w:val="auto"/>
              </w:rPr>
            </w:pPr>
          </w:p>
        </w:tc>
        <w:tc>
          <w:tcPr>
            <w:tcW w:w="1380" w:type="dxa"/>
            <w:vAlign w:val="bottom"/>
            <w:tcBorders>
              <w:bottom w:val="single" w:sz="8" w:color="auto"/>
            </w:tcBorders>
          </w:tcPr>
          <w:p>
            <w:pPr>
              <w:spacing w:after="0"/>
              <w:rPr>
                <w:sz w:val="4"/>
                <w:szCs w:val="4"/>
                <w:color w:val="auto"/>
              </w:rPr>
            </w:pPr>
          </w:p>
        </w:tc>
      </w:tr>
      <w:tr>
        <w:trPr>
          <w:trHeight w:val="320"/>
        </w:trPr>
        <w:tc>
          <w:tcPr>
            <w:tcW w:w="7700" w:type="dxa"/>
            <w:vAlign w:val="bottom"/>
            <w:gridSpan w:val="4"/>
          </w:tcPr>
          <w:p>
            <w:pPr>
              <w:ind w:left="226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dados do Banco Central</w:t>
            </w:r>
          </w:p>
        </w:tc>
        <w:tc>
          <w:tcPr>
            <w:tcW w:w="1380" w:type="dxa"/>
            <w:vAlign w:val="bottom"/>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(BRASIL, 1969).</w:t>
      </w:r>
    </w:p>
    <w:p>
      <w:pPr>
        <w:spacing w:after="0" w:line="96" w:lineRule="exact"/>
        <w:rPr>
          <w:sz w:val="20"/>
          <w:szCs w:val="20"/>
          <w:color w:val="auto"/>
        </w:rPr>
      </w:pPr>
    </w:p>
    <w:p>
      <w:pPr>
        <w:jc w:val="both"/>
        <w:ind w:left="260" w:right="40" w:firstLine="850"/>
        <w:spacing w:after="0" w:line="314" w:lineRule="auto"/>
        <w:rPr>
          <w:sz w:val="20"/>
          <w:szCs w:val="20"/>
          <w:color w:val="auto"/>
        </w:rPr>
      </w:pPr>
      <w:r>
        <w:rPr>
          <w:rFonts w:ascii="Arial" w:cs="Arial" w:eastAsia="Arial" w:hAnsi="Arial"/>
          <w:sz w:val="24"/>
          <w:szCs w:val="24"/>
          <w:color w:val="auto"/>
        </w:rPr>
        <w:t>A CEF atua com operações de crédito ao consumidor, para financiamento de bens de consumo duráveis, operações de garantia de penhor industrial e caução de títulos. Detém o monopólio sobre o penhor de bens pessoais e venda de bilhetes de loteria. É integrante do Sistema Financeiro da Habitação (SFH) e Sistema Brasileiro de Poupança e Empréstimo (SBPE), além da detenção centralizado do recolhimento e aplicação dos recursos do FGTS (BRASIL, 1969).</w:t>
      </w:r>
    </w:p>
    <w:p>
      <w:pPr>
        <w:spacing w:after="0" w:line="104" w:lineRule="exact"/>
        <w:rPr>
          <w:sz w:val="20"/>
          <w:szCs w:val="20"/>
          <w:color w:val="auto"/>
        </w:rPr>
      </w:pPr>
    </w:p>
    <w:p>
      <w:pPr>
        <w:jc w:val="both"/>
        <w:ind w:left="260" w:right="40" w:firstLine="850"/>
        <w:spacing w:after="0" w:line="334" w:lineRule="auto"/>
        <w:rPr>
          <w:sz w:val="20"/>
          <w:szCs w:val="20"/>
          <w:color w:val="auto"/>
        </w:rPr>
      </w:pPr>
      <w:r>
        <w:rPr>
          <w:rFonts w:ascii="Arial" w:cs="Arial" w:eastAsia="Arial" w:hAnsi="Arial"/>
          <w:sz w:val="23"/>
          <w:szCs w:val="23"/>
          <w:color w:val="auto"/>
        </w:rPr>
        <w:t>O setor bancário brasileiro passou por significativas modificações em sua estrutura no final da década de 1980 e ao longo da década de 1990. Estas modificações ocorreram em grande parte como reflexo às mudanças internacionais e ao processo de abertura comercial e financeira que se iniciou no Brasil (CAMARGO, 2009).</w:t>
      </w:r>
    </w:p>
    <w:p>
      <w:pPr>
        <w:spacing w:after="0" w:line="81"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Na Tabela 1 é possível verificar a concentração — levando em consideração a quantidade de instituições — do setor bancário brasileiro na categoria de bancos múltiplos, com 76%,3 de participação, onde apenas 11,5% das instituições bancárias operam exclusivamente com carteira comercial e 6,3% exclusivamente com investi-mento.</w:t>
      </w:r>
    </w:p>
    <w:p>
      <w:pPr>
        <w:spacing w:after="0" w:line="101"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Entre as principais mudanças iniciadas na década de 1980 está a reforma bancária ocorrida em 1988, através da Resolução nº 1.524 (CMN, 1988), que instituiu diversas medidas de desregulamentação, entre elas a extinção da necessidade de carta-patente para constituição de Bancos Múltiplos.</w:t>
      </w:r>
    </w:p>
    <w:p>
      <w:pPr>
        <w:spacing w:after="0" w:line="96" w:lineRule="exact"/>
        <w:rPr>
          <w:sz w:val="20"/>
          <w:szCs w:val="20"/>
          <w:color w:val="auto"/>
        </w:rPr>
      </w:pPr>
    </w:p>
    <w:p>
      <w:pPr>
        <w:jc w:val="both"/>
        <w:ind w:left="260" w:firstLine="850"/>
        <w:spacing w:after="0" w:line="338" w:lineRule="auto"/>
        <w:rPr>
          <w:sz w:val="20"/>
          <w:szCs w:val="20"/>
          <w:color w:val="auto"/>
        </w:rPr>
      </w:pPr>
      <w:r>
        <w:rPr>
          <w:rFonts w:ascii="Arial" w:cs="Arial" w:eastAsia="Arial" w:hAnsi="Arial"/>
          <w:sz w:val="23"/>
          <w:szCs w:val="23"/>
          <w:color w:val="auto"/>
        </w:rPr>
        <w:t>Mesmo com as limitações da Constituição de 1988 (BRASIL, 1988) para insta-lação de bancos estrangeiros, não houveram restrições para que ocorresse aumento na participação de capital estrangeiro em bancos nacionais (CAMARGO, 2009).</w:t>
      </w:r>
    </w:p>
    <w:p>
      <w:pPr>
        <w:sectPr>
          <w:pgSz w:w="11900" w:h="16838" w:orient="portrait"/>
          <w:cols w:equalWidth="0" w:num="1">
            <w:col w:w="9360"/>
          </w:cols>
          <w:pgMar w:left="1440" w:top="991" w:right="1106" w:bottom="1143" w:gutter="0" w:footer="0" w:header="0"/>
        </w:sectPr>
      </w:pPr>
    </w:p>
    <w:p>
      <w:pPr>
        <w:jc w:val="right"/>
        <w:ind w:right="40"/>
        <w:spacing w:after="0"/>
        <w:rPr>
          <w:sz w:val="20"/>
          <w:szCs w:val="20"/>
          <w:color w:val="auto"/>
        </w:rPr>
      </w:pPr>
      <w:r>
        <w:rPr>
          <w:rFonts w:ascii="Arial" w:cs="Arial" w:eastAsia="Arial" w:hAnsi="Arial"/>
          <w:sz w:val="24"/>
          <w:szCs w:val="24"/>
          <w:color w:val="auto"/>
        </w:rPr>
        <w:t>12</w:t>
      </w:r>
    </w:p>
    <w:p>
      <w:pPr>
        <w:spacing w:after="0" w:line="200" w:lineRule="exact"/>
        <w:rPr>
          <w:sz w:val="20"/>
          <w:szCs w:val="20"/>
          <w:color w:val="auto"/>
        </w:rPr>
      </w:pPr>
    </w:p>
    <w:p>
      <w:pPr>
        <w:spacing w:after="0" w:line="215" w:lineRule="exact"/>
        <w:rPr>
          <w:sz w:val="20"/>
          <w:szCs w:val="20"/>
          <w:color w:val="auto"/>
        </w:rPr>
      </w:pPr>
    </w:p>
    <w:p>
      <w:pPr>
        <w:ind w:left="1780"/>
        <w:spacing w:after="0"/>
        <w:rPr>
          <w:sz w:val="20"/>
          <w:szCs w:val="20"/>
          <w:color w:val="auto"/>
        </w:rPr>
      </w:pPr>
      <w:r>
        <w:rPr>
          <w:rFonts w:ascii="Arial" w:cs="Arial" w:eastAsia="Arial" w:hAnsi="Arial"/>
          <w:sz w:val="22"/>
          <w:szCs w:val="22"/>
          <w:color w:val="auto"/>
        </w:rPr>
        <w:t>Figura 1 – Evolução do setor bancário brasileiro por segmento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581025</wp:posOffset>
            </wp:positionH>
            <wp:positionV relativeFrom="paragraph">
              <wp:posOffset>327025</wp:posOffset>
            </wp:positionV>
            <wp:extent cx="5272405" cy="17475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5272405" cy="1747520"/>
                    </a:xfrm>
                    <a:prstGeom prst="rect">
                      <a:avLst/>
                    </a:prstGeom>
                    <a:noFill/>
                  </pic:spPr>
                </pic:pic>
              </a:graphicData>
            </a:graphic>
          </wp:anchor>
        </w:drawing>
      </w:r>
    </w:p>
    <w:p>
      <w:pPr>
        <w:sectPr>
          <w:pgSz w:w="11900" w:h="16838" w:orient="portrait"/>
          <w:cols w:equalWidth="0" w:num="1">
            <w:col w:w="9360"/>
          </w:cols>
          <w:pgMar w:left="1440" w:top="991" w:right="1106" w:bottom="4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tbl>
      <w:tblPr>
        <w:tblLayout w:type="fixed"/>
        <w:tblInd w:w="237" w:type="dxa"/>
        <w:tblCellMar>
          <w:top w:w="0" w:type="dxa"/>
          <w:left w:w="0" w:type="dxa"/>
          <w:bottom w:w="0" w:type="dxa"/>
          <w:right w:w="0" w:type="dxa"/>
        </w:tblCellMar>
      </w:tblPr>
      <w:tr>
        <w:trPr>
          <w:trHeight w:val="1100"/>
        </w:trPr>
        <w:tc>
          <w:tcPr>
            <w:tcW w:w="230" w:type="dxa"/>
            <w:vAlign w:val="bottom"/>
            <w:textDirection w:val="btLr"/>
          </w:tcPr>
          <w:p>
            <w:pPr>
              <w:spacing w:after="0"/>
              <w:rPr>
                <w:sz w:val="20"/>
                <w:szCs w:val="20"/>
                <w:color w:val="auto"/>
              </w:rPr>
            </w:pPr>
            <w:r>
              <w:rPr>
                <w:rFonts w:ascii="Helvetica" w:cs="Helvetica" w:eastAsia="Helvetica" w:hAnsi="Helvetica"/>
                <w:sz w:val="20"/>
                <w:szCs w:val="20"/>
                <w:color w:val="auto"/>
              </w:rPr>
              <w:t>Quantidade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8" w:lineRule="exact"/>
        <w:rPr>
          <w:sz w:val="20"/>
          <w:szCs w:val="20"/>
          <w:color w:val="auto"/>
        </w:rPr>
      </w:pPr>
    </w:p>
    <w:p>
      <w:pPr>
        <w:ind w:left="1080"/>
        <w:spacing w:after="0"/>
        <w:tabs>
          <w:tab w:leader="none" w:pos="3820" w:val="left"/>
          <w:tab w:leader="none" w:pos="6260" w:val="left"/>
        </w:tabs>
        <w:rPr>
          <w:sz w:val="20"/>
          <w:szCs w:val="20"/>
          <w:color w:val="auto"/>
        </w:rPr>
      </w:pPr>
      <w:r>
        <w:rPr>
          <w:rFonts w:ascii="Helvetica" w:cs="Helvetica" w:eastAsia="Helvetica" w:hAnsi="Helvetica"/>
          <w:sz w:val="18"/>
          <w:szCs w:val="18"/>
          <w:color w:val="1A1A1A"/>
        </w:rPr>
        <w:t>Banco Comercial</w:t>
      </w:r>
      <w:r>
        <w:rPr>
          <w:sz w:val="20"/>
          <w:szCs w:val="20"/>
          <w:color w:val="auto"/>
        </w:rPr>
        <w:tab/>
      </w:r>
      <w:r>
        <w:rPr>
          <w:rFonts w:ascii="Helvetica" w:cs="Helvetica" w:eastAsia="Helvetica" w:hAnsi="Helvetica"/>
          <w:sz w:val="18"/>
          <w:szCs w:val="18"/>
          <w:color w:val="1A1A1A"/>
        </w:rPr>
        <w:t>Banco de Câmbio</w:t>
      </w:r>
      <w:r>
        <w:rPr>
          <w:sz w:val="20"/>
          <w:szCs w:val="20"/>
          <w:color w:val="auto"/>
        </w:rPr>
        <w:tab/>
      </w:r>
      <w:r>
        <w:rPr>
          <w:rFonts w:ascii="Helvetica" w:cs="Helvetica" w:eastAsia="Helvetica" w:hAnsi="Helvetica"/>
          <w:sz w:val="17"/>
          <w:szCs w:val="17"/>
          <w:color w:val="1A1A1A"/>
        </w:rPr>
        <w:t>Banco de Desenvolvimento</w:t>
      </w:r>
    </w:p>
    <w:p>
      <w:pPr>
        <w:spacing w:after="0" w:line="114"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200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150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ind w:left="100"/>
        <w:spacing w:after="0"/>
        <w:rPr>
          <w:sz w:val="20"/>
          <w:szCs w:val="20"/>
          <w:color w:val="auto"/>
        </w:rPr>
      </w:pPr>
      <w:r>
        <w:rPr>
          <w:rFonts w:ascii="Helvetica" w:cs="Helvetica" w:eastAsia="Helvetica" w:hAnsi="Helvetica"/>
          <w:sz w:val="18"/>
          <w:szCs w:val="18"/>
          <w:color w:val="4D4D4D"/>
        </w:rPr>
        <w:t>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ind w:left="200"/>
        <w:spacing w:after="0"/>
        <w:rPr>
          <w:sz w:val="20"/>
          <w:szCs w:val="20"/>
          <w:color w:val="auto"/>
        </w:rPr>
      </w:pPr>
      <w:r>
        <w:rPr>
          <w:rFonts w:ascii="Helvetica" w:cs="Helvetica" w:eastAsia="Helvetica" w:hAnsi="Helvetica"/>
          <w:sz w:val="18"/>
          <w:szCs w:val="18"/>
          <w:color w:val="4D4D4D"/>
        </w:rPr>
        <w: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250825</wp:posOffset>
            </wp:positionH>
            <wp:positionV relativeFrom="paragraph">
              <wp:posOffset>73660</wp:posOffset>
            </wp:positionV>
            <wp:extent cx="5272405" cy="2139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5272405" cy="2139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159" w:lineRule="exact"/>
        <w:rPr>
          <w:sz w:val="20"/>
          <w:szCs w:val="20"/>
          <w:color w:val="auto"/>
        </w:rPr>
      </w:pPr>
    </w:p>
    <w:p>
      <w:pPr>
        <w:ind w:left="860"/>
        <w:spacing w:after="0"/>
        <w:tabs>
          <w:tab w:leader="none" w:pos="3940" w:val="left"/>
          <w:tab w:leader="none" w:pos="6560" w:val="left"/>
        </w:tabs>
        <w:rPr>
          <w:sz w:val="20"/>
          <w:szCs w:val="20"/>
          <w:color w:val="auto"/>
        </w:rPr>
      </w:pPr>
      <w:r>
        <w:rPr>
          <w:rFonts w:ascii="Helvetica" w:cs="Helvetica" w:eastAsia="Helvetica" w:hAnsi="Helvetica"/>
          <w:sz w:val="18"/>
          <w:szCs w:val="18"/>
          <w:color w:val="1A1A1A"/>
        </w:rPr>
        <w:t>Banco de Investimento</w:t>
      </w:r>
      <w:r>
        <w:rPr>
          <w:sz w:val="20"/>
          <w:szCs w:val="20"/>
          <w:color w:val="auto"/>
        </w:rPr>
        <w:tab/>
      </w:r>
      <w:r>
        <w:rPr>
          <w:rFonts w:ascii="Helvetica" w:cs="Helvetica" w:eastAsia="Helvetica" w:hAnsi="Helvetica"/>
          <w:sz w:val="18"/>
          <w:szCs w:val="18"/>
          <w:color w:val="1A1A1A"/>
        </w:rPr>
        <w:t>Banco Múltiplo</w:t>
      </w:r>
      <w:r>
        <w:rPr>
          <w:sz w:val="20"/>
          <w:szCs w:val="20"/>
          <w:color w:val="auto"/>
        </w:rPr>
        <w:tab/>
      </w:r>
      <w:r>
        <w:rPr>
          <w:rFonts w:ascii="Helvetica" w:cs="Helvetica" w:eastAsia="Helvetica" w:hAnsi="Helvetica"/>
          <w:sz w:val="17"/>
          <w:szCs w:val="17"/>
          <w:color w:val="1A1A1A"/>
        </w:rPr>
        <w:t>Caixas Econômicas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250825</wp:posOffset>
            </wp:positionH>
            <wp:positionV relativeFrom="paragraph">
              <wp:posOffset>42545</wp:posOffset>
            </wp:positionV>
            <wp:extent cx="5272405" cy="153416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5272405" cy="1534160"/>
                    </a:xfrm>
                    <a:prstGeom prst="rect">
                      <a:avLst/>
                    </a:prstGeom>
                    <a:noFill/>
                  </pic:spPr>
                </pic:pic>
              </a:graphicData>
            </a:graphic>
          </wp:anchor>
        </w:drawing>
      </w:r>
    </w:p>
    <w:p>
      <w:pPr>
        <w:spacing w:after="0" w:line="94"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200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150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spacing w:after="0"/>
        <w:rPr>
          <w:sz w:val="20"/>
          <w:szCs w:val="20"/>
          <w:color w:val="auto"/>
        </w:rPr>
      </w:pPr>
      <w:r>
        <w:rPr>
          <w:rFonts w:ascii="Helvetica" w:cs="Helvetica" w:eastAsia="Helvetica" w:hAnsi="Helvetica"/>
          <w:sz w:val="18"/>
          <w:szCs w:val="18"/>
          <w:color w:val="4D4D4D"/>
        </w:rPr>
        <w:t>100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ind w:left="100"/>
        <w:spacing w:after="0"/>
        <w:rPr>
          <w:sz w:val="20"/>
          <w:szCs w:val="20"/>
          <w:color w:val="auto"/>
        </w:rPr>
      </w:pPr>
      <w:r>
        <w:rPr>
          <w:rFonts w:ascii="Helvetica" w:cs="Helvetica" w:eastAsia="Helvetica" w:hAnsi="Helvetica"/>
          <w:sz w:val="18"/>
          <w:szCs w:val="18"/>
          <w:color w:val="4D4D4D"/>
        </w:rPr>
        <w:t>50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311" w:lineRule="exact"/>
        <w:rPr>
          <w:sz w:val="20"/>
          <w:szCs w:val="20"/>
          <w:color w:val="auto"/>
        </w:rPr>
      </w:pPr>
    </w:p>
    <w:p>
      <w:pPr>
        <w:ind w:left="200"/>
        <w:spacing w:after="0"/>
        <w:rPr>
          <w:sz w:val="20"/>
          <w:szCs w:val="20"/>
          <w:color w:val="auto"/>
        </w:rPr>
      </w:pPr>
      <w:r>
        <w:rPr>
          <w:rFonts w:ascii="Helvetica" w:cs="Helvetica" w:eastAsia="Helvetica" w:hAnsi="Helvetica"/>
          <w:sz w:val="18"/>
          <w:szCs w:val="18"/>
          <w:color w:val="4D4D4D"/>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403860</wp:posOffset>
                </wp:positionH>
                <wp:positionV relativeFrom="paragraph">
                  <wp:posOffset>5080</wp:posOffset>
                </wp:positionV>
                <wp:extent cx="0" cy="3429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0.4pt" to="31.8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783590</wp:posOffset>
                </wp:positionH>
                <wp:positionV relativeFrom="paragraph">
                  <wp:posOffset>5080</wp:posOffset>
                </wp:positionV>
                <wp:extent cx="0" cy="3429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1.7pt,0.4pt" to="61.7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1163320</wp:posOffset>
                </wp:positionH>
                <wp:positionV relativeFrom="paragraph">
                  <wp:posOffset>5080</wp:posOffset>
                </wp:positionV>
                <wp:extent cx="0" cy="3429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6pt,0.4pt" to="91.6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1543050</wp:posOffset>
                </wp:positionH>
                <wp:positionV relativeFrom="paragraph">
                  <wp:posOffset>5080</wp:posOffset>
                </wp:positionV>
                <wp:extent cx="0" cy="3429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5pt,0.4pt" to="121.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1922780</wp:posOffset>
                </wp:positionH>
                <wp:positionV relativeFrom="paragraph">
                  <wp:posOffset>5080</wp:posOffset>
                </wp:positionV>
                <wp:extent cx="0" cy="3429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4pt,0.4pt" to="151.4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2184400</wp:posOffset>
                </wp:positionH>
                <wp:positionV relativeFrom="paragraph">
                  <wp:posOffset>5080</wp:posOffset>
                </wp:positionV>
                <wp:extent cx="0" cy="3429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pt,0.4pt" to="172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2564130</wp:posOffset>
                </wp:positionH>
                <wp:positionV relativeFrom="paragraph">
                  <wp:posOffset>5080</wp:posOffset>
                </wp:positionV>
                <wp:extent cx="0" cy="3429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1.9pt,0.4pt" to="201.9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2943225</wp:posOffset>
                </wp:positionH>
                <wp:positionV relativeFrom="paragraph">
                  <wp:posOffset>5080</wp:posOffset>
                </wp:positionV>
                <wp:extent cx="0" cy="3429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75pt,0.4pt" to="231.7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3322955</wp:posOffset>
                </wp:positionH>
                <wp:positionV relativeFrom="paragraph">
                  <wp:posOffset>5080</wp:posOffset>
                </wp:positionV>
                <wp:extent cx="0" cy="3429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65pt,0.4pt" to="261.6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3702685</wp:posOffset>
                </wp:positionH>
                <wp:positionV relativeFrom="paragraph">
                  <wp:posOffset>5080</wp:posOffset>
                </wp:positionV>
                <wp:extent cx="0" cy="3429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1.55pt,0.4pt" to="291.5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3964305</wp:posOffset>
                </wp:positionH>
                <wp:positionV relativeFrom="paragraph">
                  <wp:posOffset>5080</wp:posOffset>
                </wp:positionV>
                <wp:extent cx="0" cy="3429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15pt,0.4pt" to="312.1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4344035</wp:posOffset>
                </wp:positionH>
                <wp:positionV relativeFrom="paragraph">
                  <wp:posOffset>5080</wp:posOffset>
                </wp:positionV>
                <wp:extent cx="0" cy="3429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05pt,0.4pt" to="342.0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4723765</wp:posOffset>
                </wp:positionH>
                <wp:positionV relativeFrom="paragraph">
                  <wp:posOffset>5080</wp:posOffset>
                </wp:positionV>
                <wp:extent cx="0" cy="3429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95pt,0.4pt" to="371.9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5103495</wp:posOffset>
                </wp:positionH>
                <wp:positionV relativeFrom="paragraph">
                  <wp:posOffset>5080</wp:posOffset>
                </wp:positionV>
                <wp:extent cx="0" cy="3429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1.85pt,0.4pt" to="401.8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5483225</wp:posOffset>
                </wp:positionH>
                <wp:positionV relativeFrom="paragraph">
                  <wp:posOffset>5080</wp:posOffset>
                </wp:positionV>
                <wp:extent cx="0" cy="3429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1.75pt,0.4pt" to="431.75pt,3.1pt" o:allowincell="f" strokecolor="#333333" strokeweight="1.0476pt"/>
            </w:pict>
          </mc:Fallback>
        </mc:AlternateContent>
        <mc:AlternateContent>
          <mc:Choice Requires="wps">
            <w:drawing>
              <wp:anchor simplePos="0" relativeHeight="251657728" behindDoc="1" locked="0" layoutInCell="0" allowOverlap="1">
                <wp:simplePos x="0" y="0"/>
                <wp:positionH relativeFrom="column">
                  <wp:posOffset>215900</wp:posOffset>
                </wp:positionH>
                <wp:positionV relativeFrom="paragraph">
                  <wp:posOffset>-64135</wp:posOffset>
                </wp:positionV>
                <wp:extent cx="3429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5.0499pt" to="19.7pt,-5.0499pt" o:allowincell="f" strokecolor="#333333" strokeweight="1.0476pt"/>
            </w:pict>
          </mc:Fallback>
        </mc:AlternateContent>
      </w:r>
    </w:p>
    <w:p>
      <w:pPr>
        <w:spacing w:after="0" w:line="43" w:lineRule="exact"/>
        <w:rPr>
          <w:sz w:val="20"/>
          <w:szCs w:val="20"/>
          <w:color w:val="auto"/>
        </w:rPr>
      </w:pPr>
    </w:p>
    <w:p>
      <w:pPr>
        <w:jc w:val="center"/>
        <w:ind w:right="-439"/>
        <w:spacing w:after="0"/>
        <w:tabs>
          <w:tab w:leader="none" w:pos="180" w:val="left"/>
          <w:tab w:leader="none" w:pos="180" w:val="left"/>
          <w:tab w:leader="none" w:pos="200" w:val="left"/>
          <w:tab w:leader="none" w:pos="200" w:val="left"/>
          <w:tab w:leader="none" w:pos="180" w:val="left"/>
          <w:tab w:leader="none" w:pos="180" w:val="left"/>
          <w:tab w:leader="none" w:pos="180" w:val="left"/>
          <w:tab w:leader="none" w:pos="200" w:val="left"/>
          <w:tab w:leader="none" w:pos="180" w:val="left"/>
          <w:tab w:leader="none" w:pos="180" w:val="left"/>
          <w:tab w:leader="none" w:pos="180" w:val="left"/>
          <w:tab w:leader="none" w:pos="180" w:val="left"/>
        </w:tabs>
        <w:rPr>
          <w:sz w:val="20"/>
          <w:szCs w:val="20"/>
          <w:color w:val="auto"/>
        </w:rPr>
      </w:pPr>
      <w:r>
        <w:rPr>
          <w:rFonts w:ascii="Helvetica" w:cs="Helvetica" w:eastAsia="Helvetica" w:hAnsi="Helvetica"/>
          <w:sz w:val="18"/>
          <w:szCs w:val="18"/>
          <w:color w:val="4D4D4D"/>
        </w:rPr>
        <w:t>1980</w:t>
        <w:tab/>
        <w:t>1990</w:t>
        <w:tab/>
        <w:t>2000</w:t>
        <w:tab/>
        <w:t>2010</w:t>
        <w:tab/>
        <w:t>20201980</w:t>
        <w:tab/>
        <w:t>1990</w:t>
        <w:tab/>
        <w:t>2000</w:t>
        <w:tab/>
        <w:t>2010</w:t>
        <w:tab/>
        <w:t>20201980</w:t>
        <w:tab/>
        <w:t>1990</w:t>
        <w:tab/>
        <w:t>2000</w:t>
        <w:tab/>
        <w:t>2010</w:t>
      </w:r>
      <w:r>
        <w:rPr>
          <w:sz w:val="20"/>
          <w:szCs w:val="20"/>
          <w:color w:val="auto"/>
        </w:rPr>
        <w:tab/>
      </w:r>
      <w:r>
        <w:rPr>
          <w:rFonts w:ascii="Helvetica" w:cs="Helvetica" w:eastAsia="Helvetica" w:hAnsi="Helvetica"/>
          <w:sz w:val="17"/>
          <w:szCs w:val="17"/>
          <w:color w:val="4D4D4D"/>
        </w:rPr>
        <w:t>2020</w:t>
      </w:r>
    </w:p>
    <w:p>
      <w:pPr>
        <w:spacing w:after="0" w:line="4" w:lineRule="exact"/>
        <w:rPr>
          <w:sz w:val="20"/>
          <w:szCs w:val="20"/>
          <w:color w:val="auto"/>
        </w:rPr>
      </w:pPr>
    </w:p>
    <w:p>
      <w:pPr>
        <w:jc w:val="center"/>
        <w:ind w:right="-259"/>
        <w:spacing w:after="0"/>
        <w:rPr>
          <w:sz w:val="20"/>
          <w:szCs w:val="20"/>
          <w:color w:val="auto"/>
        </w:rPr>
      </w:pPr>
      <w:r>
        <w:rPr>
          <w:rFonts w:ascii="Helvetica" w:cs="Helvetica" w:eastAsia="Helvetica" w:hAnsi="Helvetica"/>
          <w:sz w:val="22"/>
          <w:szCs w:val="22"/>
          <w:color w:val="auto"/>
        </w:rPr>
        <w:t>Ano</w:t>
      </w:r>
    </w:p>
    <w:p>
      <w:pPr>
        <w:spacing w:after="0" w:line="252" w:lineRule="exact"/>
        <w:rPr>
          <w:sz w:val="20"/>
          <w:szCs w:val="20"/>
          <w:color w:val="auto"/>
        </w:rPr>
      </w:pPr>
    </w:p>
    <w:p>
      <w:pPr>
        <w:jc w:val="center"/>
        <w:ind w:right="30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w:t>
      </w:r>
    </w:p>
    <w:p>
      <w:pPr>
        <w:spacing w:after="0" w:line="200" w:lineRule="exact"/>
        <w:rPr>
          <w:sz w:val="20"/>
          <w:szCs w:val="20"/>
          <w:color w:val="auto"/>
        </w:rPr>
      </w:pPr>
    </w:p>
    <w:p>
      <w:pPr>
        <w:sectPr>
          <w:pgSz w:w="11900" w:h="16838" w:orient="portrait"/>
          <w:cols w:equalWidth="0" w:num="2">
            <w:col w:w="467" w:space="53"/>
            <w:col w:w="8840"/>
          </w:cols>
          <w:pgMar w:left="1440" w:top="991" w:right="1106" w:bottom="411" w:gutter="0" w:footer="0" w:header="0"/>
          <w:type w:val="continuous"/>
        </w:sectPr>
      </w:pPr>
    </w:p>
    <w:p>
      <w:pPr>
        <w:spacing w:after="0" w:line="200" w:lineRule="exact"/>
        <w:rPr>
          <w:sz w:val="20"/>
          <w:szCs w:val="20"/>
          <w:color w:val="auto"/>
        </w:rPr>
      </w:pPr>
    </w:p>
    <w:p>
      <w:pPr>
        <w:spacing w:after="0" w:line="241" w:lineRule="exact"/>
        <w:rPr>
          <w:sz w:val="20"/>
          <w:szCs w:val="20"/>
          <w:color w:val="auto"/>
        </w:rPr>
      </w:pPr>
    </w:p>
    <w:p>
      <w:pPr>
        <w:jc w:val="both"/>
        <w:ind w:left="260" w:right="40" w:firstLine="850"/>
        <w:spacing w:after="0" w:line="287" w:lineRule="auto"/>
        <w:rPr>
          <w:sz w:val="20"/>
          <w:szCs w:val="20"/>
          <w:color w:val="auto"/>
        </w:rPr>
      </w:pPr>
      <w:r>
        <w:rPr>
          <w:rFonts w:ascii="Arial" w:cs="Arial" w:eastAsia="Arial" w:hAnsi="Arial"/>
          <w:sz w:val="24"/>
          <w:szCs w:val="24"/>
          <w:color w:val="auto"/>
        </w:rPr>
        <w:t>Entre o principal indicador para medir a concentração de mercado está o índice Herfindahl–Hirschmanahl(HHI)</w:t>
      </w:r>
      <w:r>
        <w:rPr>
          <w:rFonts w:ascii="Arial" w:cs="Arial" w:eastAsia="Arial" w:hAnsi="Arial"/>
          <w:sz w:val="31"/>
          <w:szCs w:val="31"/>
          <w:color w:val="auto"/>
          <w:vertAlign w:val="superscript"/>
        </w:rPr>
        <w:t>2</w:t>
      </w:r>
      <w:r>
        <w:rPr>
          <w:rFonts w:ascii="Arial" w:cs="Arial" w:eastAsia="Arial" w:hAnsi="Arial"/>
          <w:sz w:val="24"/>
          <w:szCs w:val="24"/>
          <w:color w:val="auto"/>
        </w:rPr>
        <w:t>, refere-se a uma medida de concentração de mercado que mede a participação de uma determinada firma no mercado do qual participa. É obtida pela somatória quadrática da parcela de mercado a ser considerada, variando entre 1</w:t>
      </w:r>
      <w:r>
        <w:rPr>
          <w:rFonts w:ascii="Arial" w:cs="Arial" w:eastAsia="Arial" w:hAnsi="Arial"/>
          <w:sz w:val="24"/>
          <w:szCs w:val="24"/>
          <w:i w:val="1"/>
          <w:iCs w:val="1"/>
          <w:color w:val="auto"/>
        </w:rPr>
        <w:t>/N</w:t>
      </w:r>
      <w:r>
        <w:rPr>
          <w:rFonts w:ascii="Arial" w:cs="Arial" w:eastAsia="Arial" w:hAnsi="Arial"/>
          <w:sz w:val="24"/>
          <w:szCs w:val="24"/>
          <w:color w:val="auto"/>
        </w:rPr>
        <w:t xml:space="preserve"> e 1.</w:t>
      </w:r>
    </w:p>
    <w:p>
      <w:pPr>
        <w:ind w:left="5020"/>
        <w:spacing w:after="0" w:line="209" w:lineRule="auto"/>
        <w:rPr>
          <w:sz w:val="20"/>
          <w:szCs w:val="20"/>
          <w:color w:val="auto"/>
        </w:rPr>
      </w:pPr>
      <w:r>
        <w:rPr>
          <w:rFonts w:ascii="Arial" w:cs="Arial" w:eastAsia="Arial" w:hAnsi="Arial"/>
          <w:sz w:val="16"/>
          <w:szCs w:val="16"/>
          <w:i w:val="1"/>
          <w:iCs w:val="1"/>
          <w:color w:val="auto"/>
        </w:rPr>
        <w:t>N</w:t>
      </w:r>
    </w:p>
    <w:p>
      <w:pPr>
        <w:jc w:val="center"/>
        <w:ind w:right="-219"/>
        <w:spacing w:after="0" w:line="186" w:lineRule="auto"/>
        <w:rPr>
          <w:sz w:val="20"/>
          <w:szCs w:val="20"/>
          <w:color w:val="auto"/>
        </w:rPr>
      </w:pPr>
      <w:r>
        <w:rPr>
          <w:rFonts w:ascii="Arial" w:cs="Arial" w:eastAsia="Arial" w:hAnsi="Arial"/>
          <w:sz w:val="24"/>
          <w:szCs w:val="24"/>
          <w:i w:val="1"/>
          <w:iCs w:val="1"/>
          <w:color w:val="auto"/>
        </w:rPr>
        <w:t>HHI</w:t>
      </w:r>
      <w:r>
        <w:rPr>
          <w:rFonts w:ascii="Arial" w:cs="Arial" w:eastAsia="Arial" w:hAnsi="Arial"/>
          <w:sz w:val="24"/>
          <w:szCs w:val="24"/>
          <w:color w:val="auto"/>
        </w:rPr>
        <w:t xml:space="preserve"> =</w:t>
      </w:r>
      <w:r>
        <w:rPr>
          <w:rFonts w:ascii="Arial" w:cs="Arial" w:eastAsia="Arial" w:hAnsi="Arial"/>
          <w:sz w:val="39"/>
          <w:szCs w:val="39"/>
          <w:color w:val="auto"/>
        </w:rPr>
        <w:t xml:space="preserve"> </w:t>
      </w:r>
      <w:r>
        <w:rPr>
          <w:rFonts w:ascii="Arial" w:cs="Arial" w:eastAsia="Arial" w:hAnsi="Arial"/>
          <w:sz w:val="39"/>
          <w:szCs w:val="39"/>
          <w:color w:val="auto"/>
          <w:vertAlign w:val="superscript"/>
        </w:rPr>
        <w:t>X</w:t>
      </w:r>
      <w:r>
        <w:rPr>
          <w:rFonts w:ascii="Arial" w:cs="Arial" w:eastAsia="Arial" w:hAnsi="Arial"/>
          <w:sz w:val="24"/>
          <w:szCs w:val="24"/>
          <w:color w:val="auto"/>
        </w:rPr>
        <w:t xml:space="preserve"> </w:t>
      </w:r>
      <w:r>
        <w:rPr>
          <w:rFonts w:ascii="Arial" w:cs="Arial" w:eastAsia="Arial" w:hAnsi="Arial"/>
          <w:sz w:val="24"/>
          <w:szCs w:val="24"/>
          <w:i w:val="1"/>
          <w:iCs w:val="1"/>
          <w:color w:val="auto"/>
        </w:rPr>
        <w:t>q</w:t>
      </w:r>
      <w:r>
        <w:rPr>
          <w:rFonts w:ascii="Arial" w:cs="Arial" w:eastAsia="Arial" w:hAnsi="Arial"/>
          <w:sz w:val="31"/>
          <w:szCs w:val="31"/>
          <w:i w:val="1"/>
          <w:iCs w:val="1"/>
          <w:color w:val="auto"/>
          <w:vertAlign w:val="subscript"/>
        </w:rPr>
        <w:t>i</w:t>
      </w:r>
      <w:r>
        <w:rPr>
          <w:rFonts w:ascii="Arial" w:cs="Arial" w:eastAsia="Arial" w:hAnsi="Arial"/>
          <w:sz w:val="31"/>
          <w:szCs w:val="31"/>
          <w:color w:val="auto"/>
          <w:vertAlign w:val="superscript"/>
        </w:rPr>
        <w:t>2</w:t>
      </w:r>
    </w:p>
    <w:p>
      <w:pPr>
        <w:ind w:left="4960"/>
        <w:spacing w:after="0" w:line="206" w:lineRule="auto"/>
        <w:rPr>
          <w:sz w:val="20"/>
          <w:szCs w:val="20"/>
          <w:color w:val="auto"/>
        </w:rPr>
      </w:pPr>
      <w:r>
        <w:rPr>
          <w:rFonts w:ascii="Arial" w:cs="Arial" w:eastAsia="Arial" w:hAnsi="Arial"/>
          <w:sz w:val="16"/>
          <w:szCs w:val="16"/>
          <w:i w:val="1"/>
          <w:iCs w:val="1"/>
          <w:color w:val="auto"/>
        </w:rPr>
        <w:t>i</w:t>
      </w:r>
      <w:r>
        <w:rPr>
          <w:rFonts w:ascii="Arial" w:cs="Arial" w:eastAsia="Arial" w:hAnsi="Arial"/>
          <w:sz w:val="16"/>
          <w:szCs w:val="16"/>
          <w:color w:val="auto"/>
        </w:rPr>
        <w:t>=1</w:t>
      </w:r>
    </w:p>
    <w:p>
      <w:pPr>
        <w:spacing w:after="0" w:line="20" w:lineRule="exact"/>
        <w:rPr>
          <w:sz w:val="20"/>
          <w:szCs w:val="20"/>
          <w:color w:val="auto"/>
        </w:rPr>
      </w:pPr>
    </w:p>
    <w:p>
      <w:pPr>
        <w:jc w:val="both"/>
        <w:ind w:left="260" w:right="40" w:hanging="7"/>
        <w:spacing w:after="0" w:line="364" w:lineRule="auto"/>
        <w:rPr>
          <w:sz w:val="20"/>
          <w:szCs w:val="20"/>
          <w:color w:val="auto"/>
        </w:rPr>
      </w:pPr>
      <w:r>
        <w:rPr>
          <w:rFonts w:ascii="Arial" w:cs="Arial" w:eastAsia="Arial" w:hAnsi="Arial"/>
          <w:sz w:val="24"/>
          <w:szCs w:val="24"/>
          <w:color w:val="auto"/>
        </w:rPr>
        <w:t>A versão normalizada do HHI traz uma variação entre 0 e 1, perdendo em seu resultado a captação diante o número de firmas:</w:t>
      </w:r>
    </w:p>
    <w:p>
      <w:pPr>
        <w:spacing w:after="0" w:line="22" w:lineRule="exact"/>
        <w:rPr>
          <w:sz w:val="20"/>
          <w:szCs w:val="20"/>
          <w:color w:val="auto"/>
        </w:rPr>
      </w:pPr>
    </w:p>
    <w:p>
      <w:pPr>
        <w:ind w:left="5020"/>
        <w:spacing w:after="0"/>
        <w:rPr>
          <w:sz w:val="20"/>
          <w:szCs w:val="20"/>
          <w:color w:val="auto"/>
        </w:rPr>
      </w:pPr>
      <w:r>
        <w:rPr>
          <w:rFonts w:ascii="Arial" w:cs="Arial" w:eastAsia="Arial" w:hAnsi="Arial"/>
          <w:sz w:val="16"/>
          <w:szCs w:val="16"/>
          <w:i w:val="1"/>
          <w:iCs w:val="1"/>
          <w:u w:val="single" w:color="auto"/>
          <w:color w:val="auto"/>
        </w:rPr>
        <w:t>HHI</w:t>
      </w:r>
      <w:r>
        <w:rPr>
          <w:rFonts w:ascii="Arial" w:cs="Arial" w:eastAsia="Arial" w:hAnsi="Arial"/>
          <w:sz w:val="16"/>
          <w:szCs w:val="16"/>
          <w:u w:val="single" w:color="auto"/>
          <w:color w:val="auto"/>
        </w:rPr>
        <w:t>−1</w:t>
      </w:r>
    </w:p>
    <w:p>
      <w:pPr>
        <w:jc w:val="center"/>
        <w:ind w:right="80"/>
        <w:spacing w:after="0" w:line="182" w:lineRule="auto"/>
        <w:tabs>
          <w:tab w:leader="none" w:pos="320" w:val="left"/>
        </w:tabs>
        <w:rPr>
          <w:sz w:val="20"/>
          <w:szCs w:val="20"/>
          <w:color w:val="auto"/>
        </w:rPr>
      </w:pPr>
      <w:r>
        <w:rPr>
          <w:rFonts w:ascii="Arial" w:cs="Arial" w:eastAsia="Arial" w:hAnsi="Arial"/>
          <w:sz w:val="24"/>
          <w:szCs w:val="24"/>
          <w:i w:val="1"/>
          <w:iCs w:val="1"/>
          <w:color w:val="auto"/>
        </w:rPr>
        <w:t>HHIN</w:t>
      </w:r>
      <w:r>
        <w:rPr>
          <w:rFonts w:ascii="Arial" w:cs="Arial" w:eastAsia="Arial" w:hAnsi="Arial"/>
          <w:sz w:val="24"/>
          <w:szCs w:val="24"/>
          <w:color w:val="auto"/>
        </w:rPr>
        <w:t xml:space="preserve"> =</w:t>
      </w:r>
      <w:r>
        <w:rPr>
          <w:sz w:val="20"/>
          <w:szCs w:val="20"/>
          <w:color w:val="auto"/>
        </w:rPr>
        <w:tab/>
      </w:r>
      <w:r>
        <w:rPr>
          <w:rFonts w:ascii="Arial" w:cs="Arial" w:eastAsia="Arial" w:hAnsi="Arial"/>
          <w:sz w:val="24"/>
          <w:szCs w:val="24"/>
          <w:i w:val="1"/>
          <w:iCs w:val="1"/>
          <w:color w:val="auto"/>
          <w:vertAlign w:val="superscript"/>
        </w:rPr>
        <w:t>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3176270</wp:posOffset>
                </wp:positionH>
                <wp:positionV relativeFrom="paragraph">
                  <wp:posOffset>-6350</wp:posOffset>
                </wp:positionV>
                <wp:extent cx="41465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14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1pt,-0.4999pt" to="282.75pt,-0.4999pt" o:allowincell="f" strokecolor="#000000" strokeweight="0.398pt"/>
            </w:pict>
          </mc:Fallback>
        </mc:AlternateContent>
      </w:r>
    </w:p>
    <w:p>
      <w:pPr>
        <w:ind w:left="5180"/>
        <w:spacing w:after="0"/>
        <w:rPr>
          <w:sz w:val="20"/>
          <w:szCs w:val="20"/>
          <w:color w:val="auto"/>
        </w:rPr>
      </w:pPr>
      <w:r>
        <w:rPr>
          <w:rFonts w:ascii="Arial" w:cs="Arial" w:eastAsia="Arial" w:hAnsi="Arial"/>
          <w:sz w:val="16"/>
          <w:szCs w:val="16"/>
          <w:u w:val="single" w:color="auto"/>
          <w:color w:val="auto"/>
        </w:rPr>
        <w:t>1−1</w:t>
      </w:r>
    </w:p>
    <w:p>
      <w:pPr>
        <w:ind w:left="5260"/>
        <w:spacing w:after="0" w:line="195" w:lineRule="auto"/>
        <w:rPr>
          <w:sz w:val="20"/>
          <w:szCs w:val="20"/>
          <w:color w:val="auto"/>
        </w:rPr>
      </w:pPr>
      <w:r>
        <w:rPr>
          <w:rFonts w:ascii="Arial" w:cs="Arial" w:eastAsia="Arial" w:hAnsi="Arial"/>
          <w:sz w:val="16"/>
          <w:szCs w:val="16"/>
          <w:i w:val="1"/>
          <w:iCs w:val="1"/>
          <w:color w:val="auto"/>
        </w:rPr>
        <w:t>N</w:t>
      </w:r>
    </w:p>
    <w:p>
      <w:pPr>
        <w:spacing w:after="0" w:line="154" w:lineRule="exact"/>
        <w:rPr>
          <w:sz w:val="20"/>
          <w:szCs w:val="20"/>
          <w:color w:val="auto"/>
        </w:rPr>
      </w:pPr>
    </w:p>
    <w:p>
      <w:pPr>
        <w:jc w:val="both"/>
        <w:ind w:left="260" w:right="40" w:hanging="7"/>
        <w:spacing w:after="0" w:line="338" w:lineRule="auto"/>
        <w:rPr>
          <w:sz w:val="20"/>
          <w:szCs w:val="20"/>
          <w:color w:val="auto"/>
        </w:rPr>
      </w:pPr>
      <w:r>
        <w:rPr>
          <w:rFonts w:ascii="Arial" w:cs="Arial" w:eastAsia="Arial" w:hAnsi="Arial"/>
          <w:sz w:val="23"/>
          <w:szCs w:val="23"/>
          <w:color w:val="auto"/>
        </w:rPr>
        <w:t xml:space="preserve">A versão decomposta do HHI avalia a assimetria da concentração de mercado inserindo um componente de variabilidade das participações das firmas, assim se verifica se as firmas possuem uma participação de mercado simétrica resultando em </w:t>
      </w:r>
      <w:r>
        <w:rPr>
          <w:rFonts w:ascii="Arial" w:cs="Arial" w:eastAsia="Arial" w:hAnsi="Arial"/>
          <w:sz w:val="23"/>
          <w:szCs w:val="23"/>
          <w:i w:val="1"/>
          <w:iCs w:val="1"/>
          <w:color w:val="auto"/>
        </w:rPr>
        <w:t>HHIN</w:t>
      </w:r>
      <w:r>
        <w:rPr>
          <w:rFonts w:ascii="Arial" w:cs="Arial" w:eastAsia="Arial" w:hAnsi="Arial"/>
          <w:sz w:val="23"/>
          <w:szCs w:val="23"/>
          <w:color w:val="auto"/>
        </w:rPr>
        <w:t xml:space="preserve"> = 0 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213995</wp:posOffset>
                </wp:positionV>
                <wp:extent cx="230251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6.85pt" to="194.25pt,16.85pt" o:allowincell="f" strokecolor="#000000" strokeweight="0.398pt"/>
            </w:pict>
          </mc:Fallback>
        </mc:AlternateContent>
      </w:r>
    </w:p>
    <w:p>
      <w:pPr>
        <w:sectPr>
          <w:pgSz w:w="11900" w:h="16838" w:orient="portrait"/>
          <w:cols w:equalWidth="0" w:num="1">
            <w:col w:w="9360"/>
          </w:cols>
          <w:pgMar w:left="1440" w:top="991" w:right="1106" w:bottom="411" w:gutter="0" w:footer="0" w:header="0"/>
          <w:type w:val="continuous"/>
        </w:sectPr>
      </w:pPr>
    </w:p>
    <w:p>
      <w:pPr>
        <w:spacing w:after="0" w:line="375" w:lineRule="exact"/>
        <w:rPr>
          <w:sz w:val="20"/>
          <w:szCs w:val="20"/>
          <w:color w:val="auto"/>
        </w:rPr>
      </w:pPr>
    </w:p>
    <w:p>
      <w:pPr>
        <w:ind w:left="540" w:right="40" w:hanging="281"/>
        <w:spacing w:after="0" w:line="210" w:lineRule="auto"/>
        <w:tabs>
          <w:tab w:leader="none" w:pos="540" w:val="left"/>
        </w:tabs>
        <w:numPr>
          <w:ilvl w:val="0"/>
          <w:numId w:val="9"/>
        </w:numPr>
        <w:rPr>
          <w:rFonts w:ascii="Arial" w:cs="Arial" w:eastAsia="Arial" w:hAnsi="Arial"/>
          <w:sz w:val="28"/>
          <w:szCs w:val="28"/>
          <w:color w:val="auto"/>
          <w:vertAlign w:val="superscript"/>
        </w:rPr>
      </w:pPr>
      <w:r>
        <w:rPr>
          <w:rFonts w:ascii="Arial" w:cs="Arial" w:eastAsia="Arial" w:hAnsi="Arial"/>
          <w:sz w:val="20"/>
          <w:szCs w:val="20"/>
          <w:color w:val="auto"/>
        </w:rPr>
        <w:t>Desenvolvido pelos economistas Orris C. Herfindahl e Albert O. Hirschman, é utilizado amplamente para medidas de regulação da concorrência e leis antitrust</w:t>
      </w:r>
    </w:p>
    <w:p>
      <w:pPr>
        <w:sectPr>
          <w:pgSz w:w="11900" w:h="16838" w:orient="portrait"/>
          <w:cols w:equalWidth="0" w:num="1">
            <w:col w:w="9360"/>
          </w:cols>
          <w:pgMar w:left="1440" w:top="991" w:right="1106" w:bottom="411" w:gutter="0" w:footer="0" w:header="0"/>
          <w:type w:val="continuous"/>
        </w:sectPr>
      </w:pPr>
    </w:p>
    <w:p>
      <w:pPr>
        <w:ind w:left="9060"/>
        <w:spacing w:after="0"/>
        <w:rPr>
          <w:sz w:val="20"/>
          <w:szCs w:val="20"/>
          <w:color w:val="auto"/>
        </w:rPr>
      </w:pPr>
      <w:r>
        <w:rPr>
          <w:rFonts w:ascii="Arial" w:cs="Arial" w:eastAsia="Arial" w:hAnsi="Arial"/>
          <w:sz w:val="24"/>
          <w:szCs w:val="24"/>
          <w:color w:val="auto"/>
        </w:rPr>
        <w:t>13</w:t>
      </w:r>
    </w:p>
    <w:p>
      <w:pPr>
        <w:spacing w:after="0" w:line="200" w:lineRule="exact"/>
        <w:rPr>
          <w:sz w:val="20"/>
          <w:szCs w:val="20"/>
          <w:color w:val="auto"/>
        </w:rPr>
      </w:pPr>
    </w:p>
    <w:p>
      <w:pPr>
        <w:spacing w:after="0" w:line="215" w:lineRule="exact"/>
        <w:rPr>
          <w:sz w:val="20"/>
          <w:szCs w:val="20"/>
          <w:color w:val="auto"/>
        </w:rPr>
      </w:pPr>
    </w:p>
    <w:p>
      <w:pPr>
        <w:ind w:left="360"/>
        <w:spacing w:after="0"/>
        <w:rPr>
          <w:sz w:val="20"/>
          <w:szCs w:val="20"/>
          <w:color w:val="auto"/>
        </w:rPr>
      </w:pPr>
      <w:r>
        <w:rPr>
          <w:rFonts w:ascii="Arial" w:cs="Arial" w:eastAsia="Arial" w:hAnsi="Arial"/>
          <w:sz w:val="22"/>
          <w:szCs w:val="22"/>
          <w:color w:val="auto"/>
        </w:rPr>
        <w:t>Tabela 2 – Composição do setor bancário brasileiro por tipo de iniciativa — Dezembro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462343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623435"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377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1280" w:type="dxa"/>
            <w:vAlign w:val="bottom"/>
          </w:tcPr>
          <w:p>
            <w:pPr>
              <w:ind w:left="120"/>
              <w:spacing w:after="0"/>
              <w:rPr>
                <w:sz w:val="20"/>
                <w:szCs w:val="20"/>
                <w:color w:val="auto"/>
              </w:rPr>
            </w:pPr>
            <w:r>
              <w:rPr>
                <w:rFonts w:ascii="Arial" w:cs="Arial" w:eastAsia="Arial" w:hAnsi="Arial"/>
                <w:sz w:val="20"/>
                <w:szCs w:val="20"/>
                <w:color w:val="auto"/>
              </w:rPr>
              <w:t>Tipo</w:t>
            </w:r>
          </w:p>
        </w:tc>
        <w:tc>
          <w:tcPr>
            <w:tcW w:w="6020" w:type="dxa"/>
            <w:vAlign w:val="bottom"/>
            <w:gridSpan w:val="2"/>
          </w:tcPr>
          <w:p>
            <w:pPr>
              <w:ind w:left="2480"/>
              <w:spacing w:after="0"/>
              <w:rPr>
                <w:sz w:val="20"/>
                <w:szCs w:val="20"/>
                <w:color w:val="auto"/>
              </w:rPr>
            </w:pPr>
            <w:r>
              <w:rPr>
                <w:rFonts w:ascii="Arial" w:cs="Arial" w:eastAsia="Arial" w:hAnsi="Arial"/>
                <w:sz w:val="20"/>
                <w:szCs w:val="20"/>
                <w:color w:val="auto"/>
              </w:rPr>
              <w:t>Participação</w:t>
            </w:r>
          </w:p>
        </w:tc>
      </w:tr>
      <w:tr>
        <w:trPr>
          <w:trHeight w:val="57"/>
        </w:trPr>
        <w:tc>
          <w:tcPr>
            <w:tcW w:w="1280" w:type="dxa"/>
            <w:vAlign w:val="bottom"/>
            <w:tcBorders>
              <w:bottom w:val="single" w:sz="8" w:color="auto"/>
            </w:tcBorders>
          </w:tcPr>
          <w:p>
            <w:pPr>
              <w:spacing w:after="0"/>
              <w:rPr>
                <w:sz w:val="4"/>
                <w:szCs w:val="4"/>
                <w:color w:val="auto"/>
              </w:rPr>
            </w:pPr>
          </w:p>
        </w:tc>
        <w:tc>
          <w:tcPr>
            <w:tcW w:w="6000" w:type="dxa"/>
            <w:vAlign w:val="bottom"/>
            <w:tcBorders>
              <w:bottom w:val="single" w:sz="8" w:color="auto"/>
            </w:tcBorders>
          </w:tcPr>
          <w:p>
            <w:pPr>
              <w:spacing w:after="0"/>
              <w:rPr>
                <w:sz w:val="4"/>
                <w:szCs w:val="4"/>
                <w:color w:val="auto"/>
              </w:rPr>
            </w:pPr>
          </w:p>
        </w:tc>
        <w:tc>
          <w:tcPr>
            <w:tcW w:w="40" w:type="dxa"/>
            <w:vAlign w:val="bottom"/>
          </w:tcPr>
          <w:p>
            <w:pPr>
              <w:spacing w:after="0"/>
              <w:rPr>
                <w:sz w:val="4"/>
                <w:szCs w:val="4"/>
                <w:color w:val="auto"/>
              </w:rPr>
            </w:pPr>
          </w:p>
        </w:tc>
      </w:tr>
      <w:tr>
        <w:trPr>
          <w:trHeight w:val="275"/>
        </w:trPr>
        <w:tc>
          <w:tcPr>
            <w:tcW w:w="1280" w:type="dxa"/>
            <w:vAlign w:val="bottom"/>
          </w:tcPr>
          <w:p>
            <w:pPr>
              <w:ind w:left="120"/>
              <w:spacing w:after="0"/>
              <w:rPr>
                <w:sz w:val="20"/>
                <w:szCs w:val="20"/>
                <w:color w:val="auto"/>
              </w:rPr>
            </w:pPr>
            <w:r>
              <w:rPr>
                <w:rFonts w:ascii="Arial" w:cs="Arial" w:eastAsia="Arial" w:hAnsi="Arial"/>
                <w:sz w:val="20"/>
                <w:szCs w:val="20"/>
                <w:color w:val="auto"/>
              </w:rPr>
              <w:t>Privado</w:t>
            </w:r>
          </w:p>
        </w:tc>
        <w:tc>
          <w:tcPr>
            <w:tcW w:w="6000" w:type="dxa"/>
            <w:vAlign w:val="bottom"/>
          </w:tcPr>
          <w:p>
            <w:pPr>
              <w:ind w:left="2480"/>
              <w:spacing w:after="0"/>
              <w:rPr>
                <w:sz w:val="20"/>
                <w:szCs w:val="20"/>
                <w:color w:val="auto"/>
              </w:rPr>
            </w:pPr>
            <w:r>
              <w:rPr>
                <w:rFonts w:ascii="Arial" w:cs="Arial" w:eastAsia="Arial" w:hAnsi="Arial"/>
                <w:sz w:val="20"/>
                <w:szCs w:val="20"/>
                <w:color w:val="auto"/>
              </w:rPr>
              <w:t>93%</w:t>
            </w:r>
          </w:p>
        </w:tc>
        <w:tc>
          <w:tcPr>
            <w:tcW w:w="40" w:type="dxa"/>
            <w:vAlign w:val="bottom"/>
          </w:tcPr>
          <w:p>
            <w:pPr>
              <w:spacing w:after="0"/>
              <w:rPr>
                <w:sz w:val="23"/>
                <w:szCs w:val="23"/>
                <w:color w:val="auto"/>
              </w:rPr>
            </w:pPr>
          </w:p>
        </w:tc>
      </w:tr>
      <w:tr>
        <w:trPr>
          <w:trHeight w:val="246"/>
        </w:trPr>
        <w:tc>
          <w:tcPr>
            <w:tcW w:w="1280" w:type="dxa"/>
            <w:vAlign w:val="bottom"/>
          </w:tcPr>
          <w:p>
            <w:pPr>
              <w:ind w:left="120"/>
              <w:spacing w:after="0"/>
              <w:rPr>
                <w:sz w:val="20"/>
                <w:szCs w:val="20"/>
                <w:color w:val="auto"/>
              </w:rPr>
            </w:pPr>
            <w:r>
              <w:rPr>
                <w:rFonts w:ascii="Arial" w:cs="Arial" w:eastAsia="Arial" w:hAnsi="Arial"/>
                <w:sz w:val="20"/>
                <w:szCs w:val="20"/>
                <w:color w:val="auto"/>
              </w:rPr>
              <w:t>Público</w:t>
            </w:r>
          </w:p>
        </w:tc>
        <w:tc>
          <w:tcPr>
            <w:tcW w:w="6000" w:type="dxa"/>
            <w:vAlign w:val="bottom"/>
          </w:tcPr>
          <w:p>
            <w:pPr>
              <w:ind w:left="2480"/>
              <w:spacing w:after="0"/>
              <w:rPr>
                <w:sz w:val="20"/>
                <w:szCs w:val="20"/>
                <w:color w:val="auto"/>
              </w:rPr>
            </w:pPr>
            <w:r>
              <w:rPr>
                <w:rFonts w:ascii="Arial" w:cs="Arial" w:eastAsia="Arial" w:hAnsi="Arial"/>
                <w:sz w:val="20"/>
                <w:szCs w:val="20"/>
                <w:color w:val="auto"/>
              </w:rPr>
              <w:t>7%</w:t>
            </w:r>
          </w:p>
        </w:tc>
        <w:tc>
          <w:tcPr>
            <w:tcW w:w="40" w:type="dxa"/>
            <w:vAlign w:val="bottom"/>
          </w:tcPr>
          <w:p>
            <w:pPr>
              <w:spacing w:after="0"/>
              <w:rPr>
                <w:sz w:val="21"/>
                <w:szCs w:val="21"/>
                <w:color w:val="auto"/>
              </w:rPr>
            </w:pPr>
          </w:p>
        </w:tc>
      </w:tr>
      <w:tr>
        <w:trPr>
          <w:trHeight w:val="57"/>
        </w:trPr>
        <w:tc>
          <w:tcPr>
            <w:tcW w:w="1280" w:type="dxa"/>
            <w:vAlign w:val="bottom"/>
            <w:tcBorders>
              <w:bottom w:val="single" w:sz="8" w:color="auto"/>
            </w:tcBorders>
          </w:tcPr>
          <w:p>
            <w:pPr>
              <w:spacing w:after="0"/>
              <w:rPr>
                <w:sz w:val="4"/>
                <w:szCs w:val="4"/>
                <w:color w:val="auto"/>
              </w:rPr>
            </w:pPr>
          </w:p>
        </w:tc>
        <w:tc>
          <w:tcPr>
            <w:tcW w:w="6000" w:type="dxa"/>
            <w:vAlign w:val="bottom"/>
            <w:tcBorders>
              <w:bottom w:val="single" w:sz="8" w:color="auto"/>
            </w:tcBorders>
          </w:tcPr>
          <w:p>
            <w:pPr>
              <w:spacing w:after="0"/>
              <w:rPr>
                <w:sz w:val="4"/>
                <w:szCs w:val="4"/>
                <w:color w:val="auto"/>
              </w:rPr>
            </w:pPr>
          </w:p>
        </w:tc>
        <w:tc>
          <w:tcPr>
            <w:tcW w:w="40" w:type="dxa"/>
            <w:vAlign w:val="bottom"/>
          </w:tcPr>
          <w:p>
            <w:pPr>
              <w:spacing w:after="0"/>
              <w:rPr>
                <w:sz w:val="4"/>
                <w:szCs w:val="4"/>
                <w:color w:val="auto"/>
              </w:rPr>
            </w:pPr>
          </w:p>
        </w:tc>
      </w:tr>
      <w:tr>
        <w:trPr>
          <w:trHeight w:val="270"/>
        </w:trPr>
        <w:tc>
          <w:tcPr>
            <w:tcW w:w="1280" w:type="dxa"/>
            <w:vAlign w:val="bottom"/>
          </w:tcPr>
          <w:p>
            <w:pPr>
              <w:spacing w:after="0"/>
              <w:rPr>
                <w:sz w:val="23"/>
                <w:szCs w:val="23"/>
                <w:color w:val="auto"/>
              </w:rPr>
            </w:pPr>
          </w:p>
        </w:tc>
        <w:tc>
          <w:tcPr>
            <w:tcW w:w="6020" w:type="dxa"/>
            <w:vAlign w:val="bottom"/>
            <w:gridSpan w:val="2"/>
          </w:tcPr>
          <w:p>
            <w:pPr>
              <w:ind w:left="480"/>
              <w:spacing w:after="0"/>
              <w:rPr>
                <w:sz w:val="20"/>
                <w:szCs w:val="20"/>
                <w:color w:val="auto"/>
              </w:rPr>
            </w:pPr>
            <w:r>
              <w:rPr>
                <w:rFonts w:ascii="Arial" w:cs="Arial" w:eastAsia="Arial" w:hAnsi="Arial"/>
                <w:sz w:val="20"/>
                <w:szCs w:val="20"/>
                <w:color w:val="auto"/>
                <w:w w:val="98"/>
              </w:rPr>
              <w:t>Fonte:</w:t>
            </w:r>
            <w:r>
              <w:rPr>
                <w:rFonts w:ascii="Arial" w:cs="Arial" w:eastAsia="Arial" w:hAnsi="Arial"/>
                <w:sz w:val="21"/>
                <w:szCs w:val="21"/>
                <w:color w:val="auto"/>
                <w:w w:val="98"/>
              </w:rPr>
              <w:t xml:space="preserve"> :</w:t>
            </w:r>
            <w:r>
              <w:rPr>
                <w:rFonts w:ascii="Arial" w:cs="Arial" w:eastAsia="Arial" w:hAnsi="Arial"/>
                <w:sz w:val="20"/>
                <w:szCs w:val="20"/>
                <w:color w:val="auto"/>
                <w:w w:val="98"/>
              </w:rPr>
              <w:t xml:space="preserve"> Desenvolvido pelo autor, com dados do Banco Central</w:t>
            </w:r>
          </w:p>
        </w:tc>
      </w:tr>
    </w:tbl>
    <w:p>
      <w:pPr>
        <w:spacing w:after="0" w:line="200" w:lineRule="exact"/>
        <w:rPr>
          <w:sz w:val="20"/>
          <w:szCs w:val="20"/>
          <w:color w:val="auto"/>
        </w:rPr>
      </w:pPr>
    </w:p>
    <w:p>
      <w:pPr>
        <w:spacing w:after="0" w:line="377" w:lineRule="exact"/>
        <w:rPr>
          <w:sz w:val="20"/>
          <w:szCs w:val="20"/>
          <w:color w:val="auto"/>
        </w:rPr>
      </w:pPr>
    </w:p>
    <w:p>
      <w:pPr>
        <w:ind w:left="260"/>
        <w:spacing w:after="0"/>
        <w:rPr>
          <w:sz w:val="20"/>
          <w:szCs w:val="20"/>
          <w:color w:val="auto"/>
        </w:rPr>
      </w:pPr>
      <w:r>
        <w:rPr>
          <w:rFonts w:ascii="Arial" w:cs="Arial" w:eastAsia="Arial" w:hAnsi="Arial"/>
          <w:sz w:val="24"/>
          <w:szCs w:val="24"/>
          <w:i w:val="1"/>
          <w:iCs w:val="1"/>
          <w:color w:val="auto"/>
        </w:rPr>
        <w:t>HHI</w:t>
      </w:r>
      <w:r>
        <w:rPr>
          <w:rFonts w:ascii="Arial" w:cs="Arial" w:eastAsia="Arial" w:hAnsi="Arial"/>
          <w:sz w:val="24"/>
          <w:szCs w:val="24"/>
          <w:color w:val="auto"/>
        </w:rPr>
        <w:t xml:space="preserve"> = 1</w:t>
      </w:r>
      <w:r>
        <w:rPr>
          <w:rFonts w:ascii="Arial" w:cs="Arial" w:eastAsia="Arial" w:hAnsi="Arial"/>
          <w:sz w:val="24"/>
          <w:szCs w:val="24"/>
          <w:i w:val="1"/>
          <w:iCs w:val="1"/>
          <w:color w:val="auto"/>
        </w:rPr>
        <w:t>/N</w:t>
      </w:r>
      <w:r>
        <w:rPr>
          <w:rFonts w:ascii="Arial" w:cs="Arial" w:eastAsia="Arial" w:hAnsi="Arial"/>
          <w:sz w:val="24"/>
          <w:szCs w:val="24"/>
          <w:color w:val="auto"/>
        </w:rPr>
        <w:t>.</w:t>
      </w:r>
    </w:p>
    <w:tbl>
      <w:tblPr>
        <w:tblLayout w:type="fixed"/>
        <w:tblInd w:w="3260" w:type="dxa"/>
        <w:tblCellMar>
          <w:top w:w="0" w:type="dxa"/>
          <w:left w:w="0" w:type="dxa"/>
          <w:bottom w:w="0" w:type="dxa"/>
          <w:right w:w="0" w:type="dxa"/>
        </w:tblCellMar>
      </w:tblPr>
      <w:tr>
        <w:trPr>
          <w:trHeight w:val="278"/>
        </w:trPr>
        <w:tc>
          <w:tcPr>
            <w:tcW w:w="1100" w:type="dxa"/>
            <w:vAlign w:val="bottom"/>
          </w:tcPr>
          <w:p>
            <w:pPr>
              <w:spacing w:after="0"/>
              <w:rPr>
                <w:sz w:val="24"/>
                <w:szCs w:val="24"/>
                <w:color w:val="auto"/>
              </w:rPr>
            </w:pPr>
          </w:p>
        </w:tc>
        <w:tc>
          <w:tcPr>
            <w:tcW w:w="200" w:type="dxa"/>
            <w:vAlign w:val="bottom"/>
          </w:tcPr>
          <w:p>
            <w:pPr>
              <w:ind w:left="40"/>
              <w:spacing w:after="0"/>
              <w:rPr>
                <w:sz w:val="20"/>
                <w:szCs w:val="20"/>
                <w:color w:val="auto"/>
              </w:rPr>
            </w:pPr>
            <w:r>
              <w:rPr>
                <w:rFonts w:ascii="Arial" w:cs="Arial" w:eastAsia="Arial" w:hAnsi="Arial"/>
                <w:sz w:val="24"/>
                <w:szCs w:val="24"/>
                <w:color w:val="auto"/>
              </w:rPr>
              <w:t>1</w:t>
            </w:r>
          </w:p>
        </w:tc>
        <w:tc>
          <w:tcPr>
            <w:tcW w:w="560" w:type="dxa"/>
            <w:vAlign w:val="bottom"/>
          </w:tcPr>
          <w:p>
            <w:pPr>
              <w:spacing w:after="0"/>
              <w:rPr>
                <w:sz w:val="24"/>
                <w:szCs w:val="24"/>
                <w:color w:val="auto"/>
              </w:rPr>
            </w:pPr>
          </w:p>
        </w:tc>
        <w:tc>
          <w:tcPr>
            <w:tcW w:w="200" w:type="dxa"/>
            <w:vAlign w:val="bottom"/>
            <w:vMerge w:val="restart"/>
          </w:tcPr>
          <w:p>
            <w:pPr>
              <w:spacing w:after="0"/>
              <w:rPr>
                <w:sz w:val="20"/>
                <w:szCs w:val="20"/>
                <w:color w:val="auto"/>
              </w:rPr>
            </w:pPr>
            <w:r>
              <w:rPr>
                <w:rFonts w:ascii="Arial" w:cs="Arial" w:eastAsia="Arial" w:hAnsi="Arial"/>
                <w:sz w:val="20"/>
                <w:szCs w:val="20"/>
                <w:color w:val="auto"/>
              </w:rPr>
              <w:t>P</w:t>
            </w:r>
          </w:p>
        </w:tc>
        <w:tc>
          <w:tcPr>
            <w:tcW w:w="400" w:type="dxa"/>
            <w:vAlign w:val="bottom"/>
          </w:tcPr>
          <w:p>
            <w:pPr>
              <w:spacing w:after="0" w:line="278" w:lineRule="exact"/>
              <w:rPr>
                <w:sz w:val="20"/>
                <w:szCs w:val="20"/>
                <w:color w:val="auto"/>
              </w:rPr>
            </w:pPr>
            <w:r>
              <w:rPr>
                <w:rFonts w:ascii="Arial" w:cs="Arial" w:eastAsia="Arial" w:hAnsi="Arial"/>
                <w:sz w:val="13"/>
                <w:szCs w:val="13"/>
                <w:i w:val="1"/>
                <w:iCs w:val="1"/>
                <w:color w:val="auto"/>
              </w:rPr>
              <w:t>N</w:t>
            </w:r>
            <w:r>
              <w:rPr>
                <w:rFonts w:ascii="Arial" w:cs="Arial" w:eastAsia="Arial" w:hAnsi="Arial"/>
                <w:sz w:val="32"/>
                <w:szCs w:val="32"/>
                <w:color w:val="auto"/>
              </w:rPr>
              <w:t xml:space="preserve">  </w:t>
            </w:r>
            <w:r>
              <w:rPr>
                <w:rFonts w:ascii="Arial" w:cs="Arial" w:eastAsia="Arial" w:hAnsi="Arial"/>
                <w:sz w:val="32"/>
                <w:szCs w:val="32"/>
                <w:color w:val="auto"/>
                <w:vertAlign w:val="subscript"/>
              </w:rPr>
              <w:t>(</w:t>
            </w:r>
          </w:p>
        </w:tc>
        <w:tc>
          <w:tcPr>
            <w:tcW w:w="360" w:type="dxa"/>
            <w:vAlign w:val="bottom"/>
          </w:tcPr>
          <w:p>
            <w:pPr>
              <w:spacing w:after="0"/>
              <w:rPr>
                <w:sz w:val="20"/>
                <w:szCs w:val="20"/>
                <w:color w:val="auto"/>
              </w:rPr>
            </w:pPr>
            <w:r>
              <w:rPr>
                <w:rFonts w:ascii="Arial" w:cs="Arial" w:eastAsia="Arial" w:hAnsi="Arial"/>
                <w:sz w:val="16"/>
                <w:szCs w:val="16"/>
                <w:i w:val="1"/>
                <w:iCs w:val="1"/>
                <w:u w:val="single" w:color="auto"/>
                <w:color w:val="auto"/>
              </w:rPr>
              <w:t>q</w:t>
            </w:r>
            <w:r>
              <w:rPr>
                <w:rFonts w:ascii="Arial" w:cs="Arial" w:eastAsia="Arial" w:hAnsi="Arial"/>
                <w:sz w:val="23"/>
                <w:szCs w:val="23"/>
                <w:i w:val="1"/>
                <w:iCs w:val="1"/>
                <w:u w:val="single" w:color="auto"/>
                <w:color w:val="auto"/>
                <w:vertAlign w:val="subscript"/>
              </w:rPr>
              <w:t>i</w:t>
            </w:r>
            <w:r>
              <w:rPr>
                <w:rFonts w:ascii="Arial" w:cs="Arial" w:eastAsia="Arial" w:hAnsi="Arial"/>
                <w:sz w:val="16"/>
                <w:szCs w:val="16"/>
                <w:u w:val="single" w:color="auto"/>
                <w:color w:val="auto"/>
              </w:rPr>
              <w:t>−1</w:t>
            </w:r>
          </w:p>
        </w:tc>
        <w:tc>
          <w:tcPr>
            <w:tcW w:w="240" w:type="dxa"/>
            <w:vAlign w:val="bottom"/>
          </w:tcPr>
          <w:p>
            <w:pPr>
              <w:jc w:val="right"/>
              <w:spacing w:after="0" w:line="278" w:lineRule="exact"/>
              <w:rPr>
                <w:sz w:val="20"/>
                <w:szCs w:val="20"/>
                <w:color w:val="auto"/>
              </w:rPr>
            </w:pPr>
            <w:r>
              <w:rPr>
                <w:rFonts w:ascii="Arial" w:cs="Arial" w:eastAsia="Arial" w:hAnsi="Arial"/>
                <w:sz w:val="32"/>
                <w:szCs w:val="32"/>
                <w:color w:val="auto"/>
                <w:vertAlign w:val="subscript"/>
              </w:rPr>
              <w:t>)</w:t>
            </w:r>
            <w:r>
              <w:rPr>
                <w:rFonts w:ascii="Arial" w:cs="Arial" w:eastAsia="Arial" w:hAnsi="Arial"/>
                <w:sz w:val="13"/>
                <w:szCs w:val="13"/>
                <w:color w:val="auto"/>
              </w:rPr>
              <w:t>2</w:t>
            </w:r>
          </w:p>
        </w:tc>
        <w:tc>
          <w:tcPr>
            <w:tcW w:w="0" w:type="dxa"/>
            <w:vAlign w:val="bottom"/>
          </w:tcPr>
          <w:p>
            <w:pPr>
              <w:spacing w:after="0"/>
              <w:rPr>
                <w:sz w:val="1"/>
                <w:szCs w:val="1"/>
                <w:color w:val="auto"/>
              </w:rPr>
            </w:pPr>
          </w:p>
        </w:tc>
      </w:tr>
      <w:tr>
        <w:trPr>
          <w:trHeight w:val="106"/>
        </w:trPr>
        <w:tc>
          <w:tcPr>
            <w:tcW w:w="1100" w:type="dxa"/>
            <w:vAlign w:val="bottom"/>
            <w:vMerge w:val="restart"/>
          </w:tcPr>
          <w:p>
            <w:pPr>
              <w:spacing w:after="0"/>
              <w:rPr>
                <w:sz w:val="20"/>
                <w:szCs w:val="20"/>
                <w:color w:val="auto"/>
              </w:rPr>
            </w:pPr>
            <w:r>
              <w:rPr>
                <w:rFonts w:ascii="Arial" w:cs="Arial" w:eastAsia="Arial" w:hAnsi="Arial"/>
                <w:sz w:val="24"/>
                <w:szCs w:val="24"/>
                <w:i w:val="1"/>
                <w:iCs w:val="1"/>
                <w:color w:val="auto"/>
              </w:rPr>
              <w:t>HHID</w:t>
            </w:r>
            <w:r>
              <w:rPr>
                <w:rFonts w:ascii="Arial" w:cs="Arial" w:eastAsia="Arial" w:hAnsi="Arial"/>
                <w:sz w:val="24"/>
                <w:szCs w:val="24"/>
                <w:color w:val="auto"/>
              </w:rPr>
              <w:t xml:space="preserve"> =</w:t>
            </w:r>
          </w:p>
        </w:tc>
        <w:tc>
          <w:tcPr>
            <w:tcW w:w="200" w:type="dxa"/>
            <w:vAlign w:val="bottom"/>
            <w:tcBorders>
              <w:bottom w:val="single" w:sz="8" w:color="auto"/>
            </w:tcBorders>
          </w:tcPr>
          <w:p>
            <w:pPr>
              <w:spacing w:after="0"/>
              <w:rPr>
                <w:sz w:val="9"/>
                <w:szCs w:val="9"/>
                <w:color w:val="auto"/>
              </w:rPr>
            </w:pPr>
          </w:p>
        </w:tc>
        <w:tc>
          <w:tcPr>
            <w:tcW w:w="560" w:type="dxa"/>
            <w:vAlign w:val="bottom"/>
            <w:vMerge w:val="restart"/>
          </w:tcPr>
          <w:p>
            <w:pPr>
              <w:ind w:left="80"/>
              <w:spacing w:after="0"/>
              <w:rPr>
                <w:sz w:val="20"/>
                <w:szCs w:val="20"/>
                <w:color w:val="auto"/>
              </w:rPr>
            </w:pPr>
            <w:r>
              <w:rPr>
                <w:rFonts w:ascii="Arial" w:cs="Arial" w:eastAsia="Arial" w:hAnsi="Arial"/>
                <w:sz w:val="24"/>
                <w:szCs w:val="24"/>
                <w:color w:val="auto"/>
              </w:rPr>
              <w:t xml:space="preserve">+ </w:t>
            </w:r>
            <w:r>
              <w:rPr>
                <w:rFonts w:ascii="Arial" w:cs="Arial" w:eastAsia="Arial" w:hAnsi="Arial"/>
                <w:sz w:val="24"/>
                <w:szCs w:val="24"/>
                <w:i w:val="1"/>
                <w:iCs w:val="1"/>
                <w:color w:val="auto"/>
              </w:rPr>
              <w:t>N</w:t>
            </w:r>
          </w:p>
        </w:tc>
        <w:tc>
          <w:tcPr>
            <w:tcW w:w="200" w:type="dxa"/>
            <w:vAlign w:val="bottom"/>
            <w:vMerge w:val="continue"/>
          </w:tcPr>
          <w:p>
            <w:pPr>
              <w:spacing w:after="0"/>
              <w:rPr>
                <w:sz w:val="9"/>
                <w:szCs w:val="9"/>
                <w:color w:val="auto"/>
              </w:rPr>
            </w:pPr>
          </w:p>
        </w:tc>
        <w:tc>
          <w:tcPr>
            <w:tcW w:w="980" w:type="dxa"/>
            <w:vAlign w:val="bottom"/>
            <w:gridSpan w:val="3"/>
            <w:vMerge w:val="restart"/>
          </w:tcPr>
          <w:p>
            <w:pPr>
              <w:spacing w:after="0" w:line="485" w:lineRule="exact"/>
              <w:rPr>
                <w:sz w:val="20"/>
                <w:szCs w:val="20"/>
                <w:color w:val="auto"/>
              </w:rPr>
            </w:pPr>
            <w:r>
              <w:rPr>
                <w:rFonts w:ascii="Arial" w:cs="Arial" w:eastAsia="Arial" w:hAnsi="Arial"/>
                <w:sz w:val="32"/>
                <w:szCs w:val="32"/>
                <w:i w:val="1"/>
                <w:iCs w:val="1"/>
                <w:color w:val="auto"/>
                <w:vertAlign w:val="superscript"/>
              </w:rPr>
              <w:t>i</w:t>
            </w:r>
            <w:r>
              <w:rPr>
                <w:rFonts w:ascii="Arial" w:cs="Arial" w:eastAsia="Arial" w:hAnsi="Arial"/>
                <w:sz w:val="31"/>
                <w:szCs w:val="31"/>
                <w:color w:val="auto"/>
                <w:vertAlign w:val="superscript"/>
              </w:rPr>
              <w:t>=1</w:t>
            </w:r>
            <w:r>
              <w:rPr>
                <w:rFonts w:ascii="Arial" w:cs="Arial" w:eastAsia="Arial" w:hAnsi="Arial"/>
                <w:sz w:val="47"/>
                <w:szCs w:val="47"/>
                <w:i w:val="1"/>
                <w:iCs w:val="1"/>
                <w:color w:val="auto"/>
                <w:vertAlign w:val="subscript"/>
              </w:rPr>
              <w:t>N</w:t>
            </w:r>
            <w:r>
              <w:rPr>
                <w:rFonts w:ascii="Arial" w:cs="Arial" w:eastAsia="Arial" w:hAnsi="Arial"/>
                <w:sz w:val="15"/>
                <w:szCs w:val="15"/>
                <w:i w:val="1"/>
                <w:iCs w:val="1"/>
                <w:color w:val="auto"/>
              </w:rPr>
              <w:t xml:space="preserve"> N</w:t>
            </w:r>
          </w:p>
        </w:tc>
        <w:tc>
          <w:tcPr>
            <w:tcW w:w="0" w:type="dxa"/>
            <w:vAlign w:val="bottom"/>
          </w:tcPr>
          <w:p>
            <w:pPr>
              <w:spacing w:after="0"/>
              <w:rPr>
                <w:sz w:val="1"/>
                <w:szCs w:val="1"/>
                <w:color w:val="auto"/>
              </w:rPr>
            </w:pPr>
          </w:p>
        </w:tc>
      </w:tr>
      <w:tr>
        <w:trPr>
          <w:trHeight w:val="391"/>
        </w:trPr>
        <w:tc>
          <w:tcPr>
            <w:tcW w:w="1100" w:type="dxa"/>
            <w:vAlign w:val="bottom"/>
            <w:vMerge w:val="continue"/>
          </w:tcPr>
          <w:p>
            <w:pPr>
              <w:spacing w:after="0"/>
              <w:rPr>
                <w:sz w:val="24"/>
                <w:szCs w:val="24"/>
                <w:color w:val="auto"/>
              </w:rPr>
            </w:pPr>
          </w:p>
        </w:tc>
        <w:tc>
          <w:tcPr>
            <w:tcW w:w="200" w:type="dxa"/>
            <w:vAlign w:val="bottom"/>
          </w:tcPr>
          <w:p>
            <w:pPr>
              <w:ind w:left="40"/>
              <w:spacing w:after="0" w:line="266" w:lineRule="exact"/>
              <w:rPr>
                <w:sz w:val="20"/>
                <w:szCs w:val="20"/>
                <w:color w:val="auto"/>
              </w:rPr>
            </w:pPr>
            <w:r>
              <w:rPr>
                <w:rFonts w:ascii="Arial" w:cs="Arial" w:eastAsia="Arial" w:hAnsi="Arial"/>
                <w:sz w:val="24"/>
                <w:szCs w:val="24"/>
                <w:i w:val="1"/>
                <w:iCs w:val="1"/>
                <w:color w:val="auto"/>
                <w:w w:val="80"/>
              </w:rPr>
              <w:t>N</w:t>
            </w:r>
          </w:p>
        </w:tc>
        <w:tc>
          <w:tcPr>
            <w:tcW w:w="56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980" w:type="dxa"/>
            <w:vAlign w:val="bottom"/>
            <w:gridSpan w:val="3"/>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3248660</wp:posOffset>
                </wp:positionH>
                <wp:positionV relativeFrom="paragraph">
                  <wp:posOffset>-258445</wp:posOffset>
                </wp:positionV>
                <wp:extent cx="74612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461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5.8pt,-20.3499pt" to="314.55pt,-20.3499pt" o:allowincell="f" strokecolor="#000000" strokeweight="0.398pt"/>
            </w:pict>
          </mc:Fallback>
        </mc:AlternateContent>
      </w:r>
    </w:p>
    <w:p>
      <w:pPr>
        <w:spacing w:after="0" w:line="14" w:lineRule="exact"/>
        <w:rPr>
          <w:sz w:val="20"/>
          <w:szCs w:val="20"/>
          <w:color w:val="auto"/>
        </w:rPr>
      </w:pPr>
    </w:p>
    <w:p>
      <w:pPr>
        <w:jc w:val="both"/>
        <w:ind w:left="260" w:firstLine="850"/>
        <w:spacing w:after="0" w:line="298" w:lineRule="auto"/>
        <w:rPr>
          <w:sz w:val="20"/>
          <w:szCs w:val="20"/>
          <w:color w:val="auto"/>
        </w:rPr>
      </w:pPr>
      <w:r>
        <w:rPr>
          <w:rFonts w:ascii="Arial" w:cs="Arial" w:eastAsia="Arial" w:hAnsi="Arial"/>
          <w:sz w:val="24"/>
          <w:szCs w:val="24"/>
          <w:color w:val="auto"/>
        </w:rPr>
        <w:t>A Figura 1 demonstra a evolução número de instituições bancárias por seg-mento entre 1978 à 2019, podendo ser visualizada uma mudança na composição da estrutura, com significativo aumento de instituições aderindo a modalidades de múltiplas carteiras</w:t>
      </w:r>
      <w:r>
        <w:rPr>
          <w:rFonts w:ascii="Arial" w:cs="Arial" w:eastAsia="Arial" w:hAnsi="Arial"/>
          <w:sz w:val="31"/>
          <w:szCs w:val="31"/>
          <w:color w:val="auto"/>
        </w:rPr>
        <w:t xml:space="preserve"> </w:t>
      </w:r>
      <w:r>
        <w:rPr>
          <w:rFonts w:ascii="Arial" w:cs="Arial" w:eastAsia="Arial" w:hAnsi="Arial"/>
          <w:sz w:val="31"/>
          <w:szCs w:val="31"/>
          <w:color w:val="auto"/>
          <w:vertAlign w:val="superscript"/>
        </w:rPr>
        <w:t>3</w:t>
      </w:r>
      <w:r>
        <w:rPr>
          <w:rFonts w:ascii="Arial" w:cs="Arial" w:eastAsia="Arial" w:hAnsi="Arial"/>
          <w:sz w:val="24"/>
          <w:szCs w:val="24"/>
          <w:color w:val="auto"/>
        </w:rPr>
        <w:t xml:space="preserve"> e redução de instituições que operam exclusivamente com carteira comercial e exclusivamente com carteira de investimento.</w:t>
      </w:r>
    </w:p>
    <w:p>
      <w:pPr>
        <w:spacing w:after="0" w:line="99" w:lineRule="exact"/>
        <w:rPr>
          <w:sz w:val="20"/>
          <w:szCs w:val="20"/>
          <w:color w:val="auto"/>
        </w:rPr>
      </w:pPr>
    </w:p>
    <w:p>
      <w:pPr>
        <w:jc w:val="both"/>
        <w:ind w:left="260" w:right="40" w:firstLine="850"/>
        <w:spacing w:after="0" w:line="332" w:lineRule="auto"/>
        <w:rPr>
          <w:sz w:val="20"/>
          <w:szCs w:val="20"/>
          <w:color w:val="auto"/>
        </w:rPr>
      </w:pPr>
      <w:r>
        <w:rPr>
          <w:rFonts w:ascii="Arial" w:cs="Arial" w:eastAsia="Arial" w:hAnsi="Arial"/>
          <w:sz w:val="23"/>
          <w:szCs w:val="23"/>
          <w:color w:val="auto"/>
        </w:rPr>
        <w:t>A observação sobre o aumento da concentração bancária no Brasil, realizada por Camargo (2009), pode ser visualizada na Figura 2. Entre as metades das décadas de 1980 e 1990, com redução da concentração, levando em consideração o número de instituições. Esse cenário passou se inverter a partir de 1994, chegando em 2019 a um nível aproximado ao observado no início da década de 1980.</w:t>
      </w:r>
    </w:p>
    <w:p>
      <w:pPr>
        <w:spacing w:after="0" w:line="83"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Alguns dos efeitos da abertura comercial-financeira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 (CAMARGO, 2009).</w:t>
      </w:r>
    </w:p>
    <w:p>
      <w:pPr>
        <w:spacing w:after="0" w:line="101" w:lineRule="exact"/>
        <w:rPr>
          <w:sz w:val="20"/>
          <w:szCs w:val="20"/>
          <w:color w:val="auto"/>
        </w:rPr>
      </w:pPr>
    </w:p>
    <w:p>
      <w:pPr>
        <w:jc w:val="both"/>
        <w:ind w:left="260" w:right="40" w:firstLine="858"/>
        <w:spacing w:after="0" w:line="315" w:lineRule="auto"/>
        <w:rPr>
          <w:sz w:val="20"/>
          <w:szCs w:val="20"/>
          <w:color w:val="auto"/>
        </w:rPr>
      </w:pPr>
      <w:r>
        <w:rPr>
          <w:rFonts w:ascii="Arial" w:cs="Arial" w:eastAsia="Arial" w:hAnsi="Arial"/>
          <w:sz w:val="24"/>
          <w:szCs w:val="24"/>
          <w:color w:val="auto"/>
        </w:rPr>
        <w:t>De acordo com Strachman e Vasconcelos apud Camargo (2009), o aumento da concentração bancária pode ser prejudicial ao crescimento econômico, uma vez que, com maior participação de mercado, as instituições bancárias acabam por obter a prerrogativa de determinar seus preços, comportamento este observado em Klein (1971).</w:t>
      </w:r>
    </w:p>
    <w:p>
      <w:pPr>
        <w:spacing w:after="0" w:line="101"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Segundo Camargo (2009) e Dantas (2012), por outra perspectiva, o ganho de escala, onde o cenário de aumento do tamanho das instituições, das operações de crédito e redução de custos operacionais atua melhorando a remuneração dos depósitos e atuando na redução dos juros finais pagos pelos clientes.</w:t>
      </w:r>
    </w:p>
    <w:p>
      <w:pPr>
        <w:spacing w:after="0" w:line="96" w:lineRule="exact"/>
        <w:rPr>
          <w:sz w:val="20"/>
          <w:szCs w:val="20"/>
          <w:color w:val="auto"/>
        </w:rPr>
      </w:pPr>
    </w:p>
    <w:p>
      <w:pPr>
        <w:ind w:left="260" w:firstLine="850"/>
        <w:spacing w:after="0" w:line="352" w:lineRule="auto"/>
        <w:rPr>
          <w:sz w:val="20"/>
          <w:szCs w:val="20"/>
          <w:color w:val="auto"/>
        </w:rPr>
      </w:pPr>
      <w:r>
        <w:rPr>
          <w:rFonts w:ascii="Arial" w:cs="Arial" w:eastAsia="Arial" w:hAnsi="Arial"/>
          <w:sz w:val="23"/>
          <w:szCs w:val="23"/>
          <w:color w:val="auto"/>
        </w:rPr>
        <w:t>Outra possível tendência para a concentração bancária seria a redução do risco das operações, implicando em redução de custos, obtida por meio expansão geo-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203200</wp:posOffset>
                </wp:positionV>
                <wp:extent cx="230251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6pt" to="194.25pt,16pt" o:allowincell="f" strokecolor="#000000" strokeweight="0.398pt"/>
            </w:pict>
          </mc:Fallback>
        </mc:AlternateContent>
      </w:r>
    </w:p>
    <w:p>
      <w:pPr>
        <w:sectPr>
          <w:pgSz w:w="11900" w:h="16838" w:orient="portrait"/>
          <w:cols w:equalWidth="0" w:num="1">
            <w:col w:w="9360"/>
          </w:cols>
          <w:pgMar w:left="1440" w:top="991" w:right="1106" w:bottom="583" w:gutter="0" w:footer="0" w:header="0"/>
        </w:sectPr>
      </w:pPr>
    </w:p>
    <w:p>
      <w:pPr>
        <w:spacing w:after="0" w:line="293" w:lineRule="exact"/>
        <w:rPr>
          <w:sz w:val="20"/>
          <w:szCs w:val="20"/>
          <w:color w:val="auto"/>
        </w:rPr>
      </w:pPr>
    </w:p>
    <w:p>
      <w:pPr>
        <w:ind w:left="540" w:hanging="281"/>
        <w:spacing w:after="0"/>
        <w:tabs>
          <w:tab w:leader="none" w:pos="540" w:val="left"/>
        </w:tabs>
        <w:numPr>
          <w:ilvl w:val="0"/>
          <w:numId w:val="10"/>
        </w:numPr>
        <w:rPr>
          <w:rFonts w:ascii="Arial" w:cs="Arial" w:eastAsia="Arial" w:hAnsi="Arial"/>
          <w:sz w:val="27"/>
          <w:szCs w:val="27"/>
          <w:color w:val="auto"/>
          <w:vertAlign w:val="superscript"/>
        </w:rPr>
      </w:pPr>
      <w:r>
        <w:rPr>
          <w:rFonts w:ascii="Arial" w:cs="Arial" w:eastAsia="Arial" w:hAnsi="Arial"/>
          <w:sz w:val="19"/>
          <w:szCs w:val="19"/>
          <w:color w:val="auto"/>
        </w:rPr>
        <w:t>As primeiras instituições com carteira múltipla começaram a operar no ano de 1988</w:t>
      </w:r>
    </w:p>
    <w:p>
      <w:pPr>
        <w:sectPr>
          <w:pgSz w:w="11900" w:h="16838" w:orient="portrait"/>
          <w:cols w:equalWidth="0" w:num="1">
            <w:col w:w="9360"/>
          </w:cols>
          <w:pgMar w:left="1440" w:top="991" w:right="1106" w:bottom="583" w:gutter="0" w:footer="0" w:header="0"/>
          <w:type w:val="continuous"/>
        </w:sectPr>
      </w:pPr>
    </w:p>
    <w:p>
      <w:pPr>
        <w:jc w:val="right"/>
        <w:ind w:right="60"/>
        <w:spacing w:after="0"/>
        <w:rPr>
          <w:sz w:val="20"/>
          <w:szCs w:val="20"/>
          <w:color w:val="auto"/>
        </w:rPr>
      </w:pPr>
      <w:r>
        <w:rPr>
          <w:rFonts w:ascii="Arial" w:cs="Arial" w:eastAsia="Arial" w:hAnsi="Arial"/>
          <w:sz w:val="24"/>
          <w:szCs w:val="24"/>
          <w:color w:val="auto"/>
        </w:rPr>
        <w:t>14</w:t>
      </w:r>
    </w:p>
    <w:p>
      <w:pPr>
        <w:spacing w:after="0" w:line="200" w:lineRule="exact"/>
        <w:rPr>
          <w:sz w:val="20"/>
          <w:szCs w:val="20"/>
          <w:color w:val="auto"/>
        </w:rPr>
      </w:pPr>
    </w:p>
    <w:p>
      <w:pPr>
        <w:spacing w:after="0" w:line="215" w:lineRule="exact"/>
        <w:rPr>
          <w:sz w:val="20"/>
          <w:szCs w:val="20"/>
          <w:color w:val="auto"/>
        </w:rPr>
      </w:pPr>
    </w:p>
    <w:p>
      <w:pPr>
        <w:ind w:left="1040"/>
        <w:spacing w:after="0"/>
        <w:rPr>
          <w:sz w:val="20"/>
          <w:szCs w:val="20"/>
          <w:color w:val="auto"/>
        </w:rPr>
      </w:pPr>
      <w:r>
        <w:rPr>
          <w:rFonts w:ascii="Arial" w:cs="Arial" w:eastAsia="Arial" w:hAnsi="Arial"/>
          <w:sz w:val="22"/>
          <w:szCs w:val="22"/>
          <w:color w:val="auto"/>
        </w:rPr>
        <w:t>Figura 2 – Evolução da quantidade de instituições no setor bancário brasileiro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585470</wp:posOffset>
            </wp:positionH>
            <wp:positionV relativeFrom="paragraph">
              <wp:posOffset>327025</wp:posOffset>
            </wp:positionV>
            <wp:extent cx="5330190" cy="360299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extLst>
                    </a:blip>
                    <a:srcRect/>
                    <a:stretch>
                      <a:fillRect/>
                    </a:stretch>
                  </pic:blipFill>
                  <pic:spPr bwMode="auto">
                    <a:xfrm>
                      <a:off x="0" y="0"/>
                      <a:ext cx="5330190" cy="3602990"/>
                    </a:xfrm>
                    <a:prstGeom prst="rect">
                      <a:avLst/>
                    </a:prstGeom>
                    <a:noFill/>
                  </pic:spPr>
                </pic:pic>
              </a:graphicData>
            </a:graphic>
          </wp:anchor>
        </w:drawing>
      </w:r>
    </w:p>
    <w:p>
      <w:pPr>
        <w:sectPr>
          <w:pgSz w:w="11900" w:h="16838" w:orient="portrait"/>
          <w:cols w:equalWidth="0" w:num="1">
            <w:col w:w="9380"/>
          </w:cols>
          <w:pgMar w:left="1440" w:top="991" w:right="1086" w:bottom="68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tbl>
      <w:tblPr>
        <w:tblLayout w:type="fixed"/>
        <w:tblInd w:w="221" w:type="dxa"/>
        <w:tblCellMar>
          <w:top w:w="0" w:type="dxa"/>
          <w:left w:w="0" w:type="dxa"/>
          <w:bottom w:w="0" w:type="dxa"/>
          <w:right w:w="0" w:type="dxa"/>
        </w:tblCellMar>
      </w:tblPr>
      <w:tr>
        <w:trPr>
          <w:trHeight w:val="1140"/>
        </w:trPr>
        <w:tc>
          <w:tcPr>
            <w:tcW w:w="253" w:type="dxa"/>
            <w:vAlign w:val="bottom"/>
            <w:textDirection w:val="btLr"/>
          </w:tcPr>
          <w:p>
            <w:pPr>
              <w:spacing w:after="0"/>
              <w:rPr>
                <w:sz w:val="20"/>
                <w:szCs w:val="20"/>
                <w:color w:val="auto"/>
              </w:rPr>
            </w:pPr>
            <w:r>
              <w:rPr>
                <w:rFonts w:ascii="Helvetica" w:cs="Helvetica" w:eastAsia="Helvetica" w:hAnsi="Helvetica"/>
                <w:sz w:val="22"/>
                <w:szCs w:val="22"/>
                <w:color w:val="auto"/>
              </w:rPr>
              <w:t>Quantidade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2080" w:type="dxa"/>
            <w:vAlign w:val="bottom"/>
          </w:tcPr>
          <w:p>
            <w:pPr>
              <w:jc w:val="right"/>
              <w:ind w:right="1691"/>
              <w:spacing w:after="0"/>
              <w:rPr>
                <w:sz w:val="20"/>
                <w:szCs w:val="20"/>
                <w:color w:val="auto"/>
              </w:rPr>
            </w:pPr>
            <w:r>
              <w:rPr>
                <w:rFonts w:ascii="Helvetica" w:cs="Helvetica" w:eastAsia="Helvetica" w:hAnsi="Helvetica"/>
                <w:sz w:val="18"/>
                <w:szCs w:val="18"/>
                <w:color w:val="4D4D4D"/>
                <w:w w:val="93"/>
              </w:rPr>
              <w:t>250</w:t>
            </w:r>
          </w:p>
        </w:tc>
        <w:tc>
          <w:tcPr>
            <w:tcW w:w="1740" w:type="dxa"/>
            <w:vAlign w:val="bottom"/>
          </w:tcPr>
          <w:p>
            <w:pPr>
              <w:spacing w:after="0"/>
              <w:rPr>
                <w:sz w:val="17"/>
                <w:szCs w:val="17"/>
                <w:color w:val="auto"/>
              </w:rPr>
            </w:pPr>
          </w:p>
        </w:tc>
        <w:tc>
          <w:tcPr>
            <w:tcW w:w="1980" w:type="dxa"/>
            <w:vAlign w:val="bottom"/>
          </w:tcPr>
          <w:p>
            <w:pPr>
              <w:spacing w:after="0"/>
              <w:rPr>
                <w:sz w:val="17"/>
                <w:szCs w:val="17"/>
                <w:color w:val="auto"/>
              </w:rPr>
            </w:pPr>
          </w:p>
        </w:tc>
        <w:tc>
          <w:tcPr>
            <w:tcW w:w="1860" w:type="dxa"/>
            <w:vAlign w:val="bottom"/>
          </w:tcPr>
          <w:p>
            <w:pPr>
              <w:spacing w:after="0"/>
              <w:rPr>
                <w:sz w:val="17"/>
                <w:szCs w:val="17"/>
                <w:color w:val="auto"/>
              </w:rPr>
            </w:pPr>
          </w:p>
        </w:tc>
        <w:tc>
          <w:tcPr>
            <w:tcW w:w="1160" w:type="dxa"/>
            <w:vAlign w:val="bottom"/>
          </w:tcPr>
          <w:p>
            <w:pPr>
              <w:spacing w:after="0"/>
              <w:rPr>
                <w:sz w:val="17"/>
                <w:szCs w:val="17"/>
                <w:color w:val="auto"/>
              </w:rPr>
            </w:pPr>
          </w:p>
        </w:tc>
      </w:tr>
      <w:tr>
        <w:trPr>
          <w:trHeight w:val="1183"/>
        </w:trPr>
        <w:tc>
          <w:tcPr>
            <w:tcW w:w="2080" w:type="dxa"/>
            <w:vAlign w:val="bottom"/>
          </w:tcPr>
          <w:p>
            <w:pPr>
              <w:jc w:val="right"/>
              <w:ind w:right="1691"/>
              <w:spacing w:after="0"/>
              <w:rPr>
                <w:sz w:val="20"/>
                <w:szCs w:val="20"/>
                <w:color w:val="auto"/>
              </w:rPr>
            </w:pPr>
            <w:r>
              <w:rPr>
                <w:rFonts w:ascii="Helvetica" w:cs="Helvetica" w:eastAsia="Helvetica" w:hAnsi="Helvetica"/>
                <w:sz w:val="18"/>
                <w:szCs w:val="18"/>
                <w:color w:val="4D4D4D"/>
                <w:w w:val="93"/>
              </w:rPr>
              <w:t>225</w:t>
            </w:r>
          </w:p>
        </w:tc>
        <w:tc>
          <w:tcPr>
            <w:tcW w:w="17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1183"/>
        </w:trPr>
        <w:tc>
          <w:tcPr>
            <w:tcW w:w="2080" w:type="dxa"/>
            <w:vAlign w:val="bottom"/>
          </w:tcPr>
          <w:p>
            <w:pPr>
              <w:jc w:val="right"/>
              <w:ind w:right="1691"/>
              <w:spacing w:after="0"/>
              <w:rPr>
                <w:sz w:val="20"/>
                <w:szCs w:val="20"/>
                <w:color w:val="auto"/>
              </w:rPr>
            </w:pPr>
            <w:r>
              <w:rPr>
                <w:rFonts w:ascii="Helvetica" w:cs="Helvetica" w:eastAsia="Helvetica" w:hAnsi="Helvetica"/>
                <w:sz w:val="18"/>
                <w:szCs w:val="18"/>
                <w:color w:val="4D4D4D"/>
                <w:w w:val="93"/>
              </w:rPr>
              <w:t>200</w:t>
            </w:r>
          </w:p>
        </w:tc>
        <w:tc>
          <w:tcPr>
            <w:tcW w:w="17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1183"/>
        </w:trPr>
        <w:tc>
          <w:tcPr>
            <w:tcW w:w="2080" w:type="dxa"/>
            <w:vAlign w:val="bottom"/>
          </w:tcPr>
          <w:p>
            <w:pPr>
              <w:jc w:val="right"/>
              <w:ind w:right="1691"/>
              <w:spacing w:after="0"/>
              <w:rPr>
                <w:sz w:val="20"/>
                <w:szCs w:val="20"/>
                <w:color w:val="auto"/>
              </w:rPr>
            </w:pPr>
            <w:r>
              <w:rPr>
                <w:rFonts w:ascii="Helvetica" w:cs="Helvetica" w:eastAsia="Helvetica" w:hAnsi="Helvetica"/>
                <w:sz w:val="18"/>
                <w:szCs w:val="18"/>
                <w:color w:val="4D4D4D"/>
                <w:w w:val="93"/>
              </w:rPr>
              <w:t>175</w:t>
            </w:r>
          </w:p>
        </w:tc>
        <w:tc>
          <w:tcPr>
            <w:tcW w:w="1740" w:type="dxa"/>
            <w:vAlign w:val="bottom"/>
          </w:tcPr>
          <w:p>
            <w:pPr>
              <w:spacing w:after="0"/>
              <w:rPr>
                <w:sz w:val="24"/>
                <w:szCs w:val="24"/>
                <w:color w:val="auto"/>
              </w:rPr>
            </w:pPr>
          </w:p>
        </w:tc>
        <w:tc>
          <w:tcPr>
            <w:tcW w:w="198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1160" w:type="dxa"/>
            <w:vAlign w:val="bottom"/>
          </w:tcPr>
          <w:p>
            <w:pPr>
              <w:spacing w:after="0"/>
              <w:rPr>
                <w:sz w:val="24"/>
                <w:szCs w:val="24"/>
                <w:color w:val="auto"/>
              </w:rPr>
            </w:pPr>
          </w:p>
        </w:tc>
      </w:tr>
      <w:tr>
        <w:trPr>
          <w:trHeight w:val="1129"/>
        </w:trPr>
        <w:tc>
          <w:tcPr>
            <w:tcW w:w="2080" w:type="dxa"/>
            <w:vAlign w:val="bottom"/>
          </w:tcPr>
          <w:p>
            <w:pPr>
              <w:jc w:val="right"/>
              <w:ind w:right="631"/>
              <w:spacing w:after="0"/>
              <w:rPr>
                <w:sz w:val="20"/>
                <w:szCs w:val="20"/>
                <w:color w:val="auto"/>
              </w:rPr>
            </w:pPr>
            <w:r>
              <w:rPr>
                <w:rFonts w:ascii="Helvetica" w:cs="Helvetica" w:eastAsia="Helvetica" w:hAnsi="Helvetica"/>
                <w:sz w:val="18"/>
                <w:szCs w:val="18"/>
                <w:color w:val="4D4D4D"/>
              </w:rPr>
              <w:t>1980</w:t>
            </w:r>
          </w:p>
        </w:tc>
        <w:tc>
          <w:tcPr>
            <w:tcW w:w="1740" w:type="dxa"/>
            <w:vAlign w:val="bottom"/>
          </w:tcPr>
          <w:p>
            <w:pPr>
              <w:jc w:val="right"/>
              <w:ind w:right="511"/>
              <w:spacing w:after="0"/>
              <w:rPr>
                <w:sz w:val="20"/>
                <w:szCs w:val="20"/>
                <w:color w:val="auto"/>
              </w:rPr>
            </w:pPr>
            <w:r>
              <w:rPr>
                <w:rFonts w:ascii="Helvetica" w:cs="Helvetica" w:eastAsia="Helvetica" w:hAnsi="Helvetica"/>
                <w:sz w:val="18"/>
                <w:szCs w:val="18"/>
                <w:color w:val="4D4D4D"/>
              </w:rPr>
              <w:t>1990</w:t>
            </w:r>
          </w:p>
        </w:tc>
        <w:tc>
          <w:tcPr>
            <w:tcW w:w="1980" w:type="dxa"/>
            <w:vAlign w:val="bottom"/>
          </w:tcPr>
          <w:p>
            <w:pPr>
              <w:jc w:val="right"/>
              <w:ind w:right="621"/>
              <w:spacing w:after="0"/>
              <w:rPr>
                <w:sz w:val="20"/>
                <w:szCs w:val="20"/>
                <w:color w:val="auto"/>
              </w:rPr>
            </w:pPr>
            <w:r>
              <w:rPr>
                <w:rFonts w:ascii="Helvetica" w:cs="Helvetica" w:eastAsia="Helvetica" w:hAnsi="Helvetica"/>
                <w:sz w:val="18"/>
                <w:szCs w:val="18"/>
                <w:color w:val="4D4D4D"/>
              </w:rPr>
              <w:t>2000</w:t>
            </w:r>
          </w:p>
        </w:tc>
        <w:tc>
          <w:tcPr>
            <w:tcW w:w="1860" w:type="dxa"/>
            <w:vAlign w:val="bottom"/>
          </w:tcPr>
          <w:p>
            <w:pPr>
              <w:jc w:val="right"/>
              <w:ind w:right="631"/>
              <w:spacing w:after="0"/>
              <w:rPr>
                <w:sz w:val="20"/>
                <w:szCs w:val="20"/>
                <w:color w:val="auto"/>
              </w:rPr>
            </w:pPr>
            <w:r>
              <w:rPr>
                <w:rFonts w:ascii="Helvetica" w:cs="Helvetica" w:eastAsia="Helvetica" w:hAnsi="Helvetica"/>
                <w:sz w:val="18"/>
                <w:szCs w:val="18"/>
                <w:color w:val="4D4D4D"/>
              </w:rPr>
              <w:t>2010</w:t>
            </w:r>
          </w:p>
        </w:tc>
        <w:tc>
          <w:tcPr>
            <w:tcW w:w="1160" w:type="dxa"/>
            <w:vAlign w:val="bottom"/>
          </w:tcPr>
          <w:p>
            <w:pPr>
              <w:jc w:val="right"/>
              <w:spacing w:after="0"/>
              <w:rPr>
                <w:sz w:val="20"/>
                <w:szCs w:val="20"/>
                <w:color w:val="auto"/>
              </w:rPr>
            </w:pPr>
            <w:r>
              <w:rPr>
                <w:rFonts w:ascii="Helvetica" w:cs="Helvetica" w:eastAsia="Helvetica" w:hAnsi="Helvetica"/>
                <w:sz w:val="18"/>
                <w:szCs w:val="18"/>
                <w:color w:val="4D4D4D"/>
              </w:rPr>
              <w:t>2020</w:t>
            </w:r>
          </w:p>
        </w:tc>
      </w:tr>
      <w:tr>
        <w:trPr>
          <w:trHeight w:val="258"/>
        </w:trPr>
        <w:tc>
          <w:tcPr>
            <w:tcW w:w="2080" w:type="dxa"/>
            <w:vAlign w:val="bottom"/>
          </w:tcPr>
          <w:p>
            <w:pPr>
              <w:spacing w:after="0"/>
              <w:rPr>
                <w:sz w:val="22"/>
                <w:szCs w:val="22"/>
                <w:color w:val="auto"/>
              </w:rPr>
            </w:pPr>
          </w:p>
        </w:tc>
        <w:tc>
          <w:tcPr>
            <w:tcW w:w="1740" w:type="dxa"/>
            <w:vAlign w:val="bottom"/>
          </w:tcPr>
          <w:p>
            <w:pPr>
              <w:spacing w:after="0"/>
              <w:rPr>
                <w:sz w:val="22"/>
                <w:szCs w:val="22"/>
                <w:color w:val="auto"/>
              </w:rPr>
            </w:pPr>
          </w:p>
        </w:tc>
        <w:tc>
          <w:tcPr>
            <w:tcW w:w="1980" w:type="dxa"/>
            <w:vAlign w:val="bottom"/>
          </w:tcPr>
          <w:p>
            <w:pPr>
              <w:jc w:val="right"/>
              <w:ind w:right="901"/>
              <w:spacing w:after="0"/>
              <w:rPr>
                <w:sz w:val="20"/>
                <w:szCs w:val="20"/>
                <w:color w:val="auto"/>
              </w:rPr>
            </w:pPr>
            <w:r>
              <w:rPr>
                <w:rFonts w:ascii="Helvetica" w:cs="Helvetica" w:eastAsia="Helvetica" w:hAnsi="Helvetica"/>
                <w:sz w:val="22"/>
                <w:szCs w:val="22"/>
                <w:color w:val="auto"/>
              </w:rPr>
              <w:t>Ano</w:t>
            </w:r>
          </w:p>
        </w:tc>
        <w:tc>
          <w:tcPr>
            <w:tcW w:w="1860" w:type="dxa"/>
            <w:vAlign w:val="bottom"/>
          </w:tcPr>
          <w:p>
            <w:pPr>
              <w:spacing w:after="0"/>
              <w:rPr>
                <w:sz w:val="22"/>
                <w:szCs w:val="22"/>
                <w:color w:val="auto"/>
              </w:rPr>
            </w:pPr>
          </w:p>
        </w:tc>
        <w:tc>
          <w:tcPr>
            <w:tcW w:w="1160" w:type="dxa"/>
            <w:vAlign w:val="bottom"/>
          </w:tcPr>
          <w:p>
            <w:pPr>
              <w:spacing w:after="0"/>
              <w:rPr>
                <w:sz w:val="22"/>
                <w:szCs w:val="2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220345</wp:posOffset>
                </wp:positionH>
                <wp:positionV relativeFrom="paragraph">
                  <wp:posOffset>-946150</wp:posOffset>
                </wp:positionV>
                <wp:extent cx="3429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74.4999pt" to="20.05pt,-74.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-1697355</wp:posOffset>
                </wp:positionV>
                <wp:extent cx="3429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133.6499pt" to="20.05pt,-133.6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-2448560</wp:posOffset>
                </wp:positionV>
                <wp:extent cx="3429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192.7999pt" to="20.05pt,-192.7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220345</wp:posOffset>
                </wp:positionH>
                <wp:positionV relativeFrom="paragraph">
                  <wp:posOffset>-3200400</wp:posOffset>
                </wp:positionV>
                <wp:extent cx="3429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5pt,-252pt" to="20.05pt,-252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733425</wp:posOffset>
                </wp:positionH>
                <wp:positionV relativeFrom="paragraph">
                  <wp:posOffset>-332105</wp:posOffset>
                </wp:positionV>
                <wp:extent cx="0" cy="3429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75pt,-26.1499pt" to="57.75pt,-23.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1915160</wp:posOffset>
                </wp:positionH>
                <wp:positionV relativeFrom="paragraph">
                  <wp:posOffset>-332105</wp:posOffset>
                </wp:positionV>
                <wp:extent cx="0" cy="3429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8pt,-26.1499pt" to="150.8pt,-23.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3097530</wp:posOffset>
                </wp:positionH>
                <wp:positionV relativeFrom="paragraph">
                  <wp:posOffset>-332105</wp:posOffset>
                </wp:positionV>
                <wp:extent cx="0" cy="3429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9pt,-26.1499pt" to="243.9pt,-23.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4279265</wp:posOffset>
                </wp:positionH>
                <wp:positionV relativeFrom="paragraph">
                  <wp:posOffset>-332105</wp:posOffset>
                </wp:positionV>
                <wp:extent cx="0" cy="3429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6.95pt,-26.1499pt" to="336.95pt,-23.4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5461000</wp:posOffset>
                </wp:positionH>
                <wp:positionV relativeFrom="paragraph">
                  <wp:posOffset>-332105</wp:posOffset>
                </wp:positionV>
                <wp:extent cx="0" cy="3429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0pt,-26.1499pt" to="430pt,-23.4499pt" o:allowincell="f" strokecolor="#333333" strokeweight="1.0591pt"/>
            </w:pict>
          </mc:Fallback>
        </mc:AlternateContent>
      </w:r>
    </w:p>
    <w:p>
      <w:pPr>
        <w:spacing w:after="0" w:line="200" w:lineRule="exact"/>
        <w:rPr>
          <w:sz w:val="20"/>
          <w:szCs w:val="20"/>
          <w:color w:val="auto"/>
        </w:rPr>
      </w:pPr>
    </w:p>
    <w:p>
      <w:pPr>
        <w:sectPr>
          <w:pgSz w:w="11900" w:h="16838" w:orient="portrait"/>
          <w:cols w:equalWidth="0" w:num="2">
            <w:col w:w="474" w:space="46"/>
            <w:col w:w="8860"/>
          </w:cols>
          <w:pgMar w:left="1440" w:top="991" w:right="1086" w:bottom="680" w:gutter="0" w:footer="0" w:header="0"/>
          <w:type w:val="continuous"/>
        </w:sectPr>
      </w:pPr>
    </w:p>
    <w:p>
      <w:pPr>
        <w:spacing w:after="0" w:line="52"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do Banco Central</w:t>
      </w:r>
    </w:p>
    <w:p>
      <w:pPr>
        <w:spacing w:after="0" w:line="200" w:lineRule="exact"/>
        <w:rPr>
          <w:sz w:val="20"/>
          <w:szCs w:val="20"/>
          <w:color w:val="auto"/>
        </w:rPr>
      </w:pPr>
    </w:p>
    <w:p>
      <w:pPr>
        <w:spacing w:after="0" w:line="258" w:lineRule="exact"/>
        <w:rPr>
          <w:sz w:val="20"/>
          <w:szCs w:val="20"/>
          <w:color w:val="auto"/>
        </w:rPr>
      </w:pPr>
    </w:p>
    <w:p>
      <w:pPr>
        <w:ind w:left="920"/>
        <w:spacing w:after="0"/>
        <w:rPr>
          <w:sz w:val="20"/>
          <w:szCs w:val="20"/>
          <w:color w:val="auto"/>
        </w:rPr>
      </w:pPr>
      <w:r>
        <w:rPr>
          <w:rFonts w:ascii="Arial" w:cs="Arial" w:eastAsia="Arial" w:hAnsi="Arial"/>
          <w:sz w:val="22"/>
          <w:szCs w:val="22"/>
          <w:color w:val="auto"/>
        </w:rPr>
        <w:t>Tabela 3 – Setor bancário brasileiro por origem de capital — Dezembro de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154940</wp:posOffset>
                </wp:positionV>
                <wp:extent cx="575691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2.2pt" to="466.25pt,12.2pt" o:allowincell="f" strokecolor="#000000" strokeweight="0.936pt"/>
            </w:pict>
          </mc:Fallback>
        </mc:AlternateContent>
      </w:r>
    </w:p>
    <w:p>
      <w:pPr>
        <w:spacing w:after="0" w:line="278" w:lineRule="exact"/>
        <w:rPr>
          <w:sz w:val="20"/>
          <w:szCs w:val="20"/>
          <w:color w:val="auto"/>
        </w:rPr>
      </w:pPr>
    </w:p>
    <w:tbl>
      <w:tblPr>
        <w:tblLayout w:type="fixed"/>
        <w:tblInd w:w="260" w:type="dxa"/>
        <w:tblCellMar>
          <w:top w:w="0" w:type="dxa"/>
          <w:left w:w="0" w:type="dxa"/>
          <w:bottom w:w="0" w:type="dxa"/>
          <w:right w:w="0" w:type="dxa"/>
        </w:tblCellMar>
      </w:tblPr>
      <w:tr>
        <w:trPr>
          <w:trHeight w:val="246"/>
        </w:trPr>
        <w:tc>
          <w:tcPr>
            <w:tcW w:w="3740" w:type="dxa"/>
            <w:vAlign w:val="bottom"/>
          </w:tcPr>
          <w:p>
            <w:pPr>
              <w:ind w:left="120"/>
              <w:spacing w:after="0"/>
              <w:rPr>
                <w:sz w:val="20"/>
                <w:szCs w:val="20"/>
                <w:color w:val="auto"/>
              </w:rPr>
            </w:pPr>
            <w:r>
              <w:rPr>
                <w:rFonts w:ascii="Arial" w:cs="Arial" w:eastAsia="Arial" w:hAnsi="Arial"/>
                <w:sz w:val="20"/>
                <w:szCs w:val="20"/>
                <w:color w:val="auto"/>
              </w:rPr>
              <w:t>Capital</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Quantidade</w:t>
            </w:r>
          </w:p>
        </w:tc>
        <w:tc>
          <w:tcPr>
            <w:tcW w:w="3040" w:type="dxa"/>
            <w:vAlign w:val="bottom"/>
          </w:tcPr>
          <w:p>
            <w:pPr>
              <w:ind w:left="120"/>
              <w:spacing w:after="0"/>
              <w:rPr>
                <w:sz w:val="20"/>
                <w:szCs w:val="20"/>
                <w:color w:val="auto"/>
              </w:rPr>
            </w:pPr>
            <w:r>
              <w:rPr>
                <w:rFonts w:ascii="Arial" w:cs="Arial" w:eastAsia="Arial" w:hAnsi="Arial"/>
                <w:sz w:val="20"/>
                <w:szCs w:val="20"/>
                <w:color w:val="auto"/>
              </w:rPr>
              <w:t>Participação</w:t>
            </w:r>
          </w:p>
        </w:tc>
      </w:tr>
      <w:tr>
        <w:trPr>
          <w:trHeight w:val="57"/>
        </w:trPr>
        <w:tc>
          <w:tcPr>
            <w:tcW w:w="3740" w:type="dxa"/>
            <w:vAlign w:val="bottom"/>
            <w:tcBorders>
              <w:bottom w:val="single" w:sz="8" w:color="auto"/>
            </w:tcBorders>
          </w:tcPr>
          <w:p>
            <w:pPr>
              <w:spacing w:after="0"/>
              <w:rPr>
                <w:sz w:val="4"/>
                <w:szCs w:val="4"/>
                <w:color w:val="auto"/>
              </w:rPr>
            </w:pPr>
          </w:p>
        </w:tc>
        <w:tc>
          <w:tcPr>
            <w:tcW w:w="2300" w:type="dxa"/>
            <w:vAlign w:val="bottom"/>
            <w:tcBorders>
              <w:bottom w:val="single" w:sz="8" w:color="auto"/>
            </w:tcBorders>
          </w:tcPr>
          <w:p>
            <w:pPr>
              <w:spacing w:after="0"/>
              <w:rPr>
                <w:sz w:val="4"/>
                <w:szCs w:val="4"/>
                <w:color w:val="auto"/>
              </w:rPr>
            </w:pPr>
          </w:p>
        </w:tc>
        <w:tc>
          <w:tcPr>
            <w:tcW w:w="3040" w:type="dxa"/>
            <w:vAlign w:val="bottom"/>
            <w:tcBorders>
              <w:bottom w:val="single" w:sz="8" w:color="auto"/>
            </w:tcBorders>
          </w:tcPr>
          <w:p>
            <w:pPr>
              <w:spacing w:after="0"/>
              <w:rPr>
                <w:sz w:val="4"/>
                <w:szCs w:val="4"/>
                <w:color w:val="auto"/>
              </w:rPr>
            </w:pPr>
          </w:p>
        </w:tc>
      </w:tr>
      <w:tr>
        <w:trPr>
          <w:trHeight w:val="275"/>
        </w:trPr>
        <w:tc>
          <w:tcPr>
            <w:tcW w:w="3740" w:type="dxa"/>
            <w:vAlign w:val="bottom"/>
          </w:tcPr>
          <w:p>
            <w:pPr>
              <w:ind w:left="120"/>
              <w:spacing w:after="0"/>
              <w:rPr>
                <w:sz w:val="20"/>
                <w:szCs w:val="20"/>
                <w:color w:val="auto"/>
              </w:rPr>
            </w:pPr>
            <w:r>
              <w:rPr>
                <w:rFonts w:ascii="Arial" w:cs="Arial" w:eastAsia="Arial" w:hAnsi="Arial"/>
                <w:sz w:val="20"/>
                <w:szCs w:val="20"/>
                <w:color w:val="auto"/>
              </w:rPr>
              <w:t>Nacionais</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66</w:t>
            </w:r>
          </w:p>
        </w:tc>
        <w:tc>
          <w:tcPr>
            <w:tcW w:w="3040" w:type="dxa"/>
            <w:vAlign w:val="bottom"/>
          </w:tcPr>
          <w:p>
            <w:pPr>
              <w:ind w:left="120"/>
              <w:spacing w:after="0"/>
              <w:rPr>
                <w:sz w:val="20"/>
                <w:szCs w:val="20"/>
                <w:color w:val="auto"/>
              </w:rPr>
            </w:pPr>
            <w:r>
              <w:rPr>
                <w:rFonts w:ascii="Arial" w:cs="Arial" w:eastAsia="Arial" w:hAnsi="Arial"/>
                <w:sz w:val="20"/>
                <w:szCs w:val="20"/>
                <w:color w:val="auto"/>
              </w:rPr>
              <w:t>43.1%</w:t>
            </w:r>
          </w:p>
        </w:tc>
      </w:tr>
      <w:tr>
        <w:trPr>
          <w:trHeight w:val="239"/>
        </w:trPr>
        <w:tc>
          <w:tcPr>
            <w:tcW w:w="3740" w:type="dxa"/>
            <w:vAlign w:val="bottom"/>
          </w:tcPr>
          <w:p>
            <w:pPr>
              <w:ind w:left="120"/>
              <w:spacing w:after="0"/>
              <w:rPr>
                <w:sz w:val="20"/>
                <w:szCs w:val="20"/>
                <w:color w:val="auto"/>
              </w:rPr>
            </w:pPr>
            <w:r>
              <w:rPr>
                <w:rFonts w:ascii="Arial" w:cs="Arial" w:eastAsia="Arial" w:hAnsi="Arial"/>
                <w:sz w:val="20"/>
                <w:szCs w:val="20"/>
                <w:color w:val="auto"/>
              </w:rPr>
              <w:t>Controle Estrangeiro</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60</w:t>
            </w:r>
          </w:p>
        </w:tc>
        <w:tc>
          <w:tcPr>
            <w:tcW w:w="3040" w:type="dxa"/>
            <w:vAlign w:val="bottom"/>
          </w:tcPr>
          <w:p>
            <w:pPr>
              <w:ind w:left="120"/>
              <w:spacing w:after="0"/>
              <w:rPr>
                <w:sz w:val="20"/>
                <w:szCs w:val="20"/>
                <w:color w:val="auto"/>
              </w:rPr>
            </w:pPr>
            <w:r>
              <w:rPr>
                <w:rFonts w:ascii="Arial" w:cs="Arial" w:eastAsia="Arial" w:hAnsi="Arial"/>
                <w:sz w:val="20"/>
                <w:szCs w:val="20"/>
                <w:color w:val="auto"/>
              </w:rPr>
              <w:t>39.2%</w:t>
            </w:r>
          </w:p>
        </w:tc>
      </w:tr>
      <w:tr>
        <w:trPr>
          <w:trHeight w:val="239"/>
        </w:trPr>
        <w:tc>
          <w:tcPr>
            <w:tcW w:w="3740" w:type="dxa"/>
            <w:vAlign w:val="bottom"/>
          </w:tcPr>
          <w:p>
            <w:pPr>
              <w:ind w:left="120"/>
              <w:spacing w:after="0"/>
              <w:rPr>
                <w:sz w:val="20"/>
                <w:szCs w:val="20"/>
                <w:color w:val="auto"/>
              </w:rPr>
            </w:pPr>
            <w:r>
              <w:rPr>
                <w:rFonts w:ascii="Arial" w:cs="Arial" w:eastAsia="Arial" w:hAnsi="Arial"/>
                <w:sz w:val="20"/>
                <w:szCs w:val="20"/>
                <w:color w:val="auto"/>
              </w:rPr>
              <w:t>Nacionais com Participação</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12</w:t>
            </w:r>
          </w:p>
        </w:tc>
        <w:tc>
          <w:tcPr>
            <w:tcW w:w="3040" w:type="dxa"/>
            <w:vAlign w:val="bottom"/>
          </w:tcPr>
          <w:p>
            <w:pPr>
              <w:ind w:left="120"/>
              <w:spacing w:after="0"/>
              <w:rPr>
                <w:sz w:val="20"/>
                <w:szCs w:val="20"/>
                <w:color w:val="auto"/>
              </w:rPr>
            </w:pPr>
            <w:r>
              <w:rPr>
                <w:rFonts w:ascii="Arial" w:cs="Arial" w:eastAsia="Arial" w:hAnsi="Arial"/>
                <w:sz w:val="20"/>
                <w:szCs w:val="20"/>
                <w:color w:val="auto"/>
              </w:rPr>
              <w:t>7.8%</w:t>
            </w:r>
          </w:p>
        </w:tc>
      </w:tr>
      <w:tr>
        <w:trPr>
          <w:trHeight w:val="212"/>
        </w:trPr>
        <w:tc>
          <w:tcPr>
            <w:tcW w:w="3740" w:type="dxa"/>
            <w:vAlign w:val="bottom"/>
          </w:tcPr>
          <w:p>
            <w:pPr>
              <w:ind w:left="120"/>
              <w:spacing w:after="0" w:line="211" w:lineRule="exact"/>
              <w:rPr>
                <w:sz w:val="20"/>
                <w:szCs w:val="20"/>
                <w:color w:val="auto"/>
              </w:rPr>
            </w:pPr>
            <w:r>
              <w:rPr>
                <w:rFonts w:ascii="Arial" w:cs="Arial" w:eastAsia="Arial" w:hAnsi="Arial"/>
                <w:sz w:val="20"/>
                <w:szCs w:val="20"/>
                <w:color w:val="auto"/>
              </w:rPr>
              <w:t>Estrangeira</w:t>
            </w:r>
          </w:p>
        </w:tc>
        <w:tc>
          <w:tcPr>
            <w:tcW w:w="2300" w:type="dxa"/>
            <w:vAlign w:val="bottom"/>
          </w:tcPr>
          <w:p>
            <w:pPr>
              <w:spacing w:after="0"/>
              <w:rPr>
                <w:sz w:val="18"/>
                <w:szCs w:val="18"/>
                <w:color w:val="auto"/>
              </w:rPr>
            </w:pPr>
          </w:p>
        </w:tc>
        <w:tc>
          <w:tcPr>
            <w:tcW w:w="3040" w:type="dxa"/>
            <w:vAlign w:val="bottom"/>
          </w:tcPr>
          <w:p>
            <w:pPr>
              <w:spacing w:after="0"/>
              <w:rPr>
                <w:sz w:val="18"/>
                <w:szCs w:val="18"/>
                <w:color w:val="auto"/>
              </w:rPr>
            </w:pPr>
          </w:p>
        </w:tc>
      </w:tr>
      <w:tr>
        <w:trPr>
          <w:trHeight w:val="239"/>
        </w:trPr>
        <w:tc>
          <w:tcPr>
            <w:tcW w:w="3740" w:type="dxa"/>
            <w:vAlign w:val="bottom"/>
          </w:tcPr>
          <w:p>
            <w:pPr>
              <w:ind w:left="120"/>
              <w:spacing w:after="0"/>
              <w:rPr>
                <w:sz w:val="20"/>
                <w:szCs w:val="20"/>
                <w:color w:val="auto"/>
              </w:rPr>
            </w:pPr>
            <w:r>
              <w:rPr>
                <w:rFonts w:ascii="Arial" w:cs="Arial" w:eastAsia="Arial" w:hAnsi="Arial"/>
                <w:sz w:val="20"/>
                <w:szCs w:val="20"/>
                <w:color w:val="auto"/>
              </w:rPr>
              <w:t>Públicos</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10</w:t>
            </w:r>
          </w:p>
        </w:tc>
        <w:tc>
          <w:tcPr>
            <w:tcW w:w="3040" w:type="dxa"/>
            <w:vAlign w:val="bottom"/>
          </w:tcPr>
          <w:p>
            <w:pPr>
              <w:ind w:left="120"/>
              <w:spacing w:after="0"/>
              <w:rPr>
                <w:sz w:val="20"/>
                <w:szCs w:val="20"/>
                <w:color w:val="auto"/>
              </w:rPr>
            </w:pPr>
            <w:r>
              <w:rPr>
                <w:rFonts w:ascii="Arial" w:cs="Arial" w:eastAsia="Arial" w:hAnsi="Arial"/>
                <w:sz w:val="20"/>
                <w:szCs w:val="20"/>
                <w:color w:val="auto"/>
              </w:rPr>
              <w:t>6.5%</w:t>
            </w:r>
          </w:p>
        </w:tc>
      </w:tr>
      <w:tr>
        <w:trPr>
          <w:trHeight w:val="246"/>
        </w:trPr>
        <w:tc>
          <w:tcPr>
            <w:tcW w:w="3740" w:type="dxa"/>
            <w:vAlign w:val="bottom"/>
          </w:tcPr>
          <w:p>
            <w:pPr>
              <w:ind w:left="120"/>
              <w:spacing w:after="0"/>
              <w:rPr>
                <w:sz w:val="20"/>
                <w:szCs w:val="20"/>
                <w:color w:val="auto"/>
              </w:rPr>
            </w:pPr>
            <w:r>
              <w:rPr>
                <w:rFonts w:ascii="Arial" w:cs="Arial" w:eastAsia="Arial" w:hAnsi="Arial"/>
                <w:sz w:val="20"/>
                <w:szCs w:val="20"/>
                <w:color w:val="auto"/>
              </w:rPr>
              <w:t>Estrangeiros</w:t>
            </w:r>
          </w:p>
        </w:tc>
        <w:tc>
          <w:tcPr>
            <w:tcW w:w="2300" w:type="dxa"/>
            <w:vAlign w:val="bottom"/>
          </w:tcPr>
          <w:p>
            <w:pPr>
              <w:jc w:val="right"/>
              <w:ind w:right="20"/>
              <w:spacing w:after="0"/>
              <w:rPr>
                <w:sz w:val="20"/>
                <w:szCs w:val="20"/>
                <w:color w:val="auto"/>
              </w:rPr>
            </w:pPr>
            <w:r>
              <w:rPr>
                <w:rFonts w:ascii="Arial" w:cs="Arial" w:eastAsia="Arial" w:hAnsi="Arial"/>
                <w:sz w:val="20"/>
                <w:szCs w:val="20"/>
                <w:color w:val="auto"/>
              </w:rPr>
              <w:t>5</w:t>
            </w:r>
          </w:p>
        </w:tc>
        <w:tc>
          <w:tcPr>
            <w:tcW w:w="3040" w:type="dxa"/>
            <w:vAlign w:val="bottom"/>
          </w:tcPr>
          <w:p>
            <w:pPr>
              <w:ind w:left="120"/>
              <w:spacing w:after="0"/>
              <w:rPr>
                <w:sz w:val="20"/>
                <w:szCs w:val="20"/>
                <w:color w:val="auto"/>
              </w:rPr>
            </w:pPr>
            <w:r>
              <w:rPr>
                <w:rFonts w:ascii="Arial" w:cs="Arial" w:eastAsia="Arial" w:hAnsi="Arial"/>
                <w:sz w:val="20"/>
                <w:szCs w:val="20"/>
                <w:color w:val="auto"/>
              </w:rPr>
              <w:t>3.3%</w:t>
            </w:r>
          </w:p>
        </w:tc>
      </w:tr>
      <w:tr>
        <w:trPr>
          <w:trHeight w:val="57"/>
        </w:trPr>
        <w:tc>
          <w:tcPr>
            <w:tcW w:w="3740" w:type="dxa"/>
            <w:vAlign w:val="bottom"/>
            <w:tcBorders>
              <w:bottom w:val="single" w:sz="8" w:color="auto"/>
            </w:tcBorders>
          </w:tcPr>
          <w:p>
            <w:pPr>
              <w:spacing w:after="0"/>
              <w:rPr>
                <w:sz w:val="4"/>
                <w:szCs w:val="4"/>
                <w:color w:val="auto"/>
              </w:rPr>
            </w:pPr>
          </w:p>
        </w:tc>
        <w:tc>
          <w:tcPr>
            <w:tcW w:w="2300" w:type="dxa"/>
            <w:vAlign w:val="bottom"/>
            <w:tcBorders>
              <w:bottom w:val="single" w:sz="8" w:color="auto"/>
            </w:tcBorders>
          </w:tcPr>
          <w:p>
            <w:pPr>
              <w:spacing w:after="0"/>
              <w:rPr>
                <w:sz w:val="4"/>
                <w:szCs w:val="4"/>
                <w:color w:val="auto"/>
              </w:rPr>
            </w:pPr>
          </w:p>
        </w:tc>
        <w:tc>
          <w:tcPr>
            <w:tcW w:w="3040" w:type="dxa"/>
            <w:vAlign w:val="bottom"/>
            <w:tcBorders>
              <w:bottom w:val="single" w:sz="8" w:color="auto"/>
            </w:tcBorders>
          </w:tcPr>
          <w:p>
            <w:pPr>
              <w:spacing w:after="0"/>
              <w:rPr>
                <w:sz w:val="4"/>
                <w:szCs w:val="4"/>
                <w:color w:val="auto"/>
              </w:rPr>
            </w:pPr>
          </w:p>
        </w:tc>
      </w:tr>
    </w:tbl>
    <w:p>
      <w:pPr>
        <w:spacing w:after="0" w:line="52"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Desenvolvida pelo autor,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right="60"/>
        <w:spacing w:after="0" w:line="319" w:lineRule="auto"/>
        <w:rPr>
          <w:sz w:val="20"/>
          <w:szCs w:val="20"/>
          <w:color w:val="auto"/>
        </w:rPr>
      </w:pPr>
      <w:r>
        <w:rPr>
          <w:rFonts w:ascii="Arial" w:cs="Arial" w:eastAsia="Arial" w:hAnsi="Arial"/>
          <w:sz w:val="24"/>
          <w:szCs w:val="24"/>
          <w:color w:val="auto"/>
        </w:rPr>
        <w:t>gráfica, setorial e de produtos financeiros. Porém os possíveis efeitos da concentração dependem de uma série de condições, principalmente em torno da eficiência e do nível de concorrência no mercado (CAMARGO, 2009).</w:t>
      </w:r>
    </w:p>
    <w:p>
      <w:pPr>
        <w:spacing w:after="0" w:line="95" w:lineRule="exact"/>
        <w:rPr>
          <w:sz w:val="20"/>
          <w:szCs w:val="20"/>
          <w:color w:val="auto"/>
        </w:rPr>
      </w:pPr>
    </w:p>
    <w:p>
      <w:pPr>
        <w:jc w:val="both"/>
        <w:ind w:left="260" w:firstLine="850"/>
        <w:spacing w:after="0" w:line="317" w:lineRule="auto"/>
        <w:rPr>
          <w:sz w:val="20"/>
          <w:szCs w:val="20"/>
          <w:color w:val="auto"/>
        </w:rPr>
      </w:pPr>
      <w:r>
        <w:rPr>
          <w:rFonts w:ascii="Arial" w:cs="Arial" w:eastAsia="Arial" w:hAnsi="Arial"/>
          <w:sz w:val="24"/>
          <w:szCs w:val="24"/>
          <w:color w:val="auto"/>
        </w:rPr>
        <w:t>O aumento da participação estrangeira no setor bancário brasileiro durante a década de 1990, evidenciado por Camargo (2009) pode ser observado na Figura 3. Esse aumento ocorreu principalmente através do controle acionário, com elevação acentuada na segunda metade da década de 1990 até o início da década de 2000.</w:t>
      </w:r>
    </w:p>
    <w:p>
      <w:pPr>
        <w:sectPr>
          <w:pgSz w:w="11900" w:h="16838" w:orient="portrait"/>
          <w:cols w:equalWidth="0" w:num="1">
            <w:col w:w="9380"/>
          </w:cols>
          <w:pgMar w:left="1440" w:top="991" w:right="1086" w:bottom="680" w:gutter="0" w:footer="0" w:header="0"/>
          <w:type w:val="continuous"/>
        </w:sectPr>
      </w:pPr>
    </w:p>
    <w:p>
      <w:pPr>
        <w:ind w:left="9060"/>
        <w:spacing w:after="0"/>
        <w:rPr>
          <w:sz w:val="20"/>
          <w:szCs w:val="20"/>
          <w:color w:val="auto"/>
        </w:rPr>
      </w:pPr>
      <w:r>
        <w:rPr>
          <w:rFonts w:ascii="Arial" w:cs="Arial" w:eastAsia="Arial" w:hAnsi="Arial"/>
          <w:sz w:val="24"/>
          <w:szCs w:val="24"/>
          <w:color w:val="auto"/>
        </w:rPr>
        <w:t>15</w:t>
      </w:r>
    </w:p>
    <w:p>
      <w:pPr>
        <w:spacing w:after="0" w:line="200" w:lineRule="exact"/>
        <w:rPr>
          <w:sz w:val="20"/>
          <w:szCs w:val="20"/>
          <w:color w:val="auto"/>
        </w:rPr>
      </w:pPr>
    </w:p>
    <w:p>
      <w:pPr>
        <w:spacing w:after="0" w:line="215" w:lineRule="exact"/>
        <w:rPr>
          <w:sz w:val="20"/>
          <w:szCs w:val="20"/>
          <w:color w:val="auto"/>
        </w:rPr>
      </w:pPr>
    </w:p>
    <w:p>
      <w:pPr>
        <w:ind w:left="1080"/>
        <w:spacing w:after="0"/>
        <w:rPr>
          <w:sz w:val="20"/>
          <w:szCs w:val="20"/>
          <w:color w:val="auto"/>
        </w:rPr>
      </w:pPr>
      <w:r>
        <w:rPr>
          <w:rFonts w:ascii="Arial" w:cs="Arial" w:eastAsia="Arial" w:hAnsi="Arial"/>
          <w:sz w:val="22"/>
          <w:szCs w:val="22"/>
          <w:color w:val="auto"/>
        </w:rPr>
        <w:t>Figura 3 – Evolução de origem de capital das instituições bancárias no Brasil</w:t>
      </w:r>
    </w:p>
    <w:p>
      <w:pPr>
        <w:spacing w:after="0" w:line="200" w:lineRule="exact"/>
        <w:rPr>
          <w:sz w:val="20"/>
          <w:szCs w:val="20"/>
          <w:color w:val="auto"/>
        </w:rPr>
      </w:pPr>
    </w:p>
    <w:p>
      <w:pPr>
        <w:spacing w:after="0" w:line="261" w:lineRule="exact"/>
        <w:rPr>
          <w:sz w:val="20"/>
          <w:szCs w:val="20"/>
          <w:color w:val="auto"/>
        </w:rPr>
      </w:pPr>
    </w:p>
    <w:tbl>
      <w:tblPr>
        <w:tblLayout w:type="fixed"/>
        <w:tblInd w:w="260" w:type="dxa"/>
        <w:tblCellMar>
          <w:top w:w="0" w:type="dxa"/>
          <w:left w:w="0" w:type="dxa"/>
          <w:bottom w:w="0" w:type="dxa"/>
          <w:right w:w="0" w:type="dxa"/>
        </w:tblCellMar>
      </w:tblPr>
      <w:tr>
        <w:trPr>
          <w:trHeight w:val="199"/>
        </w:trPr>
        <w:tc>
          <w:tcPr>
            <w:tcW w:w="800" w:type="dxa"/>
            <w:vAlign w:val="bottom"/>
          </w:tcPr>
          <w:p>
            <w:pPr>
              <w:jc w:val="right"/>
              <w:ind w:right="46"/>
              <w:spacing w:after="0"/>
              <w:rPr>
                <w:sz w:val="20"/>
                <w:szCs w:val="20"/>
                <w:color w:val="auto"/>
              </w:rPr>
            </w:pPr>
            <w:r>
              <w:rPr>
                <w:rFonts w:ascii="Helvetica" w:cs="Helvetica" w:eastAsia="Helvetica" w:hAnsi="Helvetica"/>
                <w:sz w:val="17"/>
                <w:szCs w:val="17"/>
                <w:color w:val="4D4D4D"/>
              </w:rPr>
              <w:t>150</w:t>
            </w:r>
          </w:p>
        </w:tc>
        <w:tc>
          <w:tcPr>
            <w:tcW w:w="2120" w:type="dxa"/>
            <w:vAlign w:val="bottom"/>
          </w:tcPr>
          <w:p>
            <w:pPr>
              <w:spacing w:after="0"/>
              <w:rPr>
                <w:sz w:val="17"/>
                <w:szCs w:val="17"/>
                <w:color w:val="auto"/>
              </w:rPr>
            </w:pPr>
          </w:p>
        </w:tc>
        <w:tc>
          <w:tcPr>
            <w:tcW w:w="1420" w:type="dxa"/>
            <w:vAlign w:val="bottom"/>
          </w:tcPr>
          <w:p>
            <w:pPr>
              <w:spacing w:after="0"/>
              <w:rPr>
                <w:sz w:val="17"/>
                <w:szCs w:val="17"/>
                <w:color w:val="auto"/>
              </w:rPr>
            </w:pPr>
          </w:p>
        </w:tc>
        <w:tc>
          <w:tcPr>
            <w:tcW w:w="1220" w:type="dxa"/>
            <w:vAlign w:val="bottom"/>
          </w:tcPr>
          <w:p>
            <w:pPr>
              <w:spacing w:after="0"/>
              <w:rPr>
                <w:sz w:val="17"/>
                <w:szCs w:val="17"/>
                <w:color w:val="auto"/>
              </w:rPr>
            </w:pPr>
          </w:p>
        </w:tc>
        <w:tc>
          <w:tcPr>
            <w:tcW w:w="3060" w:type="dxa"/>
            <w:vAlign w:val="bottom"/>
          </w:tcPr>
          <w:p>
            <w:pPr>
              <w:spacing w:after="0"/>
              <w:rPr>
                <w:sz w:val="17"/>
                <w:szCs w:val="17"/>
                <w:color w:val="auto"/>
              </w:rPr>
            </w:pPr>
          </w:p>
        </w:tc>
        <w:tc>
          <w:tcPr>
            <w:tcW w:w="460" w:type="dxa"/>
            <w:vAlign w:val="bottom"/>
          </w:tcPr>
          <w:p>
            <w:pPr>
              <w:spacing w:after="0"/>
              <w:rPr>
                <w:sz w:val="17"/>
                <w:szCs w:val="17"/>
                <w:color w:val="auto"/>
              </w:rPr>
            </w:pPr>
          </w:p>
        </w:tc>
      </w:tr>
      <w:tr>
        <w:trPr>
          <w:trHeight w:val="1521"/>
        </w:trPr>
        <w:tc>
          <w:tcPr>
            <w:tcW w:w="800" w:type="dxa"/>
            <w:vAlign w:val="bottom"/>
          </w:tcPr>
          <w:p>
            <w:pPr>
              <w:jc w:val="right"/>
              <w:ind w:right="46"/>
              <w:spacing w:after="0"/>
              <w:rPr>
                <w:sz w:val="20"/>
                <w:szCs w:val="20"/>
                <w:color w:val="auto"/>
              </w:rPr>
            </w:pPr>
            <w:r>
              <w:rPr>
                <w:rFonts w:ascii="Helvetica" w:cs="Helvetica" w:eastAsia="Helvetica" w:hAnsi="Helvetica"/>
                <w:sz w:val="17"/>
                <w:szCs w:val="17"/>
                <w:color w:val="4D4D4D"/>
              </w:rPr>
              <w:t>100</w:t>
            </w:r>
          </w:p>
        </w:tc>
        <w:tc>
          <w:tcPr>
            <w:tcW w:w="212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06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1257"/>
        </w:trPr>
        <w:tc>
          <w:tcPr>
            <w:tcW w:w="800" w:type="dxa"/>
            <w:vAlign w:val="bottom"/>
            <w:textDirection w:val="btLr"/>
          </w:tcPr>
          <w:p>
            <w:pPr>
              <w:ind w:right="399"/>
              <w:spacing w:after="0"/>
              <w:rPr>
                <w:sz w:val="20"/>
                <w:szCs w:val="20"/>
                <w:color w:val="auto"/>
              </w:rPr>
            </w:pPr>
            <w:r>
              <w:rPr>
                <w:rFonts w:ascii="Helvetica" w:cs="Helvetica" w:eastAsia="Helvetica" w:hAnsi="Helvetica"/>
                <w:sz w:val="21"/>
                <w:szCs w:val="21"/>
                <w:color w:val="auto"/>
              </w:rPr>
              <w:t>Quantidade</w:t>
            </w:r>
          </w:p>
        </w:tc>
        <w:tc>
          <w:tcPr>
            <w:tcW w:w="212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06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263"/>
        </w:trPr>
        <w:tc>
          <w:tcPr>
            <w:tcW w:w="800" w:type="dxa"/>
            <w:vAlign w:val="bottom"/>
          </w:tcPr>
          <w:p>
            <w:pPr>
              <w:jc w:val="right"/>
              <w:ind w:right="46"/>
              <w:spacing w:after="0"/>
              <w:rPr>
                <w:sz w:val="20"/>
                <w:szCs w:val="20"/>
                <w:color w:val="auto"/>
              </w:rPr>
            </w:pPr>
            <w:r>
              <w:rPr>
                <w:rFonts w:ascii="Helvetica" w:cs="Helvetica" w:eastAsia="Helvetica" w:hAnsi="Helvetica"/>
                <w:sz w:val="17"/>
                <w:szCs w:val="17"/>
                <w:color w:val="4D4D4D"/>
              </w:rPr>
              <w:t>50</w:t>
            </w:r>
          </w:p>
        </w:tc>
        <w:tc>
          <w:tcPr>
            <w:tcW w:w="2120" w:type="dxa"/>
            <w:vAlign w:val="bottom"/>
          </w:tcPr>
          <w:p>
            <w:pPr>
              <w:spacing w:after="0"/>
              <w:rPr>
                <w:sz w:val="22"/>
                <w:szCs w:val="22"/>
                <w:color w:val="auto"/>
              </w:rPr>
            </w:pPr>
          </w:p>
        </w:tc>
        <w:tc>
          <w:tcPr>
            <w:tcW w:w="1420" w:type="dxa"/>
            <w:vAlign w:val="bottom"/>
          </w:tcPr>
          <w:p>
            <w:pPr>
              <w:spacing w:after="0"/>
              <w:rPr>
                <w:sz w:val="22"/>
                <w:szCs w:val="22"/>
                <w:color w:val="auto"/>
              </w:rPr>
            </w:pPr>
          </w:p>
        </w:tc>
        <w:tc>
          <w:tcPr>
            <w:tcW w:w="1220" w:type="dxa"/>
            <w:vAlign w:val="bottom"/>
          </w:tcPr>
          <w:p>
            <w:pPr>
              <w:spacing w:after="0"/>
              <w:rPr>
                <w:sz w:val="22"/>
                <w:szCs w:val="22"/>
                <w:color w:val="auto"/>
              </w:rPr>
            </w:pPr>
          </w:p>
        </w:tc>
        <w:tc>
          <w:tcPr>
            <w:tcW w:w="3060" w:type="dxa"/>
            <w:vAlign w:val="bottom"/>
          </w:tcPr>
          <w:p>
            <w:pPr>
              <w:spacing w:after="0"/>
              <w:rPr>
                <w:sz w:val="22"/>
                <w:szCs w:val="22"/>
                <w:color w:val="auto"/>
              </w:rPr>
            </w:pPr>
          </w:p>
        </w:tc>
        <w:tc>
          <w:tcPr>
            <w:tcW w:w="460" w:type="dxa"/>
            <w:vAlign w:val="bottom"/>
          </w:tcPr>
          <w:p>
            <w:pPr>
              <w:spacing w:after="0"/>
              <w:rPr>
                <w:sz w:val="22"/>
                <w:szCs w:val="22"/>
                <w:color w:val="auto"/>
              </w:rPr>
            </w:pPr>
          </w:p>
        </w:tc>
      </w:tr>
      <w:tr>
        <w:trPr>
          <w:trHeight w:val="1521"/>
        </w:trPr>
        <w:tc>
          <w:tcPr>
            <w:tcW w:w="800" w:type="dxa"/>
            <w:vAlign w:val="bottom"/>
          </w:tcPr>
          <w:p>
            <w:pPr>
              <w:jc w:val="right"/>
              <w:ind w:right="46"/>
              <w:spacing w:after="0"/>
              <w:rPr>
                <w:sz w:val="20"/>
                <w:szCs w:val="20"/>
                <w:color w:val="auto"/>
              </w:rPr>
            </w:pPr>
            <w:r>
              <w:rPr>
                <w:rFonts w:ascii="Helvetica" w:cs="Helvetica" w:eastAsia="Helvetica" w:hAnsi="Helvetica"/>
                <w:sz w:val="17"/>
                <w:szCs w:val="17"/>
                <w:color w:val="4D4D4D"/>
              </w:rPr>
              <w:t>0</w:t>
            </w:r>
          </w:p>
        </w:tc>
        <w:tc>
          <w:tcPr>
            <w:tcW w:w="212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220" w:type="dxa"/>
            <w:vAlign w:val="bottom"/>
          </w:tcPr>
          <w:p>
            <w:pPr>
              <w:spacing w:after="0"/>
              <w:rPr>
                <w:sz w:val="24"/>
                <w:szCs w:val="24"/>
                <w:color w:val="auto"/>
              </w:rPr>
            </w:pPr>
          </w:p>
        </w:tc>
        <w:tc>
          <w:tcPr>
            <w:tcW w:w="3060" w:type="dxa"/>
            <w:vAlign w:val="bottom"/>
          </w:tcPr>
          <w:p>
            <w:pPr>
              <w:spacing w:after="0"/>
              <w:rPr>
                <w:sz w:val="24"/>
                <w:szCs w:val="24"/>
                <w:color w:val="auto"/>
              </w:rPr>
            </w:pPr>
          </w:p>
        </w:tc>
        <w:tc>
          <w:tcPr>
            <w:tcW w:w="460" w:type="dxa"/>
            <w:vAlign w:val="bottom"/>
          </w:tcPr>
          <w:p>
            <w:pPr>
              <w:spacing w:after="0"/>
              <w:rPr>
                <w:sz w:val="24"/>
                <w:szCs w:val="24"/>
                <w:color w:val="auto"/>
              </w:rPr>
            </w:pPr>
          </w:p>
        </w:tc>
      </w:tr>
      <w:tr>
        <w:trPr>
          <w:trHeight w:val="315"/>
        </w:trPr>
        <w:tc>
          <w:tcPr>
            <w:tcW w:w="800" w:type="dxa"/>
            <w:vAlign w:val="bottom"/>
          </w:tcPr>
          <w:p>
            <w:pPr>
              <w:spacing w:after="0"/>
              <w:rPr>
                <w:sz w:val="24"/>
                <w:szCs w:val="24"/>
                <w:color w:val="auto"/>
              </w:rPr>
            </w:pPr>
          </w:p>
        </w:tc>
        <w:tc>
          <w:tcPr>
            <w:tcW w:w="2120" w:type="dxa"/>
            <w:vAlign w:val="bottom"/>
          </w:tcPr>
          <w:p>
            <w:pPr>
              <w:jc w:val="right"/>
              <w:ind w:right="1517"/>
              <w:spacing w:after="0"/>
              <w:rPr>
                <w:sz w:val="20"/>
                <w:szCs w:val="20"/>
                <w:color w:val="auto"/>
              </w:rPr>
            </w:pPr>
            <w:r>
              <w:rPr>
                <w:rFonts w:ascii="Helvetica" w:cs="Helvetica" w:eastAsia="Helvetica" w:hAnsi="Helvetica"/>
                <w:sz w:val="17"/>
                <w:szCs w:val="17"/>
                <w:color w:val="4D4D4D"/>
              </w:rPr>
              <w:t>1990</w:t>
            </w:r>
          </w:p>
        </w:tc>
        <w:tc>
          <w:tcPr>
            <w:tcW w:w="1420" w:type="dxa"/>
            <w:vAlign w:val="bottom"/>
          </w:tcPr>
          <w:p>
            <w:pPr>
              <w:jc w:val="right"/>
              <w:ind w:right="357"/>
              <w:spacing w:after="0"/>
              <w:rPr>
                <w:sz w:val="20"/>
                <w:szCs w:val="20"/>
                <w:color w:val="auto"/>
              </w:rPr>
            </w:pPr>
            <w:r>
              <w:rPr>
                <w:rFonts w:ascii="Helvetica" w:cs="Helvetica" w:eastAsia="Helvetica" w:hAnsi="Helvetica"/>
                <w:sz w:val="17"/>
                <w:szCs w:val="17"/>
                <w:color w:val="4D4D4D"/>
              </w:rPr>
              <w:t>2000</w:t>
            </w:r>
          </w:p>
        </w:tc>
        <w:tc>
          <w:tcPr>
            <w:tcW w:w="1220" w:type="dxa"/>
            <w:vAlign w:val="bottom"/>
          </w:tcPr>
          <w:p>
            <w:pPr>
              <w:spacing w:after="0"/>
              <w:rPr>
                <w:sz w:val="24"/>
                <w:szCs w:val="24"/>
                <w:color w:val="auto"/>
              </w:rPr>
            </w:pPr>
          </w:p>
        </w:tc>
        <w:tc>
          <w:tcPr>
            <w:tcW w:w="3060" w:type="dxa"/>
            <w:vAlign w:val="bottom"/>
          </w:tcPr>
          <w:p>
            <w:pPr>
              <w:jc w:val="right"/>
              <w:ind w:right="2057"/>
              <w:spacing w:after="0"/>
              <w:rPr>
                <w:sz w:val="20"/>
                <w:szCs w:val="20"/>
                <w:color w:val="auto"/>
              </w:rPr>
            </w:pPr>
            <w:r>
              <w:rPr>
                <w:rFonts w:ascii="Helvetica" w:cs="Helvetica" w:eastAsia="Helvetica" w:hAnsi="Helvetica"/>
                <w:sz w:val="17"/>
                <w:szCs w:val="17"/>
                <w:color w:val="4D4D4D"/>
              </w:rPr>
              <w:t>2010</w:t>
            </w:r>
          </w:p>
        </w:tc>
        <w:tc>
          <w:tcPr>
            <w:tcW w:w="460" w:type="dxa"/>
            <w:vAlign w:val="bottom"/>
          </w:tcPr>
          <w:p>
            <w:pPr>
              <w:jc w:val="right"/>
              <w:spacing w:after="0"/>
              <w:rPr>
                <w:sz w:val="20"/>
                <w:szCs w:val="20"/>
                <w:color w:val="auto"/>
              </w:rPr>
            </w:pPr>
            <w:r>
              <w:rPr>
                <w:rFonts w:ascii="Helvetica" w:cs="Helvetica" w:eastAsia="Helvetica" w:hAnsi="Helvetica"/>
                <w:sz w:val="17"/>
                <w:szCs w:val="17"/>
                <w:color w:val="4D4D4D"/>
              </w:rPr>
              <w:t>2020</w:t>
            </w:r>
          </w:p>
        </w:tc>
      </w:tr>
      <w:tr>
        <w:trPr>
          <w:trHeight w:val="255"/>
        </w:trPr>
        <w:tc>
          <w:tcPr>
            <w:tcW w:w="800" w:type="dxa"/>
            <w:vAlign w:val="bottom"/>
          </w:tcPr>
          <w:p>
            <w:pPr>
              <w:spacing w:after="0"/>
              <w:rPr>
                <w:sz w:val="22"/>
                <w:szCs w:val="22"/>
                <w:color w:val="auto"/>
              </w:rPr>
            </w:pPr>
          </w:p>
        </w:tc>
        <w:tc>
          <w:tcPr>
            <w:tcW w:w="2120" w:type="dxa"/>
            <w:vAlign w:val="bottom"/>
          </w:tcPr>
          <w:p>
            <w:pPr>
              <w:spacing w:after="0"/>
              <w:rPr>
                <w:sz w:val="22"/>
                <w:szCs w:val="22"/>
                <w:color w:val="auto"/>
              </w:rPr>
            </w:pPr>
          </w:p>
        </w:tc>
        <w:tc>
          <w:tcPr>
            <w:tcW w:w="1420" w:type="dxa"/>
            <w:vAlign w:val="bottom"/>
          </w:tcPr>
          <w:p>
            <w:pPr>
              <w:spacing w:after="0"/>
              <w:rPr>
                <w:sz w:val="22"/>
                <w:szCs w:val="22"/>
                <w:color w:val="auto"/>
              </w:rPr>
            </w:pPr>
          </w:p>
        </w:tc>
        <w:tc>
          <w:tcPr>
            <w:tcW w:w="1220" w:type="dxa"/>
            <w:vAlign w:val="bottom"/>
          </w:tcPr>
          <w:p>
            <w:pPr>
              <w:ind w:left="340"/>
              <w:spacing w:after="0"/>
              <w:rPr>
                <w:sz w:val="20"/>
                <w:szCs w:val="20"/>
                <w:color w:val="auto"/>
              </w:rPr>
            </w:pPr>
            <w:r>
              <w:rPr>
                <w:rFonts w:ascii="Helvetica" w:cs="Helvetica" w:eastAsia="Helvetica" w:hAnsi="Helvetica"/>
                <w:sz w:val="21"/>
                <w:szCs w:val="21"/>
                <w:color w:val="auto"/>
              </w:rPr>
              <w:t>Ano</w:t>
            </w:r>
          </w:p>
        </w:tc>
        <w:tc>
          <w:tcPr>
            <w:tcW w:w="3060" w:type="dxa"/>
            <w:vAlign w:val="bottom"/>
          </w:tcPr>
          <w:p>
            <w:pPr>
              <w:spacing w:after="0"/>
              <w:rPr>
                <w:sz w:val="22"/>
                <w:szCs w:val="22"/>
                <w:color w:val="auto"/>
              </w:rPr>
            </w:pPr>
          </w:p>
        </w:tc>
        <w:tc>
          <w:tcPr>
            <w:tcW w:w="460" w:type="dxa"/>
            <w:vAlign w:val="bottom"/>
          </w:tcPr>
          <w:p>
            <w:pPr>
              <w:spacing w:after="0"/>
              <w:rPr>
                <w:sz w:val="22"/>
                <w:szCs w:val="22"/>
                <w:color w:val="auto"/>
              </w:rPr>
            </w:pPr>
          </w:p>
        </w:tc>
      </w:tr>
      <w:tr>
        <w:trPr>
          <w:trHeight w:val="620"/>
        </w:trPr>
        <w:tc>
          <w:tcPr>
            <w:tcW w:w="800" w:type="dxa"/>
            <w:vAlign w:val="bottom"/>
          </w:tcPr>
          <w:p>
            <w:pPr>
              <w:jc w:val="right"/>
              <w:ind w:right="46"/>
              <w:spacing w:after="0"/>
              <w:rPr>
                <w:sz w:val="20"/>
                <w:szCs w:val="20"/>
                <w:color w:val="auto"/>
              </w:rPr>
            </w:pPr>
            <w:r>
              <w:rPr>
                <w:rFonts w:ascii="Helvetica" w:cs="Helvetica" w:eastAsia="Helvetica" w:hAnsi="Helvetica"/>
                <w:sz w:val="21"/>
                <w:szCs w:val="21"/>
                <w:color w:val="auto"/>
                <w:w w:val="97"/>
              </w:rPr>
              <w:t>Capital</w:t>
            </w:r>
          </w:p>
        </w:tc>
        <w:tc>
          <w:tcPr>
            <w:tcW w:w="2120" w:type="dxa"/>
            <w:vAlign w:val="bottom"/>
          </w:tcPr>
          <w:p>
            <w:pPr>
              <w:jc w:val="right"/>
              <w:ind w:right="197"/>
              <w:spacing w:after="0"/>
              <w:rPr>
                <w:sz w:val="20"/>
                <w:szCs w:val="20"/>
                <w:color w:val="auto"/>
              </w:rPr>
            </w:pPr>
            <w:r>
              <w:rPr>
                <w:rFonts w:ascii="Helvetica" w:cs="Helvetica" w:eastAsia="Helvetica" w:hAnsi="Helvetica"/>
                <w:sz w:val="16"/>
                <w:szCs w:val="16"/>
                <w:color w:val="auto"/>
              </w:rPr>
              <w:t>Controle Estrangeiro</w:t>
            </w:r>
          </w:p>
        </w:tc>
        <w:tc>
          <w:tcPr>
            <w:tcW w:w="1420" w:type="dxa"/>
            <w:vAlign w:val="bottom"/>
          </w:tcPr>
          <w:p>
            <w:pPr>
              <w:jc w:val="right"/>
              <w:ind w:right="197"/>
              <w:spacing w:after="0"/>
              <w:rPr>
                <w:sz w:val="20"/>
                <w:szCs w:val="20"/>
                <w:color w:val="auto"/>
              </w:rPr>
            </w:pPr>
            <w:r>
              <w:rPr>
                <w:rFonts w:ascii="Helvetica" w:cs="Helvetica" w:eastAsia="Helvetica" w:hAnsi="Helvetica"/>
                <w:sz w:val="16"/>
                <w:szCs w:val="16"/>
                <w:color w:val="auto"/>
              </w:rPr>
              <w:t>Estrangeiros</w:t>
            </w:r>
          </w:p>
        </w:tc>
        <w:tc>
          <w:tcPr>
            <w:tcW w:w="1220" w:type="dxa"/>
            <w:vAlign w:val="bottom"/>
          </w:tcPr>
          <w:p>
            <w:pPr>
              <w:ind w:left="260"/>
              <w:spacing w:after="0"/>
              <w:rPr>
                <w:sz w:val="20"/>
                <w:szCs w:val="20"/>
                <w:color w:val="auto"/>
              </w:rPr>
            </w:pPr>
            <w:r>
              <w:rPr>
                <w:rFonts w:ascii="Helvetica" w:cs="Helvetica" w:eastAsia="Helvetica" w:hAnsi="Helvetica"/>
                <w:sz w:val="16"/>
                <w:szCs w:val="16"/>
                <w:color w:val="auto"/>
              </w:rPr>
              <w:t>Nacionais</w:t>
            </w:r>
          </w:p>
        </w:tc>
        <w:tc>
          <w:tcPr>
            <w:tcW w:w="3060" w:type="dxa"/>
            <w:vAlign w:val="bottom"/>
          </w:tcPr>
          <w:p>
            <w:pPr>
              <w:jc w:val="right"/>
              <w:spacing w:after="0"/>
              <w:rPr>
                <w:sz w:val="20"/>
                <w:szCs w:val="20"/>
                <w:color w:val="auto"/>
              </w:rPr>
            </w:pPr>
            <w:r>
              <w:rPr>
                <w:rFonts w:ascii="Helvetica" w:cs="Helvetica" w:eastAsia="Helvetica" w:hAnsi="Helvetica"/>
                <w:sz w:val="16"/>
                <w:szCs w:val="16"/>
                <w:color w:val="auto"/>
              </w:rPr>
              <w:t>Nacionais com Participação Estrangeira</w:t>
            </w:r>
          </w:p>
        </w:tc>
        <w:tc>
          <w:tcPr>
            <w:tcW w:w="4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605155</wp:posOffset>
            </wp:positionH>
            <wp:positionV relativeFrom="paragraph">
              <wp:posOffset>-3757295</wp:posOffset>
            </wp:positionV>
            <wp:extent cx="5260975" cy="307149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extLst>
                    </a:blip>
                    <a:srcRect/>
                    <a:stretch>
                      <a:fillRect/>
                    </a:stretch>
                  </pic:blipFill>
                  <pic:spPr bwMode="auto">
                    <a:xfrm>
                      <a:off x="0" y="0"/>
                      <a:ext cx="5260975" cy="30714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657860</wp:posOffset>
                </wp:positionH>
                <wp:positionV relativeFrom="paragraph">
                  <wp:posOffset>-184785</wp:posOffset>
                </wp:positionV>
                <wp:extent cx="212725" cy="21209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725" cy="212090"/>
                        </a:xfrm>
                        <a:prstGeom prst="rect">
                          <a:avLst/>
                        </a:prstGeom>
                        <a:solidFill>
                          <a:srgbClr val="F2F2F2"/>
                        </a:solidFill>
                      </wps:spPr>
                      <wps:bodyPr/>
                    </wps:wsp>
                  </a:graphicData>
                </a:graphic>
              </wp:anchor>
            </w:drawing>
          </mc:Choice>
          <mc:Fallback>
            <w:pict>
              <v:rect id="Shape 50" o:spid="_x0000_s1075" style="position:absolute;margin-left:51.8pt;margin-top:-14.5499pt;width:16.75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678815</wp:posOffset>
                </wp:positionH>
                <wp:positionV relativeFrom="paragraph">
                  <wp:posOffset>-78740</wp:posOffset>
                </wp:positionV>
                <wp:extent cx="17018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180" cy="4763"/>
                        </a:xfrm>
                        <a:prstGeom prst="line">
                          <a:avLst/>
                        </a:prstGeom>
                        <a:solidFill>
                          <a:srgbClr val="FFFFFF"/>
                        </a:solidFill>
                        <a:ln w="13190">
                          <a:solidFill>
                            <a:srgbClr val="F8766D"/>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5pt,-6.1999pt" to="66.85pt,-6.1999pt" o:allowincell="f" strokecolor="#F8766D" strokeweight="1.0386pt"/>
            </w:pict>
          </mc:Fallback>
        </mc:AlternateContent>
        <mc:AlternateContent>
          <mc:Choice Requires="wps">
            <w:drawing>
              <wp:anchor simplePos="0" relativeHeight="251657728" behindDoc="1" locked="0" layoutInCell="0" allowOverlap="1">
                <wp:simplePos x="0" y="0"/>
                <wp:positionH relativeFrom="column">
                  <wp:posOffset>1909445</wp:posOffset>
                </wp:positionH>
                <wp:positionV relativeFrom="paragraph">
                  <wp:posOffset>-184785</wp:posOffset>
                </wp:positionV>
                <wp:extent cx="212725" cy="21209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725" cy="212090"/>
                        </a:xfrm>
                        <a:prstGeom prst="rect">
                          <a:avLst/>
                        </a:prstGeom>
                        <a:solidFill>
                          <a:srgbClr val="F2F2F2"/>
                        </a:solidFill>
                      </wps:spPr>
                      <wps:bodyPr/>
                    </wps:wsp>
                  </a:graphicData>
                </a:graphic>
              </wp:anchor>
            </w:drawing>
          </mc:Choice>
          <mc:Fallback>
            <w:pict>
              <v:rect id="Shape 52" o:spid="_x0000_s1077" style="position:absolute;margin-left:150.35pt;margin-top:-14.5499pt;width:16.75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1930400</wp:posOffset>
                </wp:positionH>
                <wp:positionV relativeFrom="paragraph">
                  <wp:posOffset>-78740</wp:posOffset>
                </wp:positionV>
                <wp:extent cx="17018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180" cy="4763"/>
                        </a:xfrm>
                        <a:prstGeom prst="line">
                          <a:avLst/>
                        </a:prstGeom>
                        <a:solidFill>
                          <a:srgbClr val="FFFFFF"/>
                        </a:solidFill>
                        <a:ln w="13190">
                          <a:solidFill>
                            <a:srgbClr val="A3A5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2pt,-6.1999pt" to="165.4pt,-6.1999pt" o:allowincell="f" strokecolor="#A3A500" strokeweight="1.0386pt"/>
            </w:pict>
          </mc:Fallback>
        </mc:AlternateContent>
        <mc:AlternateContent>
          <mc:Choice Requires="wps">
            <w:drawing>
              <wp:anchor simplePos="0" relativeHeight="251657728" behindDoc="1" locked="0" layoutInCell="0" allowOverlap="1">
                <wp:simplePos x="0" y="0"/>
                <wp:positionH relativeFrom="column">
                  <wp:posOffset>2809875</wp:posOffset>
                </wp:positionH>
                <wp:positionV relativeFrom="paragraph">
                  <wp:posOffset>-184785</wp:posOffset>
                </wp:positionV>
                <wp:extent cx="213360" cy="21209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360" cy="212090"/>
                        </a:xfrm>
                        <a:prstGeom prst="rect">
                          <a:avLst/>
                        </a:prstGeom>
                        <a:solidFill>
                          <a:srgbClr val="F2F2F2"/>
                        </a:solidFill>
                      </wps:spPr>
                      <wps:bodyPr/>
                    </wps:wsp>
                  </a:graphicData>
                </a:graphic>
              </wp:anchor>
            </w:drawing>
          </mc:Choice>
          <mc:Fallback>
            <w:pict>
              <v:rect id="Shape 54" o:spid="_x0000_s1079" style="position:absolute;margin-left:221.25pt;margin-top:-14.5499pt;width:16.8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2830830</wp:posOffset>
                </wp:positionH>
                <wp:positionV relativeFrom="paragraph">
                  <wp:posOffset>-78740</wp:posOffset>
                </wp:positionV>
                <wp:extent cx="17081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815" cy="4763"/>
                        </a:xfrm>
                        <a:prstGeom prst="line">
                          <a:avLst/>
                        </a:prstGeom>
                        <a:solidFill>
                          <a:srgbClr val="FFFFFF"/>
                        </a:solidFill>
                        <a:ln w="13190">
                          <a:solidFill>
                            <a:srgbClr val="00BF7D"/>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9pt,-6.1999pt" to="236.35pt,-6.1999pt" o:allowincell="f" strokecolor="#00BF7D" strokeweight="1.0386pt"/>
            </w:pict>
          </mc:Fallback>
        </mc:AlternateContent>
        <mc:AlternateContent>
          <mc:Choice Requires="wps">
            <w:drawing>
              <wp:anchor simplePos="0" relativeHeight="251657728" behindDoc="1" locked="0" layoutInCell="0" allowOverlap="1">
                <wp:simplePos x="0" y="0"/>
                <wp:positionH relativeFrom="column">
                  <wp:posOffset>3590925</wp:posOffset>
                </wp:positionH>
                <wp:positionV relativeFrom="paragraph">
                  <wp:posOffset>-184785</wp:posOffset>
                </wp:positionV>
                <wp:extent cx="213360" cy="21209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360" cy="212090"/>
                        </a:xfrm>
                        <a:prstGeom prst="rect">
                          <a:avLst/>
                        </a:prstGeom>
                        <a:solidFill>
                          <a:srgbClr val="F2F2F2"/>
                        </a:solidFill>
                      </wps:spPr>
                      <wps:bodyPr/>
                    </wps:wsp>
                  </a:graphicData>
                </a:graphic>
              </wp:anchor>
            </w:drawing>
          </mc:Choice>
          <mc:Fallback>
            <w:pict>
              <v:rect id="Shape 56" o:spid="_x0000_s1081" style="position:absolute;margin-left:282.75pt;margin-top:-14.5499pt;width:16.8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3611880</wp:posOffset>
                </wp:positionH>
                <wp:positionV relativeFrom="paragraph">
                  <wp:posOffset>-78740</wp:posOffset>
                </wp:positionV>
                <wp:extent cx="17081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815" cy="4763"/>
                        </a:xfrm>
                        <a:prstGeom prst="line">
                          <a:avLst/>
                        </a:prstGeom>
                        <a:solidFill>
                          <a:srgbClr val="FFFFFF"/>
                        </a:solidFill>
                        <a:ln w="13190">
                          <a:solidFill>
                            <a:srgbClr val="00B0F6"/>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4pt,-6.1999pt" to="297.85pt,-6.1999pt" o:allowincell="f" strokecolor="#00B0F6" strokeweight="1.0386pt"/>
            </w:pict>
          </mc:Fallback>
        </mc:AlternateContent>
        <mc:AlternateContent>
          <mc:Choice Requires="wps">
            <w:drawing>
              <wp:anchor simplePos="0" relativeHeight="251657728" behindDoc="1" locked="0" layoutInCell="0" allowOverlap="1">
                <wp:simplePos x="0" y="0"/>
                <wp:positionH relativeFrom="column">
                  <wp:posOffset>5685155</wp:posOffset>
                </wp:positionH>
                <wp:positionV relativeFrom="paragraph">
                  <wp:posOffset>-184785</wp:posOffset>
                </wp:positionV>
                <wp:extent cx="213360" cy="21209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3360" cy="212090"/>
                        </a:xfrm>
                        <a:prstGeom prst="rect">
                          <a:avLst/>
                        </a:prstGeom>
                        <a:solidFill>
                          <a:srgbClr val="F2F2F2"/>
                        </a:solidFill>
                      </wps:spPr>
                      <wps:bodyPr/>
                    </wps:wsp>
                  </a:graphicData>
                </a:graphic>
              </wp:anchor>
            </w:drawing>
          </mc:Choice>
          <mc:Fallback>
            <w:pict>
              <v:rect id="Shape 58" o:spid="_x0000_s1083" style="position:absolute;margin-left:447.65pt;margin-top:-14.5499pt;width:16.8pt;height:16.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5706745</wp:posOffset>
                </wp:positionH>
                <wp:positionV relativeFrom="paragraph">
                  <wp:posOffset>-78740</wp:posOffset>
                </wp:positionV>
                <wp:extent cx="17018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0180" cy="4763"/>
                        </a:xfrm>
                        <a:prstGeom prst="line">
                          <a:avLst/>
                        </a:prstGeom>
                        <a:solidFill>
                          <a:srgbClr val="FFFFFF"/>
                        </a:solidFill>
                        <a:ln w="13190">
                          <a:solidFill>
                            <a:srgbClr val="E76BF3"/>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9.35pt,-6.1999pt" to="462.75pt,-6.1999pt" o:allowincell="f" strokecolor="#E76BF3" strokeweight="1.0386pt"/>
            </w:pict>
          </mc:Fallback>
        </mc:AlternateContent>
      </w:r>
    </w:p>
    <w:p>
      <w:pPr>
        <w:spacing w:after="0" w:line="314" w:lineRule="exact"/>
        <w:rPr>
          <w:sz w:val="20"/>
          <w:szCs w:val="20"/>
          <w:color w:val="auto"/>
        </w:rPr>
      </w:pPr>
    </w:p>
    <w:p>
      <w:pPr>
        <w:ind w:left="202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right="40"/>
        <w:spacing w:after="0" w:line="327" w:lineRule="auto"/>
        <w:rPr>
          <w:sz w:val="20"/>
          <w:szCs w:val="20"/>
          <w:color w:val="auto"/>
        </w:rPr>
      </w:pPr>
      <w:r>
        <w:rPr>
          <w:rFonts w:ascii="Arial" w:cs="Arial" w:eastAsia="Arial" w:hAnsi="Arial"/>
          <w:sz w:val="24"/>
          <w:szCs w:val="24"/>
          <w:color w:val="auto"/>
        </w:rPr>
        <w:t>Ocorrendo redução em instituições nacionais, estrangeiras e nacionais com participação estrangeira.</w:t>
      </w:r>
    </w:p>
    <w:p>
      <w:pPr>
        <w:spacing w:after="0" w:line="85" w:lineRule="exact"/>
        <w:rPr>
          <w:sz w:val="20"/>
          <w:szCs w:val="20"/>
          <w:color w:val="auto"/>
        </w:rPr>
      </w:pPr>
    </w:p>
    <w:p>
      <w:pPr>
        <w:jc w:val="both"/>
        <w:ind w:left="260" w:firstLine="850"/>
        <w:spacing w:after="0" w:line="334" w:lineRule="auto"/>
        <w:rPr>
          <w:sz w:val="20"/>
          <w:szCs w:val="20"/>
          <w:color w:val="auto"/>
        </w:rPr>
      </w:pPr>
      <w:r>
        <w:rPr>
          <w:rFonts w:ascii="Arial" w:cs="Arial" w:eastAsia="Arial" w:hAnsi="Arial"/>
          <w:sz w:val="23"/>
          <w:szCs w:val="23"/>
          <w:color w:val="auto"/>
        </w:rPr>
        <w:t>Durante este período, a inclinação para aplicação massiva em títulos públicos se dava diante a manutenção de elevadas taxas de juros, tornando o crédito para empre-endimentos privados de elevado risco, e consequentemente elevando substancialmente o spread bancário e reduzindo a oferta de crédito (CAMARGO, 2009).</w:t>
      </w:r>
    </w:p>
    <w:p>
      <w:pPr>
        <w:spacing w:after="0" w:line="81" w:lineRule="exact"/>
        <w:rPr>
          <w:sz w:val="20"/>
          <w:szCs w:val="20"/>
          <w:color w:val="auto"/>
        </w:rPr>
      </w:pPr>
    </w:p>
    <w:p>
      <w:pPr>
        <w:jc w:val="both"/>
        <w:ind w:left="260" w:firstLine="856"/>
        <w:spacing w:after="0" w:line="315" w:lineRule="auto"/>
        <w:rPr>
          <w:sz w:val="20"/>
          <w:szCs w:val="20"/>
          <w:color w:val="auto"/>
        </w:rPr>
      </w:pPr>
      <w:r>
        <w:rPr>
          <w:rFonts w:ascii="Arial" w:cs="Arial" w:eastAsia="Arial" w:hAnsi="Arial"/>
          <w:sz w:val="24"/>
          <w:szCs w:val="24"/>
          <w:color w:val="auto"/>
        </w:rPr>
        <w:t>A expectativa com a entrada de instituições estrangeiras era que houvesse ele-vação da concorrência e, consequentemente, redução no spread bancário, aumento da concessão de crédito, melhoria da qualidade e diversificação dos produtos financeiros, avanços em tecnologias, ou seja, uma elevação na eficiência do setor (CAMARGO, 2009).</w:t>
      </w:r>
    </w:p>
    <w:p>
      <w:pPr>
        <w:spacing w:after="0" w:line="101"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 (CAMARGO, 2009).</w:t>
      </w:r>
    </w:p>
    <w:p>
      <w:pPr>
        <w:sectPr>
          <w:pgSz w:w="11900" w:h="16838" w:orient="portrait"/>
          <w:cols w:equalWidth="0" w:num="1">
            <w:col w:w="9360"/>
          </w:cols>
          <w:pgMar w:left="1440" w:top="991" w:right="1106" w:bottom="58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tbl>
      <w:tblPr>
        <w:tblLayout w:type="fixed"/>
        <w:tblInd w:w="221" w:type="dxa"/>
        <w:tblCellMar>
          <w:top w:w="0" w:type="dxa"/>
          <w:left w:w="0" w:type="dxa"/>
          <w:bottom w:w="0" w:type="dxa"/>
          <w:right w:w="0" w:type="dxa"/>
        </w:tblCellMar>
      </w:tblPr>
      <w:tr>
        <w:trPr>
          <w:trHeight w:val="720"/>
        </w:trPr>
        <w:tc>
          <w:tcPr>
            <w:tcW w:w="253" w:type="dxa"/>
            <w:vAlign w:val="bottom"/>
            <w:textDirection w:val="btLr"/>
          </w:tcPr>
          <w:p>
            <w:pPr>
              <w:spacing w:after="0"/>
              <w:rPr>
                <w:sz w:val="20"/>
                <w:szCs w:val="20"/>
                <w:color w:val="auto"/>
              </w:rPr>
            </w:pPr>
            <w:r>
              <w:rPr>
                <w:rFonts w:ascii="Helvetica" w:cs="Helvetica" w:eastAsia="Helvetica" w:hAnsi="Helvetica"/>
                <w:sz w:val="22"/>
                <w:szCs w:val="22"/>
                <w:color w:val="auto"/>
              </w:rPr>
              <w:t>Spread</w:t>
            </w:r>
          </w:p>
        </w:tc>
      </w:tr>
    </w:tbl>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94"/>
        </w:trPr>
        <w:tc>
          <w:tcPr>
            <w:tcW w:w="3580" w:type="dxa"/>
            <w:vAlign w:val="bottom"/>
          </w:tcPr>
          <w:p>
            <w:pPr>
              <w:spacing w:after="0"/>
              <w:rPr>
                <w:sz w:val="24"/>
                <w:szCs w:val="24"/>
                <w:color w:val="auto"/>
              </w:rPr>
            </w:pPr>
          </w:p>
        </w:tc>
        <w:tc>
          <w:tcPr>
            <w:tcW w:w="3800" w:type="dxa"/>
            <w:vAlign w:val="bottom"/>
          </w:tcPr>
          <w:p>
            <w:pPr>
              <w:spacing w:after="0"/>
              <w:rPr>
                <w:sz w:val="24"/>
                <w:szCs w:val="24"/>
                <w:color w:val="auto"/>
              </w:rPr>
            </w:pPr>
          </w:p>
        </w:tc>
        <w:tc>
          <w:tcPr>
            <w:tcW w:w="1440" w:type="dxa"/>
            <w:vAlign w:val="bottom"/>
          </w:tcPr>
          <w:p>
            <w:pPr>
              <w:jc w:val="right"/>
              <w:spacing w:after="0"/>
              <w:rPr>
                <w:sz w:val="20"/>
                <w:szCs w:val="20"/>
                <w:color w:val="auto"/>
              </w:rPr>
            </w:pPr>
            <w:r>
              <w:rPr>
                <w:rFonts w:ascii="Arial" w:cs="Arial" w:eastAsia="Arial" w:hAnsi="Arial"/>
                <w:sz w:val="24"/>
                <w:szCs w:val="24"/>
                <w:color w:val="auto"/>
              </w:rPr>
              <w:t>16</w:t>
            </w:r>
          </w:p>
        </w:tc>
      </w:tr>
      <w:tr>
        <w:trPr>
          <w:trHeight w:val="666"/>
        </w:trPr>
        <w:tc>
          <w:tcPr>
            <w:tcW w:w="7380" w:type="dxa"/>
            <w:vAlign w:val="bottom"/>
            <w:gridSpan w:val="2"/>
          </w:tcPr>
          <w:p>
            <w:pPr>
              <w:jc w:val="right"/>
              <w:ind w:right="471"/>
              <w:spacing w:after="0"/>
              <w:rPr>
                <w:sz w:val="20"/>
                <w:szCs w:val="20"/>
                <w:color w:val="auto"/>
              </w:rPr>
            </w:pPr>
            <w:r>
              <w:rPr>
                <w:rFonts w:ascii="Arial" w:cs="Arial" w:eastAsia="Arial" w:hAnsi="Arial"/>
                <w:sz w:val="22"/>
                <w:szCs w:val="22"/>
                <w:color w:val="auto"/>
              </w:rPr>
              <w:t>Figura 4 – Evolução da relação Crédito/PIB no Brasil</w:t>
            </w:r>
          </w:p>
        </w:tc>
        <w:tc>
          <w:tcPr>
            <w:tcW w:w="1440" w:type="dxa"/>
            <w:vAlign w:val="bottom"/>
          </w:tcPr>
          <w:p>
            <w:pPr>
              <w:spacing w:after="0"/>
              <w:rPr>
                <w:sz w:val="24"/>
                <w:szCs w:val="24"/>
                <w:color w:val="auto"/>
              </w:rPr>
            </w:pPr>
          </w:p>
        </w:tc>
      </w:tr>
      <w:tr>
        <w:trPr>
          <w:trHeight w:val="1569"/>
        </w:trPr>
        <w:tc>
          <w:tcPr>
            <w:tcW w:w="3580" w:type="dxa"/>
            <w:vAlign w:val="bottom"/>
          </w:tcPr>
          <w:p>
            <w:pPr>
              <w:jc w:val="right"/>
              <w:ind w:right="3287"/>
              <w:spacing w:after="0"/>
              <w:rPr>
                <w:sz w:val="20"/>
                <w:szCs w:val="20"/>
                <w:color w:val="auto"/>
              </w:rPr>
            </w:pPr>
            <w:r>
              <w:rPr>
                <w:rFonts w:ascii="Helvetica" w:cs="Helvetica" w:eastAsia="Helvetica" w:hAnsi="Helvetica"/>
                <w:sz w:val="18"/>
                <w:szCs w:val="18"/>
                <w:color w:val="4D4D4D"/>
                <w:w w:val="89"/>
              </w:rPr>
              <w:t>50</w:t>
            </w:r>
          </w:p>
        </w:tc>
        <w:tc>
          <w:tcPr>
            <w:tcW w:w="3800" w:type="dxa"/>
            <w:vAlign w:val="bottom"/>
          </w:tcPr>
          <w:p>
            <w:pPr>
              <w:spacing w:after="0"/>
              <w:rPr>
                <w:sz w:val="24"/>
                <w:szCs w:val="24"/>
                <w:color w:val="auto"/>
              </w:rPr>
            </w:pPr>
          </w:p>
        </w:tc>
        <w:tc>
          <w:tcPr>
            <w:tcW w:w="1440" w:type="dxa"/>
            <w:vAlign w:val="bottom"/>
          </w:tcPr>
          <w:p>
            <w:pPr>
              <w:spacing w:after="0"/>
              <w:rPr>
                <w:sz w:val="24"/>
                <w:szCs w:val="24"/>
                <w:color w:val="auto"/>
              </w:rPr>
            </w:pPr>
          </w:p>
        </w:tc>
      </w:tr>
      <w:tr>
        <w:trPr>
          <w:trHeight w:val="1805"/>
        </w:trPr>
        <w:tc>
          <w:tcPr>
            <w:tcW w:w="3580" w:type="dxa"/>
            <w:vAlign w:val="bottom"/>
          </w:tcPr>
          <w:p>
            <w:pPr>
              <w:jc w:val="right"/>
              <w:ind w:right="3287"/>
              <w:spacing w:after="0"/>
              <w:rPr>
                <w:sz w:val="20"/>
                <w:szCs w:val="20"/>
                <w:color w:val="auto"/>
              </w:rPr>
            </w:pPr>
            <w:r>
              <w:rPr>
                <w:rFonts w:ascii="Helvetica" w:cs="Helvetica" w:eastAsia="Helvetica" w:hAnsi="Helvetica"/>
                <w:sz w:val="18"/>
                <w:szCs w:val="18"/>
                <w:color w:val="4D4D4D"/>
                <w:w w:val="89"/>
              </w:rPr>
              <w:t>40</w:t>
            </w:r>
          </w:p>
        </w:tc>
        <w:tc>
          <w:tcPr>
            <w:tcW w:w="3800" w:type="dxa"/>
            <w:vAlign w:val="bottom"/>
          </w:tcPr>
          <w:p>
            <w:pPr>
              <w:spacing w:after="0"/>
              <w:rPr>
                <w:sz w:val="24"/>
                <w:szCs w:val="24"/>
                <w:color w:val="auto"/>
              </w:rPr>
            </w:pPr>
          </w:p>
        </w:tc>
        <w:tc>
          <w:tcPr>
            <w:tcW w:w="1440" w:type="dxa"/>
            <w:vAlign w:val="bottom"/>
          </w:tcPr>
          <w:p>
            <w:pPr>
              <w:spacing w:after="0"/>
              <w:rPr>
                <w:sz w:val="24"/>
                <w:szCs w:val="24"/>
                <w:color w:val="auto"/>
              </w:rPr>
            </w:pPr>
          </w:p>
        </w:tc>
      </w:tr>
      <w:tr>
        <w:trPr>
          <w:trHeight w:val="1805"/>
        </w:trPr>
        <w:tc>
          <w:tcPr>
            <w:tcW w:w="3580" w:type="dxa"/>
            <w:vAlign w:val="bottom"/>
          </w:tcPr>
          <w:p>
            <w:pPr>
              <w:jc w:val="right"/>
              <w:ind w:right="3287"/>
              <w:spacing w:after="0"/>
              <w:rPr>
                <w:sz w:val="20"/>
                <w:szCs w:val="20"/>
                <w:color w:val="auto"/>
              </w:rPr>
            </w:pPr>
            <w:r>
              <w:rPr>
                <w:rFonts w:ascii="Helvetica" w:cs="Helvetica" w:eastAsia="Helvetica" w:hAnsi="Helvetica"/>
                <w:sz w:val="18"/>
                <w:szCs w:val="18"/>
                <w:color w:val="4D4D4D"/>
                <w:w w:val="89"/>
              </w:rPr>
              <w:t>30</w:t>
            </w:r>
          </w:p>
        </w:tc>
        <w:tc>
          <w:tcPr>
            <w:tcW w:w="3800" w:type="dxa"/>
            <w:vAlign w:val="bottom"/>
          </w:tcPr>
          <w:p>
            <w:pPr>
              <w:spacing w:after="0"/>
              <w:rPr>
                <w:sz w:val="24"/>
                <w:szCs w:val="24"/>
                <w:color w:val="auto"/>
              </w:rPr>
            </w:pPr>
          </w:p>
        </w:tc>
        <w:tc>
          <w:tcPr>
            <w:tcW w:w="1440" w:type="dxa"/>
            <w:vAlign w:val="bottom"/>
          </w:tcPr>
          <w:p>
            <w:pPr>
              <w:spacing w:after="0"/>
              <w:rPr>
                <w:sz w:val="24"/>
                <w:szCs w:val="24"/>
                <w:color w:val="auto"/>
              </w:rPr>
            </w:pPr>
          </w:p>
        </w:tc>
      </w:tr>
      <w:tr>
        <w:trPr>
          <w:trHeight w:val="1518"/>
        </w:trPr>
        <w:tc>
          <w:tcPr>
            <w:tcW w:w="3580" w:type="dxa"/>
            <w:vAlign w:val="bottom"/>
          </w:tcPr>
          <w:p>
            <w:pPr>
              <w:jc w:val="right"/>
              <w:ind w:right="1227"/>
              <w:spacing w:after="0"/>
              <w:rPr>
                <w:sz w:val="20"/>
                <w:szCs w:val="20"/>
                <w:color w:val="auto"/>
              </w:rPr>
            </w:pPr>
            <w:r>
              <w:rPr>
                <w:rFonts w:ascii="Helvetica" w:cs="Helvetica" w:eastAsia="Helvetica" w:hAnsi="Helvetica"/>
                <w:sz w:val="18"/>
                <w:szCs w:val="18"/>
                <w:color w:val="4D4D4D"/>
              </w:rPr>
              <w:t>2000</w:t>
            </w:r>
          </w:p>
        </w:tc>
        <w:tc>
          <w:tcPr>
            <w:tcW w:w="3800" w:type="dxa"/>
            <w:vAlign w:val="bottom"/>
          </w:tcPr>
          <w:p>
            <w:pPr>
              <w:jc w:val="right"/>
              <w:ind w:right="1991"/>
              <w:spacing w:after="0"/>
              <w:rPr>
                <w:sz w:val="20"/>
                <w:szCs w:val="20"/>
                <w:color w:val="auto"/>
              </w:rPr>
            </w:pPr>
            <w:r>
              <w:rPr>
                <w:rFonts w:ascii="Helvetica" w:cs="Helvetica" w:eastAsia="Helvetica" w:hAnsi="Helvetica"/>
                <w:sz w:val="18"/>
                <w:szCs w:val="18"/>
                <w:color w:val="4D4D4D"/>
              </w:rPr>
              <w:t>2010</w:t>
            </w:r>
          </w:p>
        </w:tc>
        <w:tc>
          <w:tcPr>
            <w:tcW w:w="1440" w:type="dxa"/>
            <w:vAlign w:val="bottom"/>
          </w:tcPr>
          <w:p>
            <w:pPr>
              <w:jc w:val="right"/>
              <w:ind w:right="336"/>
              <w:spacing w:after="0"/>
              <w:rPr>
                <w:sz w:val="20"/>
                <w:szCs w:val="20"/>
                <w:color w:val="auto"/>
              </w:rPr>
            </w:pPr>
            <w:r>
              <w:rPr>
                <w:rFonts w:ascii="Helvetica" w:cs="Helvetica" w:eastAsia="Helvetica" w:hAnsi="Helvetica"/>
                <w:sz w:val="18"/>
                <w:szCs w:val="18"/>
                <w:color w:val="4D4D4D"/>
              </w:rPr>
              <w:t>2020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-3935095</wp:posOffset>
            </wp:positionV>
            <wp:extent cx="5427345" cy="38011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extLst>
                    </a:blip>
                    <a:srcRect/>
                    <a:stretch>
                      <a:fillRect/>
                    </a:stretch>
                  </pic:blipFill>
                  <pic:spPr bwMode="auto">
                    <a:xfrm>
                      <a:off x="0" y="0"/>
                      <a:ext cx="5427345" cy="3801110"/>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474" w:space="46"/>
            <w:col w:w="8860"/>
          </w:cols>
          <w:pgMar w:left="1440" w:top="991" w:right="1086" w:bottom="330" w:gutter="0" w:footer="0" w:header="0"/>
        </w:sectPr>
      </w:pPr>
    </w:p>
    <w:p>
      <w:pPr>
        <w:spacing w:after="0" w:line="51" w:lineRule="exact"/>
        <w:rPr>
          <w:sz w:val="20"/>
          <w:szCs w:val="20"/>
          <w:color w:val="auto"/>
        </w:rPr>
      </w:pPr>
    </w:p>
    <w:p>
      <w:pPr>
        <w:ind w:left="208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right="60" w:firstLine="850"/>
        <w:spacing w:after="0" w:line="315" w:lineRule="auto"/>
        <w:rPr>
          <w:sz w:val="20"/>
          <w:szCs w:val="20"/>
          <w:color w:val="auto"/>
        </w:rPr>
      </w:pPr>
      <w:r>
        <w:rPr>
          <w:rFonts w:ascii="Arial" w:cs="Arial" w:eastAsia="Arial" w:hAnsi="Arial"/>
          <w:sz w:val="24"/>
          <w:szCs w:val="24"/>
          <w:color w:val="auto"/>
        </w:rPr>
        <w:t>A Figura 4 demonstra o comportamento da relação crédito/PIB no Brasil, que entre a segunda metade da década de 1990 até a meados da primeira metade da década de 2000 sofreu significativa queda, ficando abaixo dos 25%. Após esse período a oferta de crédito sofreu uma expansão exponencial atingindo patamares acima de 50% do PIB.</w:t>
      </w:r>
    </w:p>
    <w:p>
      <w:pPr>
        <w:spacing w:after="0" w:line="101" w:lineRule="exact"/>
        <w:rPr>
          <w:sz w:val="20"/>
          <w:szCs w:val="20"/>
          <w:color w:val="auto"/>
        </w:rPr>
      </w:pPr>
    </w:p>
    <w:p>
      <w:pPr>
        <w:jc w:val="both"/>
        <w:ind w:left="260" w:firstLine="850"/>
        <w:spacing w:after="0" w:line="332" w:lineRule="auto"/>
        <w:rPr>
          <w:sz w:val="20"/>
          <w:szCs w:val="20"/>
          <w:color w:val="auto"/>
        </w:rPr>
      </w:pPr>
      <w:r>
        <w:rPr>
          <w:rFonts w:ascii="Arial" w:cs="Arial" w:eastAsia="Arial" w:hAnsi="Arial"/>
          <w:sz w:val="23"/>
          <w:szCs w:val="23"/>
          <w:color w:val="auto"/>
        </w:rPr>
        <w:t>Durante o período citado, foi observado no setor bancário brasileiro os maiores níveis de spread 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 (LEVINE, 1997; MATOS, 2003).</w:t>
      </w:r>
    </w:p>
    <w:p>
      <w:pPr>
        <w:spacing w:after="0" w:line="83" w:lineRule="exact"/>
        <w:rPr>
          <w:sz w:val="20"/>
          <w:szCs w:val="20"/>
          <w:color w:val="auto"/>
        </w:rPr>
      </w:pPr>
    </w:p>
    <w:p>
      <w:pPr>
        <w:jc w:val="both"/>
        <w:ind w:left="260" w:right="20" w:firstLine="850"/>
        <w:spacing w:after="0" w:line="317" w:lineRule="auto"/>
        <w:rPr>
          <w:sz w:val="20"/>
          <w:szCs w:val="20"/>
          <w:color w:val="auto"/>
        </w:rPr>
      </w:pPr>
      <w:r>
        <w:rPr>
          <w:rFonts w:ascii="Arial" w:cs="Arial" w:eastAsia="Arial" w:hAnsi="Arial"/>
          <w:sz w:val="24"/>
          <w:szCs w:val="24"/>
          <w:color w:val="auto"/>
        </w:rPr>
        <w:t>A Figura 5 demonstra a evolução do saldo da carteira de crédito anual em termos correntes entre 1990 e 2020, podendo ser visualizada uma expansão exponen-cial de crédito a partir do início da década de 2000, com leve recuo na até metade da década de 2010, e posteriormente ultrapassando máxima anterior.</w:t>
      </w:r>
    </w:p>
    <w:p>
      <w:pPr>
        <w:spacing w:after="0" w:line="96" w:lineRule="exact"/>
        <w:rPr>
          <w:sz w:val="20"/>
          <w:szCs w:val="20"/>
          <w:color w:val="auto"/>
        </w:rPr>
      </w:pPr>
    </w:p>
    <w:p>
      <w:pPr>
        <w:ind w:left="260" w:right="60" w:firstLine="850"/>
        <w:spacing w:after="0" w:line="352" w:lineRule="auto"/>
        <w:rPr>
          <w:sz w:val="20"/>
          <w:szCs w:val="20"/>
          <w:color w:val="auto"/>
        </w:rPr>
      </w:pPr>
      <w:r>
        <w:rPr>
          <w:rFonts w:ascii="Arial" w:cs="Arial" w:eastAsia="Arial" w:hAnsi="Arial"/>
          <w:sz w:val="23"/>
          <w:szCs w:val="23"/>
          <w:color w:val="auto"/>
        </w:rPr>
        <w:t>Diante o levantamento, o setor bancário brasileiro durante o período avaliado passou por diversas transformações em sua estrutura no que tange a concentração de</w:t>
      </w:r>
    </w:p>
    <w:p>
      <w:pPr>
        <w:sectPr>
          <w:pgSz w:w="11900" w:h="16838" w:orient="portrait"/>
          <w:cols w:equalWidth="0" w:num="1">
            <w:col w:w="9380"/>
          </w:cols>
          <w:pgMar w:left="1440" w:top="991" w:right="1086" w:bottom="330" w:gutter="0" w:footer="0" w:header="0"/>
          <w:type w:val="continuous"/>
        </w:sectPr>
      </w:pPr>
    </w:p>
    <w:p>
      <w:pPr>
        <w:jc w:val="right"/>
        <w:ind w:right="40"/>
        <w:spacing w:after="0"/>
        <w:rPr>
          <w:sz w:val="20"/>
          <w:szCs w:val="20"/>
          <w:color w:val="auto"/>
        </w:rPr>
      </w:pPr>
      <w:r>
        <w:rPr>
          <w:rFonts w:ascii="Arial" w:cs="Arial" w:eastAsia="Arial" w:hAnsi="Arial"/>
          <w:sz w:val="24"/>
          <w:szCs w:val="24"/>
          <w:color w:val="auto"/>
        </w:rPr>
        <w:t>17</w:t>
      </w:r>
    </w:p>
    <w:p>
      <w:pPr>
        <w:spacing w:after="0" w:line="200" w:lineRule="exact"/>
        <w:rPr>
          <w:sz w:val="20"/>
          <w:szCs w:val="20"/>
          <w:color w:val="auto"/>
        </w:rPr>
      </w:pPr>
    </w:p>
    <w:p>
      <w:pPr>
        <w:spacing w:after="0" w:line="215" w:lineRule="exact"/>
        <w:rPr>
          <w:sz w:val="20"/>
          <w:szCs w:val="20"/>
          <w:color w:val="auto"/>
        </w:rPr>
      </w:pPr>
    </w:p>
    <w:p>
      <w:pPr>
        <w:ind w:left="2180"/>
        <w:spacing w:after="0"/>
        <w:rPr>
          <w:sz w:val="20"/>
          <w:szCs w:val="20"/>
          <w:color w:val="auto"/>
        </w:rPr>
      </w:pPr>
      <w:r>
        <w:rPr>
          <w:rFonts w:ascii="Arial" w:cs="Arial" w:eastAsia="Arial" w:hAnsi="Arial"/>
          <w:sz w:val="22"/>
          <w:szCs w:val="22"/>
          <w:color w:val="auto"/>
        </w:rPr>
        <w:t>Figura 5 – Evolução anual do saldo carteira de crédito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962660</wp:posOffset>
            </wp:positionH>
            <wp:positionV relativeFrom="paragraph">
              <wp:posOffset>327025</wp:posOffset>
            </wp:positionV>
            <wp:extent cx="4953000" cy="376682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extLst>
                    </a:blip>
                    <a:srcRect/>
                    <a:stretch>
                      <a:fillRect/>
                    </a:stretch>
                  </pic:blipFill>
                  <pic:spPr bwMode="auto">
                    <a:xfrm>
                      <a:off x="0" y="0"/>
                      <a:ext cx="4953000" cy="3766820"/>
                    </a:xfrm>
                    <a:prstGeom prst="rect">
                      <a:avLst/>
                    </a:prstGeom>
                    <a:noFill/>
                  </pic:spPr>
                </pic:pic>
              </a:graphicData>
            </a:graphic>
          </wp:anchor>
        </w:drawing>
      </w:r>
    </w:p>
    <w:p>
      <w:pPr>
        <w:sectPr>
          <w:pgSz w:w="11900" w:h="16838" w:orient="portrait"/>
          <w:cols w:equalWidth="0" w:num="1">
            <w:col w:w="9360"/>
          </w:cols>
          <w:pgMar w:left="1440" w:top="991" w:right="1106" w:bottom="72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tbl>
      <w:tblPr>
        <w:tblLayout w:type="fixed"/>
        <w:tblInd w:w="221" w:type="dxa"/>
        <w:tblCellMar>
          <w:top w:w="0" w:type="dxa"/>
          <w:left w:w="0" w:type="dxa"/>
          <w:bottom w:w="0" w:type="dxa"/>
          <w:right w:w="0" w:type="dxa"/>
        </w:tblCellMar>
      </w:tblPr>
      <w:tr>
        <w:trPr>
          <w:trHeight w:val="1340"/>
        </w:trPr>
        <w:tc>
          <w:tcPr>
            <w:tcW w:w="253" w:type="dxa"/>
            <w:vAlign w:val="bottom"/>
            <w:textDirection w:val="btLr"/>
          </w:tcPr>
          <w:p>
            <w:pPr>
              <w:spacing w:after="0"/>
              <w:rPr>
                <w:sz w:val="20"/>
                <w:szCs w:val="20"/>
                <w:color w:val="auto"/>
              </w:rPr>
            </w:pPr>
            <w:r>
              <w:rPr>
                <w:rFonts w:ascii="Helvetica" w:cs="Helvetica" w:eastAsia="Helvetica" w:hAnsi="Helvetica"/>
                <w:sz w:val="22"/>
                <w:szCs w:val="22"/>
                <w:color w:val="auto"/>
              </w:rPr>
              <w:t>Saldo.Crédito</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spacing w:after="0"/>
        <w:rPr>
          <w:sz w:val="20"/>
          <w:szCs w:val="20"/>
          <w:color w:val="auto"/>
        </w:rPr>
      </w:pPr>
      <w:r>
        <w:rPr>
          <w:rFonts w:ascii="Helvetica" w:cs="Helvetica" w:eastAsia="Helvetica" w:hAnsi="Helvetica"/>
          <w:sz w:val="17"/>
          <w:szCs w:val="17"/>
          <w:color w:val="4D4D4D"/>
        </w:rPr>
        <w:t>$3,000,000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597535</wp:posOffset>
                </wp:positionH>
                <wp:positionV relativeFrom="paragraph">
                  <wp:posOffset>-60325</wp:posOffset>
                </wp:positionV>
                <wp:extent cx="3492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4.7499pt" to="49.8pt,-4.7499pt" o:allowincell="f" strokecolor="#333333" strokeweight="1.059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spacing w:after="0"/>
        <w:rPr>
          <w:sz w:val="20"/>
          <w:szCs w:val="20"/>
          <w:color w:val="auto"/>
        </w:rPr>
      </w:pPr>
      <w:r>
        <w:rPr>
          <w:rFonts w:ascii="Helvetica" w:cs="Helvetica" w:eastAsia="Helvetica" w:hAnsi="Helvetica"/>
          <w:sz w:val="17"/>
          <w:szCs w:val="17"/>
          <w:color w:val="4D4D4D"/>
        </w:rPr>
        <w:t>$2,000,000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597535</wp:posOffset>
                </wp:positionH>
                <wp:positionV relativeFrom="paragraph">
                  <wp:posOffset>-60325</wp:posOffset>
                </wp:positionV>
                <wp:extent cx="3492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4.7499pt" to="49.8pt,-4.7499pt" o:allowincell="f" strokecolor="#333333" strokeweight="1.059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spacing w:after="0"/>
        <w:rPr>
          <w:sz w:val="20"/>
          <w:szCs w:val="20"/>
          <w:color w:val="auto"/>
        </w:rPr>
      </w:pPr>
      <w:r>
        <w:rPr>
          <w:rFonts w:ascii="Helvetica" w:cs="Helvetica" w:eastAsia="Helvetica" w:hAnsi="Helvetica"/>
          <w:sz w:val="17"/>
          <w:szCs w:val="17"/>
          <w:color w:val="4D4D4D"/>
        </w:rPr>
        <w:t>$1,000,000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597535</wp:posOffset>
                </wp:positionH>
                <wp:positionV relativeFrom="paragraph">
                  <wp:posOffset>-60325</wp:posOffset>
                </wp:positionV>
                <wp:extent cx="3492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4.7499pt" to="49.8pt,-4.7499pt" o:allowincell="f" strokecolor="#333333" strokeweight="1.059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right"/>
        <w:spacing w:after="0"/>
        <w:rPr>
          <w:sz w:val="20"/>
          <w:szCs w:val="20"/>
          <w:color w:val="auto"/>
        </w:rPr>
      </w:pPr>
      <w:r>
        <w:rPr>
          <w:rFonts w:ascii="Helvetica" w:cs="Helvetica" w:eastAsia="Helvetica" w:hAnsi="Helvetica"/>
          <w:sz w:val="18"/>
          <w:szCs w:val="18"/>
          <w:color w:val="4D4D4D"/>
        </w:rPr>
        <w:t>$0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597535</wp:posOffset>
                </wp:positionH>
                <wp:positionV relativeFrom="paragraph">
                  <wp:posOffset>-65405</wp:posOffset>
                </wp:positionV>
                <wp:extent cx="3492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05pt,-5.1499pt" to="49.8pt,-5.1499pt" o:allowincell="f" strokecolor="#333333" strokeweight="1.0591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1380" w:type="dxa"/>
            <w:vAlign w:val="bottom"/>
          </w:tcPr>
          <w:p>
            <w:pPr>
              <w:jc w:val="right"/>
              <w:ind w:right="911"/>
              <w:spacing w:after="0"/>
              <w:rPr>
                <w:sz w:val="20"/>
                <w:szCs w:val="20"/>
                <w:color w:val="auto"/>
              </w:rPr>
            </w:pPr>
            <w:r>
              <w:rPr>
                <w:rFonts w:ascii="Helvetica" w:cs="Helvetica" w:eastAsia="Helvetica" w:hAnsi="Helvetica"/>
                <w:sz w:val="18"/>
                <w:szCs w:val="18"/>
                <w:color w:val="4D4D4D"/>
                <w:w w:val="89"/>
              </w:rPr>
              <w:t>1990</w:t>
            </w:r>
          </w:p>
        </w:tc>
        <w:tc>
          <w:tcPr>
            <w:tcW w:w="2360" w:type="dxa"/>
            <w:vAlign w:val="bottom"/>
          </w:tcPr>
          <w:p>
            <w:pPr>
              <w:jc w:val="right"/>
              <w:ind w:right="891"/>
              <w:spacing w:after="0"/>
              <w:rPr>
                <w:sz w:val="20"/>
                <w:szCs w:val="20"/>
                <w:color w:val="auto"/>
              </w:rPr>
            </w:pPr>
            <w:r>
              <w:rPr>
                <w:rFonts w:ascii="Helvetica" w:cs="Helvetica" w:eastAsia="Helvetica" w:hAnsi="Helvetica"/>
                <w:sz w:val="18"/>
                <w:szCs w:val="18"/>
                <w:color w:val="4D4D4D"/>
              </w:rPr>
              <w:t>2000</w:t>
            </w:r>
          </w:p>
        </w:tc>
        <w:tc>
          <w:tcPr>
            <w:tcW w:w="2380" w:type="dxa"/>
            <w:vAlign w:val="bottom"/>
          </w:tcPr>
          <w:p>
            <w:pPr>
              <w:jc w:val="right"/>
              <w:ind w:right="911"/>
              <w:spacing w:after="0"/>
              <w:rPr>
                <w:sz w:val="20"/>
                <w:szCs w:val="20"/>
                <w:color w:val="auto"/>
              </w:rPr>
            </w:pPr>
            <w:r>
              <w:rPr>
                <w:rFonts w:ascii="Helvetica" w:cs="Helvetica" w:eastAsia="Helvetica" w:hAnsi="Helvetica"/>
                <w:sz w:val="18"/>
                <w:szCs w:val="18"/>
                <w:color w:val="4D4D4D"/>
              </w:rPr>
              <w:t>2010</w:t>
            </w:r>
          </w:p>
        </w:tc>
        <w:tc>
          <w:tcPr>
            <w:tcW w:w="1400" w:type="dxa"/>
            <w:vAlign w:val="bottom"/>
          </w:tcPr>
          <w:p>
            <w:pPr>
              <w:jc w:val="right"/>
              <w:spacing w:after="0"/>
              <w:rPr>
                <w:sz w:val="20"/>
                <w:szCs w:val="20"/>
                <w:color w:val="auto"/>
              </w:rPr>
            </w:pPr>
            <w:r>
              <w:rPr>
                <w:rFonts w:ascii="Helvetica" w:cs="Helvetica" w:eastAsia="Helvetica" w:hAnsi="Helvetica"/>
                <w:sz w:val="18"/>
                <w:szCs w:val="18"/>
                <w:color w:val="4D4D4D"/>
              </w:rPr>
              <w:t>2020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120650</wp:posOffset>
                </wp:positionH>
                <wp:positionV relativeFrom="paragraph">
                  <wp:posOffset>-168275</wp:posOffset>
                </wp:positionV>
                <wp:extent cx="0" cy="3429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pt,-13.2499pt" to="9.5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1625600</wp:posOffset>
                </wp:positionH>
                <wp:positionV relativeFrom="paragraph">
                  <wp:posOffset>-168275</wp:posOffset>
                </wp:positionV>
                <wp:extent cx="0" cy="3429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pt,-13.2499pt" to="128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3131185</wp:posOffset>
                </wp:positionH>
                <wp:positionV relativeFrom="paragraph">
                  <wp:posOffset>-168275</wp:posOffset>
                </wp:positionV>
                <wp:extent cx="0" cy="3429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55pt,-13.2499pt" to="246.55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4636135</wp:posOffset>
                </wp:positionH>
                <wp:positionV relativeFrom="paragraph">
                  <wp:posOffset>-168275</wp:posOffset>
                </wp:positionV>
                <wp:extent cx="0" cy="3429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05pt,-13.2499pt" to="365.05pt,-10.5499pt" o:allowincell="f" strokecolor="#333333" strokeweight="1.0591pt"/>
            </w:pict>
          </mc:Fallback>
        </mc:AlternateContent>
      </w:r>
    </w:p>
    <w:p>
      <w:pPr>
        <w:spacing w:after="0" w:line="200" w:lineRule="exact"/>
        <w:rPr>
          <w:sz w:val="20"/>
          <w:szCs w:val="20"/>
          <w:color w:val="auto"/>
        </w:rPr>
      </w:pPr>
    </w:p>
    <w:p>
      <w:pPr>
        <w:sectPr>
          <w:pgSz w:w="11900" w:h="16838" w:orient="portrait"/>
          <w:cols w:equalWidth="0" w:num="3">
            <w:col w:w="474" w:space="46"/>
            <w:col w:w="900" w:space="260"/>
            <w:col w:w="7680"/>
          </w:cols>
          <w:pgMar w:left="1440" w:top="991" w:right="1106" w:bottom="723" w:gutter="0" w:footer="0" w:header="0"/>
          <w:type w:val="continuous"/>
        </w:sectPr>
      </w:pPr>
    </w:p>
    <w:p>
      <w:pPr>
        <w:spacing w:after="0" w:line="51" w:lineRule="exact"/>
        <w:rPr>
          <w:sz w:val="20"/>
          <w:szCs w:val="20"/>
          <w:color w:val="auto"/>
        </w:rPr>
      </w:pPr>
    </w:p>
    <w:p>
      <w:pPr>
        <w:jc w:val="center"/>
        <w:ind w:right="-21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Elaborado com dados do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260"/>
        <w:spacing w:after="0" w:line="327" w:lineRule="auto"/>
        <w:rPr>
          <w:sz w:val="20"/>
          <w:szCs w:val="20"/>
          <w:color w:val="auto"/>
        </w:rPr>
      </w:pPr>
      <w:r>
        <w:rPr>
          <w:rFonts w:ascii="Arial" w:cs="Arial" w:eastAsia="Arial" w:hAnsi="Arial"/>
          <w:sz w:val="24"/>
          <w:szCs w:val="24"/>
          <w:color w:val="auto"/>
        </w:rPr>
        <w:t>mercado, aumento da participação de capital estrangeiro por meio de controle acionário, redução da participação pública.</w:t>
      </w:r>
    </w:p>
    <w:p>
      <w:pPr>
        <w:spacing w:after="0" w:line="85"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Em relação aos indicadores foi verificado que, entre a década de 1980 até metade da década de 1990, no cenário hiperinflacionário, mesmo com redução da concentração bancária, os indicadores de eficiência de intermediação financeiras como o spread bancário e a relação crédito/PIB estavam em níveis considerados ineficientes e muito destoantes em comparação a outros países e regiões.</w:t>
      </w:r>
    </w:p>
    <w:p>
      <w:pPr>
        <w:spacing w:after="0" w:line="101"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A partir de 1995 se observou mudanças significativas no setor bancário, com nova concentração, redução de instituições nacionais devido o controle acionário por capital estrangeiro, e expressiva redução no spread bancário e a partir de 2004 uma mudança significativa na relação crédito/PIB.</w:t>
      </w:r>
    </w:p>
    <w:p>
      <w:pPr>
        <w:spacing w:after="0" w:line="96" w:lineRule="exact"/>
        <w:rPr>
          <w:sz w:val="20"/>
          <w:szCs w:val="20"/>
          <w:color w:val="auto"/>
        </w:rPr>
      </w:pPr>
    </w:p>
    <w:p>
      <w:pPr>
        <w:jc w:val="both"/>
        <w:ind w:left="220" w:firstLine="886"/>
        <w:spacing w:after="0" w:line="317" w:lineRule="auto"/>
        <w:rPr>
          <w:sz w:val="20"/>
          <w:szCs w:val="20"/>
          <w:color w:val="auto"/>
        </w:rPr>
      </w:pPr>
      <w:r>
        <w:rPr>
          <w:rFonts w:ascii="Arial" w:cs="Arial" w:eastAsia="Arial" w:hAnsi="Arial"/>
          <w:sz w:val="24"/>
          <w:szCs w:val="24"/>
          <w:color w:val="auto"/>
        </w:rPr>
        <w:t>O Sistema Financeiro como um todo, em sua organização entre agentes normatizadores, supervisores e operadores, além suas instâncias — algumas já citadas —, possui uma organização em torno da Base Monetária e dos Agregados Monetários, configurando a Oferta de Moeda de determinado País.</w:t>
      </w:r>
    </w:p>
    <w:p>
      <w:pPr>
        <w:sectPr>
          <w:pgSz w:w="11900" w:h="16838" w:orient="portrait"/>
          <w:cols w:equalWidth="0" w:num="1">
            <w:col w:w="9360"/>
          </w:cols>
          <w:pgMar w:left="1440" w:top="991" w:right="1106" w:bottom="723" w:gutter="0" w:footer="0" w:header="0"/>
          <w:type w:val="continuous"/>
        </w:sectPr>
      </w:pPr>
    </w:p>
    <w:p>
      <w:pPr>
        <w:ind w:left="9060"/>
        <w:spacing w:after="0"/>
        <w:rPr>
          <w:sz w:val="20"/>
          <w:szCs w:val="20"/>
          <w:color w:val="auto"/>
        </w:rPr>
      </w:pPr>
      <w:r>
        <w:rPr>
          <w:rFonts w:ascii="Arial" w:cs="Arial" w:eastAsia="Arial" w:hAnsi="Arial"/>
          <w:sz w:val="24"/>
          <w:szCs w:val="24"/>
          <w:color w:val="auto"/>
        </w:rPr>
        <w:t>18</w:t>
      </w:r>
    </w:p>
    <w:p>
      <w:pPr>
        <w:spacing w:after="0" w:line="365" w:lineRule="exact"/>
        <w:rPr>
          <w:sz w:val="20"/>
          <w:szCs w:val="20"/>
          <w:color w:val="auto"/>
        </w:rPr>
      </w:pPr>
    </w:p>
    <w:p>
      <w:pPr>
        <w:jc w:val="both"/>
        <w:ind w:left="260" w:firstLine="858"/>
        <w:spacing w:after="0" w:line="290" w:lineRule="auto"/>
        <w:rPr>
          <w:sz w:val="20"/>
          <w:szCs w:val="20"/>
          <w:color w:val="auto"/>
        </w:rPr>
      </w:pPr>
      <w:r>
        <w:rPr>
          <w:rFonts w:ascii="Arial" w:cs="Arial" w:eastAsia="Arial" w:hAnsi="Arial"/>
          <w:sz w:val="24"/>
          <w:szCs w:val="24"/>
          <w:color w:val="auto"/>
        </w:rPr>
        <w:t>A Base Monetária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0</w:t>
      </w:r>
      <w:r>
        <w:rPr>
          <w:rFonts w:ascii="Arial" w:cs="Arial" w:eastAsia="Arial" w:hAnsi="Arial"/>
          <w:sz w:val="24"/>
          <w:szCs w:val="24"/>
          <w:color w:val="auto"/>
        </w:rPr>
        <w:t>) é configurada pelo total de cédulas e moedas em circu-lação no país e das Reservas Bancárias</w:t>
      </w:r>
      <w:r>
        <w:rPr>
          <w:rFonts w:ascii="Arial" w:cs="Arial" w:eastAsia="Arial" w:hAnsi="Arial"/>
          <w:sz w:val="31"/>
          <w:szCs w:val="31"/>
          <w:color w:val="auto"/>
          <w:vertAlign w:val="superscript"/>
        </w:rPr>
        <w:t>4</w:t>
      </w:r>
      <w:r>
        <w:rPr>
          <w:rFonts w:ascii="Arial" w:cs="Arial" w:eastAsia="Arial" w:hAnsi="Arial"/>
          <w:sz w:val="24"/>
          <w:szCs w:val="24"/>
          <w:color w:val="auto"/>
        </w:rPr>
        <w:t xml:space="preserve"> — em poder das instituições ou depositadas no Banco Central — tido como emissão primária de moeda e configurando o passivo monetário, resultado líquido de todas as operações ativas e passivas do Banco Central. (BACEN, 2019).</w:t>
      </w:r>
    </w:p>
    <w:p>
      <w:pPr>
        <w:spacing w:after="0" w:line="200" w:lineRule="exact"/>
        <w:rPr>
          <w:sz w:val="20"/>
          <w:szCs w:val="20"/>
          <w:color w:val="auto"/>
        </w:rPr>
      </w:pPr>
    </w:p>
    <w:p>
      <w:pPr>
        <w:spacing w:after="0" w:line="209" w:lineRule="exact"/>
        <w:rPr>
          <w:sz w:val="20"/>
          <w:szCs w:val="20"/>
          <w:color w:val="auto"/>
        </w:rPr>
      </w:pPr>
    </w:p>
    <w:p>
      <w:pPr>
        <w:jc w:val="center"/>
        <w:ind w:right="-19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0</w:t>
      </w:r>
      <w:r>
        <w:rPr>
          <w:rFonts w:ascii="Arial" w:cs="Arial" w:eastAsia="Arial" w:hAnsi="Arial"/>
          <w:sz w:val="24"/>
          <w:szCs w:val="24"/>
          <w:color w:val="auto"/>
        </w:rPr>
        <w:t xml:space="preserve"> =</w:t>
      </w:r>
      <w:r>
        <w:rPr>
          <w:rFonts w:ascii="Arial" w:cs="Arial" w:eastAsia="Arial" w:hAnsi="Arial"/>
          <w:sz w:val="24"/>
          <w:szCs w:val="24"/>
          <w:i w:val="1"/>
          <w:iCs w:val="1"/>
          <w:color w:val="auto"/>
        </w:rPr>
        <w:t>PPE</w:t>
      </w:r>
      <w:r>
        <w:rPr>
          <w:rFonts w:ascii="Arial" w:cs="Arial" w:eastAsia="Arial" w:hAnsi="Arial"/>
          <w:sz w:val="24"/>
          <w:szCs w:val="24"/>
          <w:color w:val="auto"/>
        </w:rPr>
        <w:t>+</w:t>
      </w:r>
      <w:r>
        <w:rPr>
          <w:rFonts w:ascii="Arial" w:cs="Arial" w:eastAsia="Arial" w:hAnsi="Arial"/>
          <w:sz w:val="24"/>
          <w:szCs w:val="24"/>
          <w:i w:val="1"/>
          <w:iCs w:val="1"/>
          <w:color w:val="auto"/>
        </w:rPr>
        <w:t>RB</w:t>
      </w:r>
    </w:p>
    <w:p>
      <w:pPr>
        <w:spacing w:after="0" w:line="332" w:lineRule="exact"/>
        <w:rPr>
          <w:sz w:val="20"/>
          <w:szCs w:val="20"/>
          <w:color w:val="auto"/>
        </w:rPr>
      </w:pPr>
    </w:p>
    <w:p>
      <w:pPr>
        <w:jc w:val="both"/>
        <w:ind w:left="260" w:right="60" w:firstLine="850"/>
        <w:spacing w:after="0" w:line="332" w:lineRule="auto"/>
        <w:rPr>
          <w:sz w:val="20"/>
          <w:szCs w:val="20"/>
          <w:color w:val="auto"/>
        </w:rPr>
      </w:pPr>
      <w:r>
        <w:rPr>
          <w:rFonts w:ascii="Arial" w:cs="Arial" w:eastAsia="Arial" w:hAnsi="Arial"/>
          <w:sz w:val="23"/>
          <w:szCs w:val="23"/>
          <w:color w:val="auto"/>
        </w:rPr>
        <w:t>Em 1995 foi introduzido um novo conceito de Base Monetária ampliada, que possui maior capacidade de explanar os preços da economia no Brasil, que o conceito restrito, uma vez que trazem maior percepção do fator substituição entre a moeda em seu conceito convencional e os demais ativos financeiros disponíveis, incluindo os passivos, como depósitos compulsórios e títulos públicos federais (BACEN, 2019).</w:t>
      </w:r>
    </w:p>
    <w:p>
      <w:pPr>
        <w:spacing w:after="0" w:line="83" w:lineRule="exact"/>
        <w:rPr>
          <w:sz w:val="20"/>
          <w:szCs w:val="20"/>
          <w:color w:val="auto"/>
        </w:rPr>
      </w:pPr>
    </w:p>
    <w:p>
      <w:pPr>
        <w:jc w:val="both"/>
        <w:ind w:left="260" w:right="60" w:firstLine="858"/>
        <w:spacing w:after="0" w:line="290" w:lineRule="auto"/>
        <w:rPr>
          <w:sz w:val="20"/>
          <w:szCs w:val="20"/>
          <w:color w:val="auto"/>
        </w:rPr>
      </w:pPr>
      <w:r>
        <w:rPr>
          <w:rFonts w:ascii="Arial" w:cs="Arial" w:eastAsia="Arial" w:hAnsi="Arial"/>
          <w:sz w:val="23"/>
          <w:szCs w:val="23"/>
          <w:color w:val="auto"/>
        </w:rPr>
        <w:t>Entre os Agregados Monetários estão o Meios de Pagamento na forma restrita (</w:t>
      </w:r>
      <w:r>
        <w:rPr>
          <w:rFonts w:ascii="Arial" w:cs="Arial" w:eastAsia="Arial" w:hAnsi="Arial"/>
          <w:sz w:val="23"/>
          <w:szCs w:val="23"/>
          <w:i w:val="1"/>
          <w:iCs w:val="1"/>
          <w:color w:val="auto"/>
        </w:rPr>
        <w:t>M</w:t>
      </w:r>
      <w:r>
        <w:rPr>
          <w:rFonts w:ascii="Arial" w:cs="Arial" w:eastAsia="Arial" w:hAnsi="Arial"/>
          <w:sz w:val="30"/>
          <w:szCs w:val="30"/>
          <w:color w:val="auto"/>
          <w:vertAlign w:val="subscript"/>
        </w:rPr>
        <w:t>1</w:t>
      </w:r>
      <w:r>
        <w:rPr>
          <w:rFonts w:ascii="Arial" w:cs="Arial" w:eastAsia="Arial" w:hAnsi="Arial"/>
          <w:sz w:val="23"/>
          <w:szCs w:val="23"/>
          <w:color w:val="auto"/>
        </w:rPr>
        <w:t>), configurado por cédulas e moedas em poder dos agentes econômicos e seus depósitos à vista, que podem ser utilizados prontamente para pagamentos de bens e serviços. O conceito de Meios de Pagamentos Ampliado adiciona à moeda legal agregados que são considerados de elevada liquidez (</w:t>
      </w:r>
      <w:r>
        <w:rPr>
          <w:rFonts w:ascii="Arial" w:cs="Arial" w:eastAsia="Arial" w:hAnsi="Arial"/>
          <w:sz w:val="23"/>
          <w:szCs w:val="23"/>
          <w:i w:val="1"/>
          <w:iCs w:val="1"/>
          <w:color w:val="auto"/>
        </w:rPr>
        <w:t>M</w:t>
      </w:r>
      <w:r>
        <w:rPr>
          <w:rFonts w:ascii="Arial" w:cs="Arial" w:eastAsia="Arial" w:hAnsi="Arial"/>
          <w:sz w:val="30"/>
          <w:szCs w:val="30"/>
          <w:color w:val="auto"/>
          <w:vertAlign w:val="subscript"/>
        </w:rPr>
        <w:t>2</w:t>
      </w:r>
      <w:r>
        <w:rPr>
          <w:rFonts w:ascii="Arial" w:cs="Arial" w:eastAsia="Arial" w:hAnsi="Arial"/>
          <w:sz w:val="23"/>
          <w:szCs w:val="23"/>
          <w:color w:val="auto"/>
        </w:rPr>
        <w:t>) e (</w:t>
      </w:r>
      <w:r>
        <w:rPr>
          <w:rFonts w:ascii="Arial" w:cs="Arial" w:eastAsia="Arial" w:hAnsi="Arial"/>
          <w:sz w:val="23"/>
          <w:szCs w:val="23"/>
          <w:i w:val="1"/>
          <w:iCs w:val="1"/>
          <w:color w:val="auto"/>
        </w:rPr>
        <w:t>M</w:t>
      </w:r>
      <w:r>
        <w:rPr>
          <w:rFonts w:ascii="Arial" w:cs="Arial" w:eastAsia="Arial" w:hAnsi="Arial"/>
          <w:sz w:val="30"/>
          <w:szCs w:val="30"/>
          <w:color w:val="auto"/>
          <w:vertAlign w:val="subscript"/>
        </w:rPr>
        <w:t>3</w:t>
      </w:r>
      <w:r>
        <w:rPr>
          <w:rFonts w:ascii="Arial" w:cs="Arial" w:eastAsia="Arial" w:hAnsi="Arial"/>
          <w:sz w:val="23"/>
          <w:szCs w:val="23"/>
          <w:color w:val="auto"/>
        </w:rPr>
        <w:t>). (BACEN, 2019).</w:t>
      </w:r>
    </w:p>
    <w:p>
      <w:pPr>
        <w:spacing w:after="0" w:line="398" w:lineRule="exact"/>
        <w:rPr>
          <w:sz w:val="20"/>
          <w:szCs w:val="20"/>
          <w:color w:val="auto"/>
        </w:rPr>
      </w:pPr>
    </w:p>
    <w:p>
      <w:pPr>
        <w:jc w:val="center"/>
        <w:ind w:right="-15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 xml:space="preserve"> = </w:t>
      </w:r>
      <w:r>
        <w:rPr>
          <w:rFonts w:ascii="Arial" w:cs="Arial" w:eastAsia="Arial" w:hAnsi="Arial"/>
          <w:sz w:val="24"/>
          <w:szCs w:val="24"/>
          <w:i w:val="1"/>
          <w:iCs w:val="1"/>
          <w:color w:val="auto"/>
        </w:rPr>
        <w:t>PMPP</w:t>
      </w:r>
      <w:r>
        <w:rPr>
          <w:rFonts w:ascii="Arial" w:cs="Arial" w:eastAsia="Arial" w:hAnsi="Arial"/>
          <w:sz w:val="24"/>
          <w:szCs w:val="24"/>
          <w:color w:val="auto"/>
        </w:rPr>
        <w:t xml:space="preserve"> + </w:t>
      </w:r>
      <w:r>
        <w:rPr>
          <w:rFonts w:ascii="Arial" w:cs="Arial" w:eastAsia="Arial" w:hAnsi="Arial"/>
          <w:sz w:val="24"/>
          <w:szCs w:val="24"/>
          <w:i w:val="1"/>
          <w:iCs w:val="1"/>
          <w:color w:val="auto"/>
        </w:rPr>
        <w:t>DAV</w:t>
      </w:r>
    </w:p>
    <w:p>
      <w:pPr>
        <w:spacing w:after="0" w:line="251" w:lineRule="exact"/>
        <w:rPr>
          <w:sz w:val="20"/>
          <w:szCs w:val="20"/>
          <w:color w:val="auto"/>
        </w:rPr>
      </w:pPr>
    </w:p>
    <w:p>
      <w:pPr>
        <w:jc w:val="both"/>
        <w:ind w:left="260" w:right="20" w:firstLine="850"/>
        <w:spacing w:after="0" w:line="290" w:lineRule="auto"/>
        <w:rPr>
          <w:sz w:val="20"/>
          <w:szCs w:val="20"/>
          <w:color w:val="auto"/>
        </w:rPr>
      </w:pPr>
      <w:r>
        <w:rPr>
          <w:rFonts w:ascii="Arial" w:cs="Arial" w:eastAsia="Arial" w:hAnsi="Arial"/>
          <w:sz w:val="24"/>
          <w:szCs w:val="24"/>
          <w:color w:val="auto"/>
        </w:rPr>
        <w:t>No conceito de Meio de Pagamento Ampliado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xml:space="preserve">), contempla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 xml:space="preserve"> adicionado do resultante das emissões primárias por instituições depositárias no mercado interno, capazes de realizar a multiplicação de crédito, consistindo em depósitos especiais remunerados (</w:t>
      </w:r>
      <w:r>
        <w:rPr>
          <w:rFonts w:ascii="Arial" w:cs="Arial" w:eastAsia="Arial" w:hAnsi="Arial"/>
          <w:sz w:val="24"/>
          <w:szCs w:val="24"/>
          <w:i w:val="1"/>
          <w:iCs w:val="1"/>
          <w:color w:val="auto"/>
        </w:rPr>
        <w:t>DER</w:t>
      </w:r>
      <w:r>
        <w:rPr>
          <w:rFonts w:ascii="Arial" w:cs="Arial" w:eastAsia="Arial" w:hAnsi="Arial"/>
          <w:sz w:val="24"/>
          <w:szCs w:val="24"/>
          <w:color w:val="auto"/>
        </w:rPr>
        <w:t>), depósitos de poupança (</w:t>
      </w:r>
      <w:r>
        <w:rPr>
          <w:rFonts w:ascii="Arial" w:cs="Arial" w:eastAsia="Arial" w:hAnsi="Arial"/>
          <w:sz w:val="24"/>
          <w:szCs w:val="24"/>
          <w:i w:val="1"/>
          <w:iCs w:val="1"/>
          <w:color w:val="auto"/>
        </w:rPr>
        <w:t>DP</w:t>
      </w:r>
      <w:r>
        <w:rPr>
          <w:rFonts w:ascii="Arial" w:cs="Arial" w:eastAsia="Arial" w:hAnsi="Arial"/>
          <w:sz w:val="24"/>
          <w:szCs w:val="24"/>
          <w:color w:val="auto"/>
        </w:rPr>
        <w:t xml:space="preserve"> ) e títulos (</w:t>
      </w:r>
      <w:r>
        <w:rPr>
          <w:rFonts w:ascii="Arial" w:cs="Arial" w:eastAsia="Arial" w:hAnsi="Arial"/>
          <w:sz w:val="24"/>
          <w:szCs w:val="24"/>
          <w:i w:val="1"/>
          <w:iCs w:val="1"/>
          <w:color w:val="auto"/>
        </w:rPr>
        <w:t>T EID</w:t>
      </w:r>
      <w:r>
        <w:rPr>
          <w:rFonts w:ascii="Arial" w:cs="Arial" w:eastAsia="Arial" w:hAnsi="Arial"/>
          <w:sz w:val="24"/>
          <w:szCs w:val="24"/>
          <w:color w:val="auto"/>
        </w:rPr>
        <w:t>).</w:t>
      </w:r>
    </w:p>
    <w:p>
      <w:pPr>
        <w:spacing w:after="0" w:line="200" w:lineRule="exact"/>
        <w:rPr>
          <w:sz w:val="20"/>
          <w:szCs w:val="20"/>
          <w:color w:val="auto"/>
        </w:rPr>
      </w:pPr>
    </w:p>
    <w:p>
      <w:pPr>
        <w:spacing w:after="0" w:line="209" w:lineRule="exact"/>
        <w:rPr>
          <w:sz w:val="20"/>
          <w:szCs w:val="20"/>
          <w:color w:val="auto"/>
        </w:rPr>
      </w:pPr>
    </w:p>
    <w:p>
      <w:pPr>
        <w:jc w:val="center"/>
        <w:ind w:right="-19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xml:space="preserve">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1</w:t>
      </w:r>
      <w:r>
        <w:rPr>
          <w:rFonts w:ascii="Arial" w:cs="Arial" w:eastAsia="Arial" w:hAnsi="Arial"/>
          <w:sz w:val="24"/>
          <w:szCs w:val="24"/>
          <w:color w:val="auto"/>
        </w:rPr>
        <w:t>+</w:t>
      </w:r>
      <w:r>
        <w:rPr>
          <w:rFonts w:ascii="Arial" w:cs="Arial" w:eastAsia="Arial" w:hAnsi="Arial"/>
          <w:sz w:val="24"/>
          <w:szCs w:val="24"/>
          <w:i w:val="1"/>
          <w:iCs w:val="1"/>
          <w:color w:val="auto"/>
        </w:rPr>
        <w:t>DER</w:t>
      </w:r>
      <w:r>
        <w:rPr>
          <w:rFonts w:ascii="Arial" w:cs="Arial" w:eastAsia="Arial" w:hAnsi="Arial"/>
          <w:sz w:val="24"/>
          <w:szCs w:val="24"/>
          <w:color w:val="auto"/>
        </w:rPr>
        <w:t>+</w:t>
      </w:r>
      <w:r>
        <w:rPr>
          <w:rFonts w:ascii="Arial" w:cs="Arial" w:eastAsia="Arial" w:hAnsi="Arial"/>
          <w:sz w:val="24"/>
          <w:szCs w:val="24"/>
          <w:i w:val="1"/>
          <w:iCs w:val="1"/>
          <w:color w:val="auto"/>
        </w:rPr>
        <w:t>DP</w:t>
      </w:r>
      <w:r>
        <w:rPr>
          <w:rFonts w:ascii="Arial" w:cs="Arial" w:eastAsia="Arial" w:hAnsi="Arial"/>
          <w:sz w:val="24"/>
          <w:szCs w:val="24"/>
          <w:color w:val="auto"/>
        </w:rPr>
        <w:t xml:space="preserve"> +</w:t>
      </w:r>
      <w:r>
        <w:rPr>
          <w:rFonts w:ascii="Arial" w:cs="Arial" w:eastAsia="Arial" w:hAnsi="Arial"/>
          <w:sz w:val="24"/>
          <w:szCs w:val="24"/>
          <w:i w:val="1"/>
          <w:iCs w:val="1"/>
          <w:color w:val="auto"/>
        </w:rPr>
        <w:t>TEID</w:t>
      </w:r>
    </w:p>
    <w:p>
      <w:pPr>
        <w:spacing w:after="0" w:line="251" w:lineRule="exact"/>
        <w:rPr>
          <w:sz w:val="20"/>
          <w:szCs w:val="20"/>
          <w:color w:val="auto"/>
        </w:rPr>
      </w:pPr>
    </w:p>
    <w:p>
      <w:pPr>
        <w:jc w:val="both"/>
        <w:ind w:left="260" w:right="20" w:firstLine="850"/>
        <w:spacing w:after="0" w:line="294" w:lineRule="auto"/>
        <w:rPr>
          <w:sz w:val="20"/>
          <w:szCs w:val="20"/>
          <w:color w:val="auto"/>
        </w:rPr>
      </w:pPr>
      <w:r>
        <w:rPr>
          <w:rFonts w:ascii="Arial" w:cs="Arial" w:eastAsia="Arial" w:hAnsi="Arial"/>
          <w:sz w:val="24"/>
          <w:szCs w:val="24"/>
          <w:color w:val="auto"/>
        </w:rPr>
        <w:t>No conceito ampliado,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contempla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adicionado das captações internas intermediadas pelos fundos de renda fixa e das carteiras de títulos públicos federais registrados no Sistema Especial de liquidação e e Custodia (Selic). Consiste em quotas de fundos de renda fixa (</w:t>
      </w:r>
      <w:r>
        <w:rPr>
          <w:rFonts w:ascii="Arial" w:cs="Arial" w:eastAsia="Arial" w:hAnsi="Arial"/>
          <w:sz w:val="24"/>
          <w:szCs w:val="24"/>
          <w:i w:val="1"/>
          <w:iCs w:val="1"/>
          <w:color w:val="auto"/>
        </w:rPr>
        <w:t>QF RF</w:t>
      </w:r>
      <w:r>
        <w:rPr>
          <w:rFonts w:ascii="Arial" w:cs="Arial" w:eastAsia="Arial" w:hAnsi="Arial"/>
          <w:sz w:val="24"/>
          <w:szCs w:val="24"/>
          <w:color w:val="auto"/>
        </w:rPr>
        <w:t xml:space="preserve"> ) e operações compromissadas registradas no Selic (operações compromissadas lastrea-das em títulos públicos federais) (</w:t>
      </w:r>
      <w:r>
        <w:rPr>
          <w:rFonts w:ascii="Arial" w:cs="Arial" w:eastAsia="Arial" w:hAnsi="Arial"/>
          <w:sz w:val="24"/>
          <w:szCs w:val="24"/>
          <w:i w:val="1"/>
          <w:iCs w:val="1"/>
          <w:color w:val="auto"/>
        </w:rPr>
        <w:t>OCRS</w:t>
      </w:r>
      <w:r>
        <w:rPr>
          <w:rFonts w:ascii="Arial" w:cs="Arial" w:eastAsia="Arial" w:hAnsi="Arial"/>
          <w:sz w:val="24"/>
          <w:szCs w:val="24"/>
          <w:color w:val="auto"/>
        </w:rPr>
        <w:t>) (BACEN, 2019).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243840</wp:posOffset>
                </wp:positionV>
                <wp:extent cx="230251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9.2pt" to="194.25pt,19.2pt" o:allowincell="f" strokecolor="#000000" strokeweight="0.398pt"/>
            </w:pict>
          </mc:Fallback>
        </mc:AlternateContent>
      </w:r>
    </w:p>
    <w:p>
      <w:pPr>
        <w:sectPr>
          <w:pgSz w:w="11900" w:h="16838" w:orient="portrait"/>
          <w:cols w:equalWidth="0" w:num="1">
            <w:col w:w="9380"/>
          </w:cols>
          <w:pgMar w:left="1440" w:top="991" w:right="1086" w:bottom="961" w:gutter="0" w:footer="0" w:header="0"/>
        </w:sectPr>
      </w:pPr>
    </w:p>
    <w:p>
      <w:pPr>
        <w:spacing w:after="0" w:line="200" w:lineRule="exact"/>
        <w:rPr>
          <w:sz w:val="20"/>
          <w:szCs w:val="20"/>
          <w:color w:val="auto"/>
        </w:rPr>
      </w:pPr>
    </w:p>
    <w:p>
      <w:pPr>
        <w:spacing w:after="0" w:line="223" w:lineRule="exact"/>
        <w:rPr>
          <w:sz w:val="20"/>
          <w:szCs w:val="20"/>
          <w:color w:val="auto"/>
        </w:rPr>
      </w:pPr>
    </w:p>
    <w:p>
      <w:pPr>
        <w:ind w:left="540" w:right="60" w:hanging="281"/>
        <w:spacing w:after="0" w:line="210" w:lineRule="auto"/>
        <w:tabs>
          <w:tab w:leader="none" w:pos="540" w:val="left"/>
        </w:tabs>
        <w:numPr>
          <w:ilvl w:val="0"/>
          <w:numId w:val="11"/>
        </w:numPr>
        <w:rPr>
          <w:rFonts w:ascii="Arial" w:cs="Arial" w:eastAsia="Arial" w:hAnsi="Arial"/>
          <w:sz w:val="28"/>
          <w:szCs w:val="28"/>
          <w:color w:val="auto"/>
          <w:vertAlign w:val="superscript"/>
        </w:rPr>
      </w:pPr>
      <w:r>
        <w:rPr>
          <w:rFonts w:ascii="Arial" w:cs="Arial" w:eastAsia="Arial" w:hAnsi="Arial"/>
          <w:sz w:val="20"/>
          <w:szCs w:val="20"/>
          <w:color w:val="auto"/>
        </w:rPr>
        <w:t>São contas mantidas no Banco Central, obrigatória as instituições bancárias e consequentemente aos correntistas</w:t>
      </w:r>
    </w:p>
    <w:p>
      <w:pPr>
        <w:sectPr>
          <w:pgSz w:w="11900" w:h="16838" w:orient="portrait"/>
          <w:cols w:equalWidth="0" w:num="1">
            <w:col w:w="9380"/>
          </w:cols>
          <w:pgMar w:left="1440" w:top="991" w:right="1086" w:bottom="961" w:gutter="0" w:footer="0" w:header="0"/>
          <w:type w:val="continuous"/>
        </w:sectPr>
      </w:pPr>
    </w:p>
    <w:p>
      <w:pPr>
        <w:ind w:left="9060"/>
        <w:spacing w:after="0"/>
        <w:rPr>
          <w:sz w:val="20"/>
          <w:szCs w:val="20"/>
          <w:color w:val="auto"/>
        </w:rPr>
      </w:pPr>
      <w:r>
        <w:rPr>
          <w:rFonts w:ascii="Arial" w:cs="Arial" w:eastAsia="Arial" w:hAnsi="Arial"/>
          <w:sz w:val="24"/>
          <w:szCs w:val="24"/>
          <w:color w:val="auto"/>
        </w:rPr>
        <w:t>19</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xml:space="preserve"> =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2</w:t>
      </w:r>
      <w:r>
        <w:rPr>
          <w:rFonts w:ascii="Arial" w:cs="Arial" w:eastAsia="Arial" w:hAnsi="Arial"/>
          <w:sz w:val="24"/>
          <w:szCs w:val="24"/>
          <w:color w:val="auto"/>
        </w:rPr>
        <w:t xml:space="preserve"> + </w:t>
      </w:r>
      <w:r>
        <w:rPr>
          <w:rFonts w:ascii="Arial" w:cs="Arial" w:eastAsia="Arial" w:hAnsi="Arial"/>
          <w:sz w:val="24"/>
          <w:szCs w:val="24"/>
          <w:i w:val="1"/>
          <w:iCs w:val="1"/>
          <w:color w:val="auto"/>
        </w:rPr>
        <w:t>QFRF</w:t>
      </w:r>
      <w:r>
        <w:rPr>
          <w:rFonts w:ascii="Arial" w:cs="Arial" w:eastAsia="Arial" w:hAnsi="Arial"/>
          <w:sz w:val="24"/>
          <w:szCs w:val="24"/>
          <w:color w:val="auto"/>
        </w:rPr>
        <w:t xml:space="preserve"> + </w:t>
      </w:r>
      <w:r>
        <w:rPr>
          <w:rFonts w:ascii="Arial" w:cs="Arial" w:eastAsia="Arial" w:hAnsi="Arial"/>
          <w:sz w:val="24"/>
          <w:szCs w:val="24"/>
          <w:i w:val="1"/>
          <w:iCs w:val="1"/>
          <w:color w:val="auto"/>
        </w:rPr>
        <w:t>OCRS</w:t>
      </w:r>
    </w:p>
    <w:p>
      <w:pPr>
        <w:spacing w:after="0" w:line="332" w:lineRule="exact"/>
        <w:rPr>
          <w:sz w:val="20"/>
          <w:szCs w:val="20"/>
          <w:color w:val="auto"/>
        </w:rPr>
      </w:pPr>
    </w:p>
    <w:p>
      <w:pPr>
        <w:jc w:val="both"/>
        <w:ind w:left="260" w:right="40" w:firstLine="858"/>
        <w:spacing w:after="0" w:line="277" w:lineRule="auto"/>
        <w:rPr>
          <w:sz w:val="20"/>
          <w:szCs w:val="20"/>
          <w:color w:val="auto"/>
        </w:rPr>
      </w:pPr>
      <w:r>
        <w:rPr>
          <w:rFonts w:ascii="Arial" w:cs="Arial" w:eastAsia="Arial" w:hAnsi="Arial"/>
          <w:sz w:val="24"/>
          <w:szCs w:val="24"/>
          <w:color w:val="auto"/>
        </w:rPr>
        <w:t xml:space="preserve">Existe ainda o conceito de poupança financeira composto pelo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xml:space="preserve"> contemplando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xml:space="preserve"> mais a carteira livre de títulos públicos do setor não financeiro de elevada liquidez (</w:t>
      </w:r>
      <w:r>
        <w:rPr>
          <w:rFonts w:ascii="Arial" w:cs="Arial" w:eastAsia="Arial" w:hAnsi="Arial"/>
          <w:sz w:val="24"/>
          <w:szCs w:val="24"/>
          <w:i w:val="1"/>
          <w:iCs w:val="1"/>
          <w:color w:val="auto"/>
        </w:rPr>
        <w:t>CLSN F</w:t>
      </w:r>
      <w:r>
        <w:rPr>
          <w:rFonts w:ascii="Arial" w:cs="Arial" w:eastAsia="Arial" w:hAnsi="Arial"/>
          <w:sz w:val="24"/>
          <w:szCs w:val="24"/>
          <w:color w:val="auto"/>
        </w:rPr>
        <w:t xml:space="preserve"> ) (BACEN, 2019) e o Agregado Monetário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5</w:t>
      </w:r>
      <w:r>
        <w:rPr>
          <w:rFonts w:ascii="Arial" w:cs="Arial" w:eastAsia="Arial" w:hAnsi="Arial"/>
          <w:sz w:val="24"/>
          <w:szCs w:val="24"/>
          <w:color w:val="auto"/>
        </w:rPr>
        <w:t>) que engloba o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mais a capacidade de aquisição de cartões de crédito (</w:t>
      </w:r>
      <w:r>
        <w:rPr>
          <w:rFonts w:ascii="Arial" w:cs="Arial" w:eastAsia="Arial" w:hAnsi="Arial"/>
          <w:sz w:val="24"/>
          <w:szCs w:val="24"/>
          <w:i w:val="1"/>
          <w:iCs w:val="1"/>
          <w:color w:val="auto"/>
        </w:rPr>
        <w:t>CACC</w:t>
      </w:r>
      <w:r>
        <w:rPr>
          <w:rFonts w:ascii="Arial" w:cs="Arial" w:eastAsia="Arial" w:hAnsi="Arial"/>
          <w:sz w:val="24"/>
          <w:szCs w:val="24"/>
          <w:color w:val="auto"/>
        </w:rPr>
        <w:t>) .</w:t>
      </w:r>
    </w:p>
    <w:p>
      <w:pPr>
        <w:spacing w:after="0" w:line="200" w:lineRule="exact"/>
        <w:rPr>
          <w:sz w:val="20"/>
          <w:szCs w:val="20"/>
          <w:color w:val="auto"/>
        </w:rPr>
      </w:pPr>
    </w:p>
    <w:p>
      <w:pPr>
        <w:spacing w:after="0" w:line="212" w:lineRule="exact"/>
        <w:rPr>
          <w:sz w:val="20"/>
          <w:szCs w:val="20"/>
          <w:color w:val="auto"/>
        </w:rPr>
      </w:pPr>
    </w:p>
    <w:p>
      <w:pPr>
        <w:ind w:left="3720"/>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xml:space="preserve"> =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3</w:t>
      </w:r>
      <w:r>
        <w:rPr>
          <w:rFonts w:ascii="Arial" w:cs="Arial" w:eastAsia="Arial" w:hAnsi="Arial"/>
          <w:sz w:val="24"/>
          <w:szCs w:val="24"/>
          <w:color w:val="auto"/>
        </w:rPr>
        <w:t xml:space="preserve"> + </w:t>
      </w:r>
      <w:r>
        <w:rPr>
          <w:rFonts w:ascii="Arial" w:cs="Arial" w:eastAsia="Arial" w:hAnsi="Arial"/>
          <w:sz w:val="24"/>
          <w:szCs w:val="24"/>
          <w:i w:val="1"/>
          <w:iCs w:val="1"/>
          <w:color w:val="auto"/>
        </w:rPr>
        <w:t>CLSNF</w:t>
      </w:r>
    </w:p>
    <w:p>
      <w:pPr>
        <w:spacing w:after="0" w:line="132" w:lineRule="exact"/>
        <w:rPr>
          <w:sz w:val="20"/>
          <w:szCs w:val="20"/>
          <w:color w:val="auto"/>
        </w:rPr>
      </w:pPr>
    </w:p>
    <w:p>
      <w:pPr>
        <w:ind w:left="3800"/>
        <w:spacing w:after="0"/>
        <w:rPr>
          <w:sz w:val="20"/>
          <w:szCs w:val="20"/>
          <w:color w:val="auto"/>
        </w:rPr>
      </w:pPr>
      <w:r>
        <w:rPr>
          <w:rFonts w:ascii="Arial" w:cs="Arial" w:eastAsia="Arial" w:hAnsi="Arial"/>
          <w:sz w:val="24"/>
          <w:szCs w:val="24"/>
          <w:i w:val="1"/>
          <w:iCs w:val="1"/>
          <w:color w:val="auto"/>
        </w:rPr>
        <w:t>M</w:t>
      </w:r>
      <w:r>
        <w:rPr>
          <w:rFonts w:ascii="Arial" w:cs="Arial" w:eastAsia="Arial" w:hAnsi="Arial"/>
          <w:sz w:val="31"/>
          <w:szCs w:val="31"/>
          <w:color w:val="auto"/>
          <w:vertAlign w:val="subscript"/>
        </w:rPr>
        <w:t>5</w:t>
      </w:r>
      <w:r>
        <w:rPr>
          <w:rFonts w:ascii="Arial" w:cs="Arial" w:eastAsia="Arial" w:hAnsi="Arial"/>
          <w:sz w:val="24"/>
          <w:szCs w:val="24"/>
          <w:color w:val="auto"/>
        </w:rPr>
        <w:t xml:space="preserve"> = </w:t>
      </w:r>
      <w:r>
        <w:rPr>
          <w:rFonts w:ascii="Arial" w:cs="Arial" w:eastAsia="Arial" w:hAnsi="Arial"/>
          <w:sz w:val="24"/>
          <w:szCs w:val="24"/>
          <w:i w:val="1"/>
          <w:iCs w:val="1"/>
          <w:color w:val="auto"/>
        </w:rPr>
        <w:t>M</w:t>
      </w:r>
      <w:r>
        <w:rPr>
          <w:rFonts w:ascii="Arial" w:cs="Arial" w:eastAsia="Arial" w:hAnsi="Arial"/>
          <w:sz w:val="31"/>
          <w:szCs w:val="31"/>
          <w:color w:val="auto"/>
          <w:vertAlign w:val="subscript"/>
        </w:rPr>
        <w:t>4</w:t>
      </w:r>
      <w:r>
        <w:rPr>
          <w:rFonts w:ascii="Arial" w:cs="Arial" w:eastAsia="Arial" w:hAnsi="Arial"/>
          <w:sz w:val="24"/>
          <w:szCs w:val="24"/>
          <w:color w:val="auto"/>
        </w:rPr>
        <w:t xml:space="preserve"> + </w:t>
      </w:r>
      <w:r>
        <w:rPr>
          <w:rFonts w:ascii="Arial" w:cs="Arial" w:eastAsia="Arial" w:hAnsi="Arial"/>
          <w:sz w:val="24"/>
          <w:szCs w:val="24"/>
          <w:i w:val="1"/>
          <w:iCs w:val="1"/>
          <w:color w:val="auto"/>
        </w:rPr>
        <w:t>CACC</w:t>
      </w:r>
    </w:p>
    <w:p>
      <w:pPr>
        <w:spacing w:after="0" w:line="332" w:lineRule="exact"/>
        <w:rPr>
          <w:sz w:val="20"/>
          <w:szCs w:val="20"/>
          <w:color w:val="auto"/>
        </w:rPr>
      </w:pPr>
    </w:p>
    <w:p>
      <w:pPr>
        <w:jc w:val="both"/>
        <w:ind w:left="260" w:right="40" w:firstLine="856"/>
        <w:spacing w:after="0" w:line="314" w:lineRule="auto"/>
        <w:rPr>
          <w:sz w:val="20"/>
          <w:szCs w:val="20"/>
          <w:color w:val="auto"/>
        </w:rPr>
      </w:pPr>
      <w:r>
        <w:rPr>
          <w:rFonts w:ascii="Arial" w:cs="Arial" w:eastAsia="Arial" w:hAnsi="Arial"/>
          <w:sz w:val="24"/>
          <w:szCs w:val="24"/>
          <w:color w:val="auto"/>
        </w:rPr>
        <w:t>De acordo com a teoria quantitativa da moeda, o nível de preços (</w:t>
      </w:r>
      <w:r>
        <w:rPr>
          <w:rFonts w:ascii="Arial" w:cs="Arial" w:eastAsia="Arial" w:hAnsi="Arial"/>
          <w:sz w:val="24"/>
          <w:szCs w:val="24"/>
          <w:i w:val="1"/>
          <w:iCs w:val="1"/>
          <w:color w:val="auto"/>
        </w:rPr>
        <w:t>P</w:t>
      </w:r>
      <w:r>
        <w:rPr>
          <w:rFonts w:ascii="Arial" w:cs="Arial" w:eastAsia="Arial" w:hAnsi="Arial"/>
          <w:sz w:val="24"/>
          <w:szCs w:val="24"/>
          <w:color w:val="auto"/>
        </w:rPr>
        <w:t xml:space="preserve"> ) em uma economia guarda relação com a quantidade de moeda em circulação (</w:t>
      </w:r>
      <w:r>
        <w:rPr>
          <w:rFonts w:ascii="Arial" w:cs="Arial" w:eastAsia="Arial" w:hAnsi="Arial"/>
          <w:sz w:val="24"/>
          <w:szCs w:val="24"/>
          <w:i w:val="1"/>
          <w:iCs w:val="1"/>
          <w:color w:val="auto"/>
        </w:rPr>
        <w:t>M</w:t>
      </w:r>
      <w:r>
        <w:rPr>
          <w:rFonts w:ascii="Arial" w:cs="Arial" w:eastAsia="Arial" w:hAnsi="Arial"/>
          <w:sz w:val="24"/>
          <w:szCs w:val="24"/>
          <w:color w:val="auto"/>
        </w:rPr>
        <w:t>) e a velocidade (</w:t>
      </w:r>
      <w:r>
        <w:rPr>
          <w:rFonts w:ascii="Arial" w:cs="Arial" w:eastAsia="Arial" w:hAnsi="Arial"/>
          <w:sz w:val="24"/>
          <w:szCs w:val="24"/>
          <w:i w:val="1"/>
          <w:iCs w:val="1"/>
          <w:color w:val="auto"/>
        </w:rPr>
        <w:t>V</w:t>
      </w:r>
      <w:r>
        <w:rPr>
          <w:rFonts w:ascii="Arial" w:cs="Arial" w:eastAsia="Arial" w:hAnsi="Arial"/>
          <w:sz w:val="24"/>
          <w:szCs w:val="24"/>
          <w:color w:val="auto"/>
        </w:rPr>
        <w:t xml:space="preserve"> ) em que circula a moeda na economia — frequência média em que uma unidade monetária é consumida em um período de tempo —, diante o produto seu produto real (</w:t>
      </w:r>
      <w:r>
        <w:rPr>
          <w:rFonts w:ascii="Arial" w:cs="Arial" w:eastAsia="Arial" w:hAnsi="Arial"/>
          <w:sz w:val="24"/>
          <w:szCs w:val="24"/>
          <w:i w:val="1"/>
          <w:iCs w:val="1"/>
          <w:color w:val="auto"/>
        </w:rPr>
        <w:t>y</w:t>
      </w:r>
      <w:r>
        <w:rPr>
          <w:rFonts w:ascii="Arial" w:cs="Arial" w:eastAsia="Arial" w:hAnsi="Arial"/>
          <w:sz w:val="24"/>
          <w:szCs w:val="24"/>
          <w:color w:val="auto"/>
        </w:rPr>
        <w:t>), com a premissa que no curto prazo o produto e a velocidade a moeda são constantes (VASCONCELLOS, 2001).</w:t>
      </w:r>
    </w:p>
    <w:p>
      <w:pPr>
        <w:spacing w:after="0" w:line="147" w:lineRule="exact"/>
        <w:rPr>
          <w:sz w:val="20"/>
          <w:szCs w:val="20"/>
          <w:color w:val="auto"/>
        </w:rPr>
      </w:pPr>
    </w:p>
    <w:p>
      <w:pPr>
        <w:ind w:left="2800"/>
        <w:spacing w:after="0"/>
        <w:rPr>
          <w:sz w:val="20"/>
          <w:szCs w:val="20"/>
          <w:color w:val="auto"/>
        </w:rPr>
      </w:pPr>
      <w:r>
        <w:rPr>
          <w:rFonts w:ascii="Arial" w:cs="Arial" w:eastAsia="Arial" w:hAnsi="Arial"/>
          <w:sz w:val="24"/>
          <w:szCs w:val="24"/>
          <w:i w:val="1"/>
          <w:iCs w:val="1"/>
          <w:color w:val="auto"/>
        </w:rPr>
        <w:t>M V</w:t>
      </w:r>
      <w:r>
        <w:rPr>
          <w:rFonts w:ascii="Arial" w:cs="Arial" w:eastAsia="Arial" w:hAnsi="Arial"/>
          <w:sz w:val="24"/>
          <w:szCs w:val="24"/>
          <w:color w:val="auto"/>
        </w:rPr>
        <w:t xml:space="preserve"> = </w:t>
      </w:r>
      <w:r>
        <w:rPr>
          <w:rFonts w:ascii="Arial" w:cs="Arial" w:eastAsia="Arial" w:hAnsi="Arial"/>
          <w:sz w:val="24"/>
          <w:szCs w:val="24"/>
          <w:i w:val="1"/>
          <w:iCs w:val="1"/>
          <w:color w:val="auto"/>
        </w:rPr>
        <w:t>P y</w:t>
      </w:r>
      <w:r>
        <w:rPr>
          <w:rFonts w:ascii="Arial" w:cs="Arial" w:eastAsia="Arial" w:hAnsi="Arial"/>
          <w:sz w:val="24"/>
          <w:szCs w:val="24"/>
          <w:color w:val="auto"/>
        </w:rPr>
        <w:t xml:space="preserve"> =</w:t>
      </w:r>
      <w:r>
        <w:rPr>
          <w:rFonts w:ascii="Arial" w:cs="Arial" w:eastAsia="Arial" w:hAnsi="Arial"/>
          <w:sz w:val="24"/>
          <w:szCs w:val="24"/>
          <w:i w:val="1"/>
          <w:iCs w:val="1"/>
          <w:color w:val="auto"/>
        </w:rPr>
        <w:t>&gt; P</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M V</w:t>
      </w:r>
      <w:r>
        <w:rPr>
          <w:rFonts w:ascii="Arial" w:cs="Arial" w:eastAsia="Arial" w:hAnsi="Arial"/>
          <w:sz w:val="24"/>
          <w:szCs w:val="24"/>
          <w:color w:val="auto"/>
        </w:rPr>
        <w:t xml:space="preserve"> =</w:t>
      </w:r>
      <w:r>
        <w:rPr>
          <w:rFonts w:ascii="Arial" w:cs="Arial" w:eastAsia="Arial" w:hAnsi="Arial"/>
          <w:sz w:val="24"/>
          <w:szCs w:val="24"/>
          <w:i w:val="1"/>
          <w:iCs w:val="1"/>
          <w:color w:val="auto"/>
        </w:rPr>
        <w:t>&gt; V</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P 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3104515</wp:posOffset>
                </wp:positionH>
                <wp:positionV relativeFrom="paragraph">
                  <wp:posOffset>-36195</wp:posOffset>
                </wp:positionV>
                <wp:extent cx="2794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94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45pt,-2.8499pt" to="266.45pt,-2.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4050030</wp:posOffset>
                </wp:positionH>
                <wp:positionV relativeFrom="paragraph">
                  <wp:posOffset>-36195</wp:posOffset>
                </wp:positionV>
                <wp:extent cx="19431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43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9pt,-2.8499pt" to="334.2pt,-2.8499pt" o:allowincell="f" strokecolor="#000000" strokeweight="0.398pt"/>
            </w:pict>
          </mc:Fallback>
        </mc:AlternateContent>
      </w:r>
    </w:p>
    <w:p>
      <w:pPr>
        <w:ind w:left="5040"/>
        <w:spacing w:after="0" w:line="194" w:lineRule="auto"/>
        <w:tabs>
          <w:tab w:leader="none" w:pos="6380" w:val="left"/>
        </w:tabs>
        <w:rPr>
          <w:sz w:val="20"/>
          <w:szCs w:val="20"/>
          <w:color w:val="auto"/>
        </w:rPr>
      </w:pPr>
      <w:r>
        <w:rPr>
          <w:rFonts w:ascii="Arial" w:cs="Arial" w:eastAsia="Arial" w:hAnsi="Arial"/>
          <w:sz w:val="24"/>
          <w:szCs w:val="24"/>
          <w:i w:val="1"/>
          <w:iCs w:val="1"/>
          <w:color w:val="auto"/>
        </w:rPr>
        <w:t>y</w:t>
      </w:r>
      <w:r>
        <w:rPr>
          <w:sz w:val="20"/>
          <w:szCs w:val="20"/>
          <w:color w:val="auto"/>
        </w:rPr>
        <w:tab/>
      </w:r>
      <w:r>
        <w:rPr>
          <w:rFonts w:ascii="Arial" w:cs="Arial" w:eastAsia="Arial" w:hAnsi="Arial"/>
          <w:sz w:val="24"/>
          <w:szCs w:val="24"/>
          <w:i w:val="1"/>
          <w:iCs w:val="1"/>
          <w:color w:val="auto"/>
        </w:rPr>
        <w:t>M</w:t>
      </w:r>
    </w:p>
    <w:p>
      <w:pPr>
        <w:spacing w:after="0" w:line="208" w:lineRule="exact"/>
        <w:rPr>
          <w:sz w:val="20"/>
          <w:szCs w:val="20"/>
          <w:color w:val="auto"/>
        </w:rPr>
      </w:pPr>
    </w:p>
    <w:p>
      <w:pPr>
        <w:jc w:val="both"/>
        <w:ind w:left="260" w:right="40" w:firstLine="857"/>
        <w:spacing w:after="0" w:line="319" w:lineRule="auto"/>
        <w:rPr>
          <w:sz w:val="20"/>
          <w:szCs w:val="20"/>
          <w:color w:val="auto"/>
        </w:rPr>
      </w:pPr>
      <w:r>
        <w:rPr>
          <w:rFonts w:ascii="Arial" w:cs="Arial" w:eastAsia="Arial" w:hAnsi="Arial"/>
          <w:sz w:val="24"/>
          <w:szCs w:val="24"/>
          <w:color w:val="auto"/>
        </w:rPr>
        <w:t>A Figura 6 demonstra a evolução da Base Monetária nominal entre os anos de 1995 e 2020 com elevação exponencial e constante durante este período, em termos constantes.</w:t>
      </w:r>
    </w:p>
    <w:p>
      <w:pPr>
        <w:spacing w:after="0" w:line="95"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No que tange a abordagem microeconômica, as instituições bancárias como sociedade anônimas e instituições supervisionadas pelo Banco Central, são obrigadas a divulgar seus resultados em forma de demonstrações contábeis. A partir destas demostrações podem ser observados e extraídos dados e indicadores generalizados sobre a operação das instituições.</w:t>
      </w:r>
    </w:p>
    <w:p>
      <w:pPr>
        <w:spacing w:after="0" w:line="101" w:lineRule="exact"/>
        <w:rPr>
          <w:sz w:val="20"/>
          <w:szCs w:val="20"/>
          <w:color w:val="auto"/>
        </w:rPr>
      </w:pPr>
    </w:p>
    <w:p>
      <w:pPr>
        <w:jc w:val="both"/>
        <w:ind w:left="260" w:right="40" w:firstLine="850"/>
        <w:spacing w:after="0" w:line="327" w:lineRule="auto"/>
        <w:rPr>
          <w:sz w:val="20"/>
          <w:szCs w:val="20"/>
          <w:color w:val="auto"/>
        </w:rPr>
      </w:pPr>
      <w:r>
        <w:rPr>
          <w:rFonts w:ascii="Arial" w:cs="Arial" w:eastAsia="Arial" w:hAnsi="Arial"/>
          <w:sz w:val="24"/>
          <w:szCs w:val="24"/>
          <w:color w:val="FF0000"/>
        </w:rPr>
        <w:t>INSERIR BREVE QUADRO RESUMINDO OS DOCUMENTOS CONTÁBEIS PADRONIZADOS</w:t>
      </w:r>
    </w:p>
    <w:p>
      <w:pPr>
        <w:spacing w:after="0" w:line="85"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Os dados são divulgados seguindo uma padronização para o setor, onde podem ser observados as receitas, despesas, ativos, passivos, patrimônio líquido, ENTRE outros para cada período de registo, buscando refletir a situação econômica e financeira, podendo ser analisado de forma evolutiva e comparativa com outras instituições.</w:t>
      </w:r>
    </w:p>
    <w:p>
      <w:pPr>
        <w:spacing w:after="0" w:line="101" w:lineRule="exact"/>
        <w:rPr>
          <w:sz w:val="20"/>
          <w:szCs w:val="20"/>
          <w:color w:val="auto"/>
        </w:rPr>
      </w:pPr>
    </w:p>
    <w:p>
      <w:pPr>
        <w:ind w:left="260" w:right="40" w:firstLine="850"/>
        <w:spacing w:after="0" w:line="327" w:lineRule="auto"/>
        <w:rPr>
          <w:sz w:val="20"/>
          <w:szCs w:val="20"/>
          <w:color w:val="auto"/>
        </w:rPr>
      </w:pPr>
      <w:r>
        <w:rPr>
          <w:rFonts w:ascii="Arial" w:cs="Arial" w:eastAsia="Arial" w:hAnsi="Arial"/>
          <w:sz w:val="24"/>
          <w:szCs w:val="24"/>
          <w:color w:val="auto"/>
        </w:rPr>
        <w:t>Entre os principais indicadores para avaliação de resultados das instituições bancárias, estão os índices de Liquidez Geral e Liquidez Corrente, Endividamento</w:t>
      </w:r>
    </w:p>
    <w:p>
      <w:pPr>
        <w:sectPr>
          <w:pgSz w:w="11900" w:h="16838" w:orient="portrait"/>
          <w:cols w:equalWidth="0" w:num="1">
            <w:col w:w="9360"/>
          </w:cols>
          <w:pgMar w:left="1440" w:top="991" w:right="1106" w:bottom="334" w:gutter="0" w:footer="0" w:header="0"/>
        </w:sectPr>
      </w:pPr>
    </w:p>
    <w:p>
      <w:pPr>
        <w:jc w:val="right"/>
        <w:ind w:right="40"/>
        <w:spacing w:after="0"/>
        <w:rPr>
          <w:sz w:val="20"/>
          <w:szCs w:val="20"/>
          <w:color w:val="auto"/>
        </w:rPr>
      </w:pPr>
      <w:r>
        <w:rPr>
          <w:rFonts w:ascii="Arial" w:cs="Arial" w:eastAsia="Arial" w:hAnsi="Arial"/>
          <w:sz w:val="24"/>
          <w:szCs w:val="24"/>
          <w:color w:val="auto"/>
        </w:rPr>
        <w:t>20</w:t>
      </w:r>
    </w:p>
    <w:p>
      <w:pPr>
        <w:spacing w:after="0" w:line="200" w:lineRule="exact"/>
        <w:rPr>
          <w:sz w:val="20"/>
          <w:szCs w:val="20"/>
          <w:color w:val="auto"/>
        </w:rPr>
      </w:pPr>
    </w:p>
    <w:p>
      <w:pPr>
        <w:spacing w:after="0" w:line="215" w:lineRule="exact"/>
        <w:rPr>
          <w:sz w:val="20"/>
          <w:szCs w:val="20"/>
          <w:color w:val="auto"/>
        </w:rPr>
      </w:pPr>
    </w:p>
    <w:p>
      <w:pPr>
        <w:jc w:val="center"/>
        <w:ind w:right="-219"/>
        <w:spacing w:after="0"/>
        <w:rPr>
          <w:sz w:val="20"/>
          <w:szCs w:val="20"/>
          <w:color w:val="auto"/>
        </w:rPr>
      </w:pPr>
      <w:r>
        <w:rPr>
          <w:rFonts w:ascii="Arial" w:cs="Arial" w:eastAsia="Arial" w:hAnsi="Arial"/>
          <w:sz w:val="21"/>
          <w:szCs w:val="21"/>
          <w:color w:val="auto"/>
        </w:rPr>
        <w:t>Figura 6 – Evolução da Base Monetária — no Brasil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568960</wp:posOffset>
            </wp:positionH>
            <wp:positionV relativeFrom="paragraph">
              <wp:posOffset>334010</wp:posOffset>
            </wp:positionV>
            <wp:extent cx="5346065" cy="373443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a:extLst>
                        <a:ext uri="{28A0092B-C50C-407E-A947-70E740481C1C}"/>
                      </a:extLst>
                    </a:blip>
                    <a:srcRect/>
                    <a:stretch>
                      <a:fillRect/>
                    </a:stretch>
                  </pic:blipFill>
                  <pic:spPr bwMode="auto">
                    <a:xfrm>
                      <a:off x="0" y="0"/>
                      <a:ext cx="5346065" cy="3734435"/>
                    </a:xfrm>
                    <a:prstGeom prst="rect">
                      <a:avLst/>
                    </a:prstGeom>
                    <a:noFill/>
                  </pic:spPr>
                </pic:pic>
              </a:graphicData>
            </a:graphic>
          </wp:anchor>
        </w:drawing>
      </w:r>
    </w:p>
    <w:p>
      <w:pPr>
        <w:sectPr>
          <w:pgSz w:w="11900" w:h="16838" w:orient="portrait"/>
          <w:cols w:equalWidth="0" w:num="1">
            <w:col w:w="9360"/>
          </w:cols>
          <w:pgMar w:left="1440" w:top="991" w:right="1106" w:bottom="101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tbl>
      <w:tblPr>
        <w:tblLayout w:type="fixed"/>
        <w:tblInd w:w="328" w:type="dxa"/>
        <w:tblCellMar>
          <w:top w:w="0" w:type="dxa"/>
          <w:left w:w="0" w:type="dxa"/>
          <w:bottom w:w="0" w:type="dxa"/>
          <w:right w:w="0" w:type="dxa"/>
        </w:tblCellMar>
      </w:tblPr>
      <w:tr>
        <w:trPr>
          <w:trHeight w:val="1980"/>
        </w:trPr>
        <w:tc>
          <w:tcPr>
            <w:tcW w:w="218" w:type="dxa"/>
            <w:vAlign w:val="bottom"/>
            <w:textDirection w:val="btLr"/>
          </w:tcPr>
          <w:p>
            <w:pPr>
              <w:spacing w:after="0"/>
              <w:rPr>
                <w:sz w:val="20"/>
                <w:szCs w:val="20"/>
                <w:color w:val="auto"/>
              </w:rPr>
            </w:pPr>
            <w:r>
              <w:rPr>
                <w:rFonts w:ascii="Helvetica" w:cs="Helvetica" w:eastAsia="Helvetica" w:hAnsi="Helvetica"/>
                <w:sz w:val="19"/>
                <w:szCs w:val="19"/>
                <w:color w:val="auto"/>
              </w:rPr>
              <w:t>Trilhões R$ correntes</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1440" w:type="dxa"/>
            <w:vAlign w:val="bottom"/>
          </w:tcPr>
          <w:p>
            <w:pPr>
              <w:jc w:val="right"/>
              <w:ind w:right="1152"/>
              <w:spacing w:after="0"/>
              <w:rPr>
                <w:sz w:val="20"/>
                <w:szCs w:val="20"/>
                <w:color w:val="auto"/>
              </w:rPr>
            </w:pPr>
            <w:r>
              <w:rPr>
                <w:rFonts w:ascii="Helvetica" w:cs="Helvetica" w:eastAsia="Helvetica" w:hAnsi="Helvetica"/>
                <w:sz w:val="18"/>
                <w:szCs w:val="18"/>
                <w:color w:val="4D4D4D"/>
                <w:w w:val="89"/>
              </w:rPr>
              <w:t>80</w:t>
            </w:r>
          </w:p>
        </w:tc>
        <w:tc>
          <w:tcPr>
            <w:tcW w:w="154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1540" w:type="dxa"/>
            <w:vAlign w:val="bottom"/>
          </w:tcPr>
          <w:p>
            <w:pPr>
              <w:spacing w:after="0"/>
              <w:rPr>
                <w:sz w:val="17"/>
                <w:szCs w:val="17"/>
                <w:color w:val="auto"/>
              </w:rPr>
            </w:pPr>
          </w:p>
        </w:tc>
        <w:tc>
          <w:tcPr>
            <w:tcW w:w="1520" w:type="dxa"/>
            <w:vAlign w:val="bottom"/>
          </w:tcPr>
          <w:p>
            <w:pPr>
              <w:spacing w:after="0"/>
              <w:rPr>
                <w:sz w:val="17"/>
                <w:szCs w:val="17"/>
                <w:color w:val="auto"/>
              </w:rPr>
            </w:pPr>
          </w:p>
        </w:tc>
        <w:tc>
          <w:tcPr>
            <w:tcW w:w="980" w:type="dxa"/>
            <w:vAlign w:val="bottom"/>
          </w:tcPr>
          <w:p>
            <w:pPr>
              <w:spacing w:after="0"/>
              <w:rPr>
                <w:sz w:val="17"/>
                <w:szCs w:val="17"/>
                <w:color w:val="auto"/>
              </w:rPr>
            </w:pPr>
          </w:p>
        </w:tc>
      </w:tr>
      <w:tr>
        <w:trPr>
          <w:trHeight w:val="1395"/>
        </w:trPr>
        <w:tc>
          <w:tcPr>
            <w:tcW w:w="1440" w:type="dxa"/>
            <w:vAlign w:val="bottom"/>
          </w:tcPr>
          <w:p>
            <w:pPr>
              <w:jc w:val="right"/>
              <w:ind w:right="1152"/>
              <w:spacing w:after="0"/>
              <w:rPr>
                <w:sz w:val="20"/>
                <w:szCs w:val="20"/>
                <w:color w:val="auto"/>
              </w:rPr>
            </w:pPr>
            <w:r>
              <w:rPr>
                <w:rFonts w:ascii="Helvetica" w:cs="Helvetica" w:eastAsia="Helvetica" w:hAnsi="Helvetica"/>
                <w:sz w:val="18"/>
                <w:szCs w:val="18"/>
                <w:color w:val="4D4D4D"/>
                <w:w w:val="89"/>
              </w:rPr>
              <w:t>60</w:t>
            </w: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980" w:type="dxa"/>
            <w:vAlign w:val="bottom"/>
          </w:tcPr>
          <w:p>
            <w:pPr>
              <w:spacing w:after="0"/>
              <w:rPr>
                <w:sz w:val="24"/>
                <w:szCs w:val="24"/>
                <w:color w:val="auto"/>
              </w:rPr>
            </w:pPr>
          </w:p>
        </w:tc>
      </w:tr>
      <w:tr>
        <w:trPr>
          <w:trHeight w:val="1395"/>
        </w:trPr>
        <w:tc>
          <w:tcPr>
            <w:tcW w:w="1440" w:type="dxa"/>
            <w:vAlign w:val="bottom"/>
          </w:tcPr>
          <w:p>
            <w:pPr>
              <w:jc w:val="right"/>
              <w:ind w:right="1152"/>
              <w:spacing w:after="0"/>
              <w:rPr>
                <w:sz w:val="20"/>
                <w:szCs w:val="20"/>
                <w:color w:val="auto"/>
              </w:rPr>
            </w:pPr>
            <w:r>
              <w:rPr>
                <w:rFonts w:ascii="Helvetica" w:cs="Helvetica" w:eastAsia="Helvetica" w:hAnsi="Helvetica"/>
                <w:sz w:val="18"/>
                <w:szCs w:val="18"/>
                <w:color w:val="4D4D4D"/>
                <w:w w:val="89"/>
              </w:rPr>
              <w:t>40</w:t>
            </w: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980" w:type="dxa"/>
            <w:vAlign w:val="bottom"/>
          </w:tcPr>
          <w:p>
            <w:pPr>
              <w:spacing w:after="0"/>
              <w:rPr>
                <w:sz w:val="24"/>
                <w:szCs w:val="24"/>
                <w:color w:val="auto"/>
              </w:rPr>
            </w:pPr>
          </w:p>
        </w:tc>
      </w:tr>
      <w:tr>
        <w:trPr>
          <w:trHeight w:val="1395"/>
        </w:trPr>
        <w:tc>
          <w:tcPr>
            <w:tcW w:w="1440" w:type="dxa"/>
            <w:vAlign w:val="bottom"/>
          </w:tcPr>
          <w:p>
            <w:pPr>
              <w:jc w:val="right"/>
              <w:ind w:right="1152"/>
              <w:spacing w:after="0"/>
              <w:rPr>
                <w:sz w:val="20"/>
                <w:szCs w:val="20"/>
                <w:color w:val="auto"/>
              </w:rPr>
            </w:pPr>
            <w:r>
              <w:rPr>
                <w:rFonts w:ascii="Helvetica" w:cs="Helvetica" w:eastAsia="Helvetica" w:hAnsi="Helvetica"/>
                <w:sz w:val="18"/>
                <w:szCs w:val="18"/>
                <w:color w:val="4D4D4D"/>
                <w:w w:val="89"/>
              </w:rPr>
              <w:t>20</w:t>
            </w: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980" w:type="dxa"/>
            <w:vAlign w:val="bottom"/>
          </w:tcPr>
          <w:p>
            <w:pPr>
              <w:spacing w:after="0"/>
              <w:rPr>
                <w:sz w:val="24"/>
                <w:szCs w:val="24"/>
                <w:color w:val="auto"/>
              </w:rPr>
            </w:pPr>
          </w:p>
        </w:tc>
      </w:tr>
      <w:tr>
        <w:trPr>
          <w:trHeight w:val="1395"/>
        </w:trPr>
        <w:tc>
          <w:tcPr>
            <w:tcW w:w="1440" w:type="dxa"/>
            <w:vAlign w:val="bottom"/>
          </w:tcPr>
          <w:p>
            <w:pPr>
              <w:jc w:val="right"/>
              <w:ind w:right="1152"/>
              <w:spacing w:after="0"/>
              <w:rPr>
                <w:sz w:val="20"/>
                <w:szCs w:val="20"/>
                <w:color w:val="auto"/>
              </w:rPr>
            </w:pPr>
            <w:r>
              <w:rPr>
                <w:rFonts w:ascii="Helvetica" w:cs="Helvetica" w:eastAsia="Helvetica" w:hAnsi="Helvetica"/>
                <w:sz w:val="18"/>
                <w:szCs w:val="18"/>
                <w:color w:val="4D4D4D"/>
              </w:rPr>
              <w:t>0</w:t>
            </w: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520" w:type="dxa"/>
            <w:vAlign w:val="bottom"/>
          </w:tcPr>
          <w:p>
            <w:pPr>
              <w:spacing w:after="0"/>
              <w:rPr>
                <w:sz w:val="24"/>
                <w:szCs w:val="24"/>
                <w:color w:val="auto"/>
              </w:rPr>
            </w:pPr>
          </w:p>
        </w:tc>
        <w:tc>
          <w:tcPr>
            <w:tcW w:w="980" w:type="dxa"/>
            <w:vAlign w:val="bottom"/>
          </w:tcPr>
          <w:p>
            <w:pPr>
              <w:spacing w:after="0"/>
              <w:rPr>
                <w:sz w:val="24"/>
                <w:szCs w:val="24"/>
                <w:color w:val="auto"/>
              </w:rPr>
            </w:pPr>
          </w:p>
        </w:tc>
      </w:tr>
      <w:tr>
        <w:trPr>
          <w:trHeight w:val="269"/>
        </w:trPr>
        <w:tc>
          <w:tcPr>
            <w:tcW w:w="1440" w:type="dxa"/>
            <w:vAlign w:val="bottom"/>
          </w:tcPr>
          <w:p>
            <w:pPr>
              <w:jc w:val="right"/>
              <w:ind w:right="472"/>
              <w:spacing w:after="0"/>
              <w:rPr>
                <w:sz w:val="20"/>
                <w:szCs w:val="20"/>
                <w:color w:val="auto"/>
              </w:rPr>
            </w:pPr>
            <w:r>
              <w:rPr>
                <w:rFonts w:ascii="Helvetica" w:cs="Helvetica" w:eastAsia="Helvetica" w:hAnsi="Helvetica"/>
                <w:sz w:val="18"/>
                <w:szCs w:val="18"/>
                <w:color w:val="4D4D4D"/>
              </w:rPr>
              <w:t>1995</w:t>
            </w:r>
          </w:p>
        </w:tc>
        <w:tc>
          <w:tcPr>
            <w:tcW w:w="1540" w:type="dxa"/>
            <w:vAlign w:val="bottom"/>
          </w:tcPr>
          <w:p>
            <w:pPr>
              <w:jc w:val="right"/>
              <w:ind w:right="492"/>
              <w:spacing w:after="0"/>
              <w:rPr>
                <w:sz w:val="20"/>
                <w:szCs w:val="20"/>
                <w:color w:val="auto"/>
              </w:rPr>
            </w:pPr>
            <w:r>
              <w:rPr>
                <w:rFonts w:ascii="Helvetica" w:cs="Helvetica" w:eastAsia="Helvetica" w:hAnsi="Helvetica"/>
                <w:sz w:val="18"/>
                <w:szCs w:val="18"/>
                <w:color w:val="4D4D4D"/>
              </w:rPr>
              <w:t>2000</w:t>
            </w:r>
          </w:p>
        </w:tc>
        <w:tc>
          <w:tcPr>
            <w:tcW w:w="1520" w:type="dxa"/>
            <w:vAlign w:val="bottom"/>
          </w:tcPr>
          <w:p>
            <w:pPr>
              <w:jc w:val="right"/>
              <w:ind w:right="472"/>
              <w:spacing w:after="0"/>
              <w:rPr>
                <w:sz w:val="20"/>
                <w:szCs w:val="20"/>
                <w:color w:val="auto"/>
              </w:rPr>
            </w:pPr>
            <w:r>
              <w:rPr>
                <w:rFonts w:ascii="Helvetica" w:cs="Helvetica" w:eastAsia="Helvetica" w:hAnsi="Helvetica"/>
                <w:sz w:val="18"/>
                <w:szCs w:val="18"/>
                <w:color w:val="4D4D4D"/>
              </w:rPr>
              <w:t>2005</w:t>
            </w:r>
          </w:p>
        </w:tc>
        <w:tc>
          <w:tcPr>
            <w:tcW w:w="1540" w:type="dxa"/>
            <w:vAlign w:val="bottom"/>
          </w:tcPr>
          <w:p>
            <w:pPr>
              <w:jc w:val="right"/>
              <w:ind w:right="492"/>
              <w:spacing w:after="0"/>
              <w:rPr>
                <w:sz w:val="20"/>
                <w:szCs w:val="20"/>
                <w:color w:val="auto"/>
              </w:rPr>
            </w:pPr>
            <w:r>
              <w:rPr>
                <w:rFonts w:ascii="Helvetica" w:cs="Helvetica" w:eastAsia="Helvetica" w:hAnsi="Helvetica"/>
                <w:sz w:val="18"/>
                <w:szCs w:val="18"/>
                <w:color w:val="4D4D4D"/>
              </w:rPr>
              <w:t>2010</w:t>
            </w:r>
          </w:p>
        </w:tc>
        <w:tc>
          <w:tcPr>
            <w:tcW w:w="1520" w:type="dxa"/>
            <w:vAlign w:val="bottom"/>
          </w:tcPr>
          <w:p>
            <w:pPr>
              <w:jc w:val="right"/>
              <w:ind w:right="472"/>
              <w:spacing w:after="0"/>
              <w:rPr>
                <w:sz w:val="20"/>
                <w:szCs w:val="20"/>
                <w:color w:val="auto"/>
              </w:rPr>
            </w:pPr>
            <w:r>
              <w:rPr>
                <w:rFonts w:ascii="Helvetica" w:cs="Helvetica" w:eastAsia="Helvetica" w:hAnsi="Helvetica"/>
                <w:sz w:val="18"/>
                <w:szCs w:val="18"/>
                <w:color w:val="4D4D4D"/>
              </w:rPr>
              <w:t>2015</w:t>
            </w:r>
          </w:p>
        </w:tc>
        <w:tc>
          <w:tcPr>
            <w:tcW w:w="980" w:type="dxa"/>
            <w:vAlign w:val="bottom"/>
          </w:tcPr>
          <w:p>
            <w:pPr>
              <w:jc w:val="right"/>
              <w:spacing w:after="0"/>
              <w:rPr>
                <w:sz w:val="20"/>
                <w:szCs w:val="20"/>
                <w:color w:val="auto"/>
              </w:rPr>
            </w:pPr>
            <w:r>
              <w:rPr>
                <w:rFonts w:ascii="Helvetica" w:cs="Helvetica" w:eastAsia="Helvetica" w:hAnsi="Helvetica"/>
                <w:sz w:val="18"/>
                <w:szCs w:val="18"/>
                <w:color w:val="4D4D4D"/>
              </w:rPr>
              <w:t>2020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153670</wp:posOffset>
                </wp:positionH>
                <wp:positionV relativeFrom="paragraph">
                  <wp:posOffset>-234950</wp:posOffset>
                </wp:positionV>
                <wp:extent cx="3429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18.4999pt" to="14.8pt,-18.49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153670</wp:posOffset>
                </wp:positionH>
                <wp:positionV relativeFrom="paragraph">
                  <wp:posOffset>-1120775</wp:posOffset>
                </wp:positionV>
                <wp:extent cx="3429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88.2499pt" to="14.8pt,-88.2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153670</wp:posOffset>
                </wp:positionH>
                <wp:positionV relativeFrom="paragraph">
                  <wp:posOffset>-2006600</wp:posOffset>
                </wp:positionV>
                <wp:extent cx="3429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158pt" to="14.8pt,-158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153670</wp:posOffset>
                </wp:positionH>
                <wp:positionV relativeFrom="paragraph">
                  <wp:posOffset>-2892425</wp:posOffset>
                </wp:positionV>
                <wp:extent cx="3429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227.7499pt" to="14.8pt,-227.7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153670</wp:posOffset>
                </wp:positionH>
                <wp:positionV relativeFrom="paragraph">
                  <wp:posOffset>-3778250</wp:posOffset>
                </wp:positionV>
                <wp:extent cx="3429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1pt,-297.4999pt" to="14.8pt,-297.49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431165</wp:posOffset>
                </wp:positionH>
                <wp:positionV relativeFrom="paragraph">
                  <wp:posOffset>-165735</wp:posOffset>
                </wp:positionV>
                <wp:extent cx="0" cy="3429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95pt,-13.0499pt" to="33.95pt,-10.3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1402715</wp:posOffset>
                </wp:positionH>
                <wp:positionV relativeFrom="paragraph">
                  <wp:posOffset>-165735</wp:posOffset>
                </wp:positionV>
                <wp:extent cx="0" cy="3429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45pt,-13.0499pt" to="110.45pt,-10.3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2374900</wp:posOffset>
                </wp:positionH>
                <wp:positionV relativeFrom="paragraph">
                  <wp:posOffset>-165735</wp:posOffset>
                </wp:positionV>
                <wp:extent cx="0" cy="3429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7pt,-13.0499pt" to="187pt,-10.3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3347085</wp:posOffset>
                </wp:positionH>
                <wp:positionV relativeFrom="paragraph">
                  <wp:posOffset>-165735</wp:posOffset>
                </wp:positionV>
                <wp:extent cx="0" cy="3429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3.55pt,-13.0499pt" to="263.55pt,-10.3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4319270</wp:posOffset>
                </wp:positionH>
                <wp:positionV relativeFrom="paragraph">
                  <wp:posOffset>-165735</wp:posOffset>
                </wp:positionV>
                <wp:extent cx="0" cy="3429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0.1pt,-13.0499pt" to="340.1pt,-10.3499pt" o:allowincell="f" strokecolor="#333333" strokeweight="1.0498pt"/>
            </w:pict>
          </mc:Fallback>
        </mc:AlternateContent>
        <mc:AlternateContent>
          <mc:Choice Requires="wps">
            <w:drawing>
              <wp:anchor simplePos="0" relativeHeight="251657728" behindDoc="1" locked="0" layoutInCell="0" allowOverlap="1">
                <wp:simplePos x="0" y="0"/>
                <wp:positionH relativeFrom="column">
                  <wp:posOffset>5291455</wp:posOffset>
                </wp:positionH>
                <wp:positionV relativeFrom="paragraph">
                  <wp:posOffset>-165735</wp:posOffset>
                </wp:positionV>
                <wp:extent cx="0" cy="3429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65pt,-13.0499pt" to="416.65pt,-10.3499pt" o:allowincell="f" strokecolor="#333333" strokeweight="1.0498pt"/>
            </w:pict>
          </mc:Fallback>
        </mc:AlternateContent>
      </w:r>
    </w:p>
    <w:p>
      <w:pPr>
        <w:spacing w:after="0" w:line="200" w:lineRule="exact"/>
        <w:rPr>
          <w:sz w:val="20"/>
          <w:szCs w:val="20"/>
          <w:color w:val="auto"/>
        </w:rPr>
      </w:pPr>
    </w:p>
    <w:p>
      <w:pPr>
        <w:sectPr>
          <w:pgSz w:w="11900" w:h="16838" w:orient="portrait"/>
          <w:cols w:equalWidth="0" w:num="2">
            <w:col w:w="546" w:space="54"/>
            <w:col w:w="8760"/>
          </w:cols>
          <w:pgMar w:left="1440" w:top="991" w:right="1106" w:bottom="1011" w:gutter="0" w:footer="0" w:header="0"/>
          <w:type w:val="continuous"/>
        </w:sectPr>
      </w:pPr>
    </w:p>
    <w:p>
      <w:pPr>
        <w:spacing w:after="0" w:line="53" w:lineRule="exact"/>
        <w:rPr>
          <w:sz w:val="20"/>
          <w:szCs w:val="20"/>
          <w:color w:val="auto"/>
        </w:rPr>
      </w:pPr>
    </w:p>
    <w:p>
      <w:pPr>
        <w:ind w:left="208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pelo autor, com dados o Banco Central</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260" w:right="40"/>
        <w:spacing w:after="0" w:line="327" w:lineRule="auto"/>
        <w:rPr>
          <w:sz w:val="20"/>
          <w:szCs w:val="20"/>
          <w:color w:val="auto"/>
        </w:rPr>
      </w:pPr>
      <w:r>
        <w:rPr>
          <w:rFonts w:ascii="Arial" w:cs="Arial" w:eastAsia="Arial" w:hAnsi="Arial"/>
          <w:sz w:val="24"/>
          <w:szCs w:val="24"/>
          <w:color w:val="auto"/>
        </w:rPr>
        <w:t>e Composição do Endividamento, retorno sobre o ativo, retorno sobre o patrimônio líquido, margem ebitda, margem líquida e grau de alavancagem financeira.</w:t>
      </w:r>
    </w:p>
    <w:p>
      <w:pPr>
        <w:spacing w:after="0" w:line="85" w:lineRule="exact"/>
        <w:rPr>
          <w:sz w:val="20"/>
          <w:szCs w:val="20"/>
          <w:color w:val="auto"/>
        </w:rPr>
      </w:pPr>
    </w:p>
    <w:p>
      <w:pPr>
        <w:jc w:val="both"/>
        <w:ind w:left="260" w:firstLine="850"/>
        <w:spacing w:after="0" w:line="316" w:lineRule="auto"/>
        <w:rPr>
          <w:sz w:val="20"/>
          <w:szCs w:val="20"/>
          <w:color w:val="auto"/>
        </w:rPr>
      </w:pPr>
      <w:r>
        <w:rPr>
          <w:rFonts w:ascii="Arial" w:cs="Arial" w:eastAsia="Arial" w:hAnsi="Arial"/>
          <w:sz w:val="24"/>
          <w:szCs w:val="24"/>
          <w:color w:val="auto"/>
        </w:rPr>
        <w:t>O índice de Liquidez Corrente (</w:t>
      </w:r>
      <w:r>
        <w:rPr>
          <w:rFonts w:ascii="Arial" w:cs="Arial" w:eastAsia="Arial" w:hAnsi="Arial"/>
          <w:sz w:val="24"/>
          <w:szCs w:val="24"/>
          <w:i w:val="1"/>
          <w:iCs w:val="1"/>
          <w:color w:val="auto"/>
        </w:rPr>
        <w:t>LC</w:t>
      </w:r>
      <w:r>
        <w:rPr>
          <w:rFonts w:ascii="Arial" w:cs="Arial" w:eastAsia="Arial" w:hAnsi="Arial"/>
          <w:sz w:val="24"/>
          <w:szCs w:val="24"/>
          <w:color w:val="auto"/>
        </w:rPr>
        <w:t>) mede a capacidade da instituição em honrar os compromissos com seus credores, definindo seu nível de solvência no curto prazo. É obtido pela razão entre o ativo circulante (</w:t>
      </w:r>
      <w:r>
        <w:rPr>
          <w:rFonts w:ascii="Arial" w:cs="Arial" w:eastAsia="Arial" w:hAnsi="Arial"/>
          <w:sz w:val="24"/>
          <w:szCs w:val="24"/>
          <w:i w:val="1"/>
          <w:iCs w:val="1"/>
          <w:color w:val="auto"/>
        </w:rPr>
        <w:t>AC</w:t>
      </w:r>
      <w:r>
        <w:rPr>
          <w:rFonts w:ascii="Arial" w:cs="Arial" w:eastAsia="Arial" w:hAnsi="Arial"/>
          <w:sz w:val="24"/>
          <w:szCs w:val="24"/>
          <w:color w:val="auto"/>
        </w:rPr>
        <w:t>) e o passivo circulante (</w:t>
      </w:r>
      <w:r>
        <w:rPr>
          <w:rFonts w:ascii="Arial" w:cs="Arial" w:eastAsia="Arial" w:hAnsi="Arial"/>
          <w:sz w:val="24"/>
          <w:szCs w:val="24"/>
          <w:i w:val="1"/>
          <w:iCs w:val="1"/>
          <w:color w:val="auto"/>
        </w:rPr>
        <w:t>P C</w:t>
      </w:r>
      <w:r>
        <w:rPr>
          <w:rFonts w:ascii="Arial" w:cs="Arial" w:eastAsia="Arial" w:hAnsi="Arial"/>
          <w:sz w:val="24"/>
          <w:szCs w:val="24"/>
          <w:color w:val="auto"/>
        </w:rPr>
        <w:t>), indicando o quanto do ativo circulante está disponível para cumprir com cada unidade monetária da dívida de curto prazo (</w:t>
      </w:r>
      <w:r>
        <w:rPr>
          <w:rFonts w:ascii="Arial" w:cs="Arial" w:eastAsia="Arial" w:hAnsi="Arial"/>
          <w:sz w:val="24"/>
          <w:szCs w:val="24"/>
          <w:b w:val="1"/>
          <w:bCs w:val="1"/>
          <w:color w:val="auto"/>
        </w:rPr>
        <w:t>graham:2012</w:t>
      </w:r>
      <w:r>
        <w:rPr>
          <w:rFonts w:ascii="Arial" w:cs="Arial" w:eastAsia="Arial" w:hAnsi="Arial"/>
          <w:sz w:val="24"/>
          <w:szCs w:val="24"/>
          <w:color w:val="auto"/>
        </w:rPr>
        <w:t>) (ASSAF NETO, 2020).</w:t>
      </w:r>
    </w:p>
    <w:p>
      <w:pPr>
        <w:spacing w:after="0" w:line="138" w:lineRule="exact"/>
        <w:rPr>
          <w:sz w:val="20"/>
          <w:szCs w:val="20"/>
          <w:color w:val="auto"/>
        </w:rPr>
      </w:pPr>
    </w:p>
    <w:p>
      <w:pPr>
        <w:jc w:val="right"/>
        <w:ind w:right="4080"/>
        <w:spacing w:after="0"/>
        <w:rPr>
          <w:sz w:val="20"/>
          <w:szCs w:val="20"/>
          <w:color w:val="auto"/>
        </w:rPr>
      </w:pPr>
      <w:r>
        <w:rPr>
          <w:rFonts w:ascii="Arial" w:cs="Arial" w:eastAsia="Arial" w:hAnsi="Arial"/>
          <w:sz w:val="24"/>
          <w:szCs w:val="24"/>
          <w:i w:val="1"/>
          <w:iCs w:val="1"/>
          <w:color w:val="auto"/>
        </w:rPr>
        <w:t>LC</w:t>
      </w:r>
      <w:r>
        <w:rPr>
          <w:rFonts w:ascii="Arial" w:cs="Arial" w:eastAsia="Arial" w:hAnsi="Arial"/>
          <w:sz w:val="24"/>
          <w:szCs w:val="24"/>
          <w:color w:val="auto"/>
        </w:rPr>
        <w:t>=</w:t>
      </w:r>
      <w:r>
        <w:rPr>
          <w:rFonts w:ascii="Arial" w:cs="Arial" w:eastAsia="Arial" w:hAnsi="Arial"/>
          <w:sz w:val="47"/>
          <w:szCs w:val="47"/>
          <w:i w:val="1"/>
          <w:iCs w:val="1"/>
          <w:color w:val="auto"/>
          <w:vertAlign w:val="superscript"/>
        </w:rPr>
        <w:t>AC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3134995</wp:posOffset>
                </wp:positionH>
                <wp:positionV relativeFrom="paragraph">
                  <wp:posOffset>-36195</wp:posOffset>
                </wp:positionV>
                <wp:extent cx="23368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36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85pt,-2.8499pt" to="265.25pt,-2.8499pt" o:allowincell="f" strokecolor="#000000" strokeweight="0.398pt"/>
            </w:pict>
          </mc:Fallback>
        </mc:AlternateContent>
      </w:r>
    </w:p>
    <w:p>
      <w:pPr>
        <w:jc w:val="right"/>
        <w:ind w:right="4080"/>
        <w:spacing w:after="0" w:line="194" w:lineRule="auto"/>
        <w:rPr>
          <w:sz w:val="20"/>
          <w:szCs w:val="20"/>
          <w:color w:val="auto"/>
        </w:rPr>
      </w:pPr>
      <w:r>
        <w:rPr>
          <w:rFonts w:ascii="Arial" w:cs="Arial" w:eastAsia="Arial" w:hAnsi="Arial"/>
          <w:sz w:val="24"/>
          <w:szCs w:val="24"/>
          <w:i w:val="1"/>
          <w:iCs w:val="1"/>
          <w:color w:val="auto"/>
        </w:rPr>
        <w:t>P C</w:t>
      </w:r>
    </w:p>
    <w:p>
      <w:pPr>
        <w:spacing w:after="0" w:line="160" w:lineRule="exact"/>
        <w:rPr>
          <w:sz w:val="20"/>
          <w:szCs w:val="20"/>
          <w:color w:val="auto"/>
        </w:rPr>
      </w:pPr>
    </w:p>
    <w:p>
      <w:pPr>
        <w:jc w:val="both"/>
        <w:ind w:left="260" w:right="40" w:firstLine="858"/>
        <w:spacing w:after="0" w:line="315" w:lineRule="auto"/>
        <w:rPr>
          <w:sz w:val="20"/>
          <w:szCs w:val="20"/>
          <w:color w:val="auto"/>
        </w:rPr>
      </w:pPr>
      <w:r>
        <w:rPr>
          <w:rFonts w:ascii="Arial" w:cs="Arial" w:eastAsia="Arial" w:hAnsi="Arial"/>
          <w:sz w:val="24"/>
          <w:szCs w:val="24"/>
          <w:color w:val="auto"/>
        </w:rPr>
        <w:t>O índice de Liquidez Geral (</w:t>
      </w:r>
      <w:r>
        <w:rPr>
          <w:rFonts w:ascii="Arial" w:cs="Arial" w:eastAsia="Arial" w:hAnsi="Arial"/>
          <w:sz w:val="24"/>
          <w:szCs w:val="24"/>
          <w:i w:val="1"/>
          <w:iCs w:val="1"/>
          <w:color w:val="auto"/>
        </w:rPr>
        <w:t>LG</w:t>
      </w:r>
      <w:r>
        <w:rPr>
          <w:rFonts w:ascii="Arial" w:cs="Arial" w:eastAsia="Arial" w:hAnsi="Arial"/>
          <w:sz w:val="24"/>
          <w:szCs w:val="24"/>
          <w:color w:val="auto"/>
        </w:rPr>
        <w:t>) mede a capacidade da instituição honrar os compromissos com seus credores no longo prazo, definindo seu nível de solvência geral, é obtido pela razão entre a soma do ativo circulante (</w:t>
      </w:r>
      <w:r>
        <w:rPr>
          <w:rFonts w:ascii="Arial" w:cs="Arial" w:eastAsia="Arial" w:hAnsi="Arial"/>
          <w:sz w:val="24"/>
          <w:szCs w:val="24"/>
          <w:i w:val="1"/>
          <w:iCs w:val="1"/>
          <w:color w:val="auto"/>
        </w:rPr>
        <w:t>AC</w:t>
      </w:r>
      <w:r>
        <w:rPr>
          <w:rFonts w:ascii="Arial" w:cs="Arial" w:eastAsia="Arial" w:hAnsi="Arial"/>
          <w:sz w:val="24"/>
          <w:szCs w:val="24"/>
          <w:color w:val="auto"/>
        </w:rPr>
        <w:t>) e recursos realizáveis no longo prazo (</w:t>
      </w:r>
      <w:r>
        <w:rPr>
          <w:rFonts w:ascii="Arial" w:cs="Arial" w:eastAsia="Arial" w:hAnsi="Arial"/>
          <w:sz w:val="24"/>
          <w:szCs w:val="24"/>
          <w:i w:val="1"/>
          <w:iCs w:val="1"/>
          <w:color w:val="auto"/>
        </w:rPr>
        <w:t>RLP</w:t>
      </w:r>
      <w:r>
        <w:rPr>
          <w:rFonts w:ascii="Arial" w:cs="Arial" w:eastAsia="Arial" w:hAnsi="Arial"/>
          <w:sz w:val="24"/>
          <w:szCs w:val="24"/>
          <w:color w:val="auto"/>
        </w:rPr>
        <w:t xml:space="preserve"> ) e a soma do passivo circulante (</w:t>
      </w:r>
      <w:r>
        <w:rPr>
          <w:rFonts w:ascii="Arial" w:cs="Arial" w:eastAsia="Arial" w:hAnsi="Arial"/>
          <w:sz w:val="24"/>
          <w:szCs w:val="24"/>
          <w:i w:val="1"/>
          <w:iCs w:val="1"/>
          <w:color w:val="auto"/>
        </w:rPr>
        <w:t>P C</w:t>
      </w:r>
      <w:r>
        <w:rPr>
          <w:rFonts w:ascii="Arial" w:cs="Arial" w:eastAsia="Arial" w:hAnsi="Arial"/>
          <w:sz w:val="24"/>
          <w:szCs w:val="24"/>
          <w:color w:val="auto"/>
        </w:rPr>
        <w:t>) e exigível no longo prazo (</w:t>
      </w:r>
      <w:r>
        <w:rPr>
          <w:rFonts w:ascii="Arial" w:cs="Arial" w:eastAsia="Arial" w:hAnsi="Arial"/>
          <w:sz w:val="24"/>
          <w:szCs w:val="24"/>
          <w:i w:val="1"/>
          <w:iCs w:val="1"/>
          <w:color w:val="auto"/>
        </w:rPr>
        <w:t>ELP</w:t>
      </w:r>
      <w:r>
        <w:rPr>
          <w:rFonts w:ascii="Arial" w:cs="Arial" w:eastAsia="Arial" w:hAnsi="Arial"/>
          <w:sz w:val="24"/>
          <w:szCs w:val="24"/>
          <w:color w:val="auto"/>
        </w:rPr>
        <w:t xml:space="preserve"> ) (ASSAF NETO, 2020).</w:t>
      </w:r>
    </w:p>
    <w:p>
      <w:pPr>
        <w:sectPr>
          <w:pgSz w:w="11900" w:h="16838" w:orient="portrait"/>
          <w:cols w:equalWidth="0" w:num="1">
            <w:col w:w="9360"/>
          </w:cols>
          <w:pgMar w:left="1440" w:top="991" w:right="1106" w:bottom="1011" w:gutter="0" w:footer="0" w:header="0"/>
          <w:type w:val="continuous"/>
        </w:sectPr>
      </w:pPr>
    </w:p>
    <w:p>
      <w:pPr>
        <w:ind w:left="9060"/>
        <w:spacing w:after="0"/>
        <w:rPr>
          <w:sz w:val="20"/>
          <w:szCs w:val="20"/>
          <w:color w:val="auto"/>
        </w:rPr>
      </w:pPr>
      <w:r>
        <w:rPr>
          <w:rFonts w:ascii="Arial" w:cs="Arial" w:eastAsia="Arial" w:hAnsi="Arial"/>
          <w:sz w:val="24"/>
          <w:szCs w:val="24"/>
          <w:color w:val="auto"/>
        </w:rPr>
        <w:t>21</w:t>
      </w:r>
    </w:p>
    <w:p>
      <w:pPr>
        <w:spacing w:after="0" w:line="200" w:lineRule="exact"/>
        <w:rPr>
          <w:sz w:val="20"/>
          <w:szCs w:val="20"/>
          <w:color w:val="auto"/>
        </w:rPr>
      </w:pPr>
    </w:p>
    <w:p>
      <w:pPr>
        <w:spacing w:after="0" w:line="389" w:lineRule="exact"/>
        <w:rPr>
          <w:sz w:val="20"/>
          <w:szCs w:val="20"/>
          <w:color w:val="auto"/>
        </w:rPr>
      </w:pPr>
    </w:p>
    <w:p>
      <w:pPr>
        <w:ind w:left="4440"/>
        <w:spacing w:after="0"/>
        <w:rPr>
          <w:sz w:val="20"/>
          <w:szCs w:val="20"/>
          <w:color w:val="auto"/>
        </w:rPr>
      </w:pPr>
      <w:r>
        <w:rPr>
          <w:rFonts w:ascii="Arial" w:cs="Arial" w:eastAsia="Arial" w:hAnsi="Arial"/>
          <w:sz w:val="24"/>
          <w:szCs w:val="24"/>
          <w:i w:val="1"/>
          <w:iCs w:val="1"/>
          <w:color w:val="auto"/>
        </w:rPr>
        <w:t>AC</w:t>
      </w:r>
      <w:r>
        <w:rPr>
          <w:rFonts w:ascii="Arial" w:cs="Arial" w:eastAsia="Arial" w:hAnsi="Arial"/>
          <w:sz w:val="24"/>
          <w:szCs w:val="24"/>
          <w:color w:val="auto"/>
        </w:rPr>
        <w:t xml:space="preserve"> + </w:t>
      </w:r>
      <w:r>
        <w:rPr>
          <w:rFonts w:ascii="Arial" w:cs="Arial" w:eastAsia="Arial" w:hAnsi="Arial"/>
          <w:sz w:val="24"/>
          <w:szCs w:val="24"/>
          <w:i w:val="1"/>
          <w:iCs w:val="1"/>
          <w:color w:val="auto"/>
        </w:rPr>
        <w:t>RLP</w:t>
      </w:r>
    </w:p>
    <w:p>
      <w:pPr>
        <w:ind w:left="3940"/>
        <w:spacing w:after="0" w:line="205" w:lineRule="auto"/>
        <w:rPr>
          <w:sz w:val="20"/>
          <w:szCs w:val="20"/>
          <w:color w:val="auto"/>
        </w:rPr>
      </w:pPr>
      <w:r>
        <w:rPr>
          <w:rFonts w:ascii="Arial" w:cs="Arial" w:eastAsia="Arial" w:hAnsi="Arial"/>
          <w:sz w:val="48"/>
          <w:szCs w:val="48"/>
          <w:i w:val="1"/>
          <w:iCs w:val="1"/>
          <w:color w:val="auto"/>
          <w:vertAlign w:val="superscript"/>
        </w:rPr>
        <w:t>LG</w:t>
      </w:r>
      <w:r>
        <w:rPr>
          <w:rFonts w:ascii="Arial" w:cs="Arial" w:eastAsia="Arial" w:hAnsi="Arial"/>
          <w:sz w:val="31"/>
          <w:szCs w:val="31"/>
          <w:color w:val="auto"/>
          <w:vertAlign w:val="superscript"/>
        </w:rPr>
        <w:t>=</w:t>
      </w:r>
      <w:r>
        <w:rPr>
          <w:rFonts w:ascii="Arial" w:cs="Arial" w:eastAsia="Arial" w:hAnsi="Arial"/>
          <w:sz w:val="48"/>
          <w:szCs w:val="48"/>
          <w:i w:val="1"/>
          <w:iCs w:val="1"/>
          <w:color w:val="auto"/>
        </w:rPr>
        <w:t>PC</w:t>
      </w:r>
      <w:r>
        <w:rPr>
          <w:rFonts w:ascii="Arial" w:cs="Arial" w:eastAsia="Arial" w:hAnsi="Arial"/>
          <w:sz w:val="23"/>
          <w:szCs w:val="23"/>
          <w:color w:val="auto"/>
        </w:rPr>
        <w:t xml:space="preserve"> + </w:t>
      </w:r>
      <w:r>
        <w:rPr>
          <w:rFonts w:ascii="Arial" w:cs="Arial" w:eastAsia="Arial" w:hAnsi="Arial"/>
          <w:sz w:val="23"/>
          <w:szCs w:val="23"/>
          <w:i w:val="1"/>
          <w:iCs w:val="1"/>
          <w:color w:val="auto"/>
        </w:rPr>
        <w:t>ELP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2820035</wp:posOffset>
                </wp:positionH>
                <wp:positionV relativeFrom="paragraph">
                  <wp:posOffset>-231775</wp:posOffset>
                </wp:positionV>
                <wp:extent cx="753745"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37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2.05pt,-18.2499pt" to="281.4pt,-18.2499pt" o:allowincell="f" strokecolor="#000000" strokeweight="0.398pt"/>
            </w:pict>
          </mc:Fallback>
        </mc:AlternateContent>
      </w:r>
    </w:p>
    <w:p>
      <w:pPr>
        <w:spacing w:after="0" w:line="56" w:lineRule="exact"/>
        <w:rPr>
          <w:sz w:val="20"/>
          <w:szCs w:val="20"/>
          <w:color w:val="auto"/>
        </w:rPr>
      </w:pPr>
    </w:p>
    <w:p>
      <w:pPr>
        <w:jc w:val="both"/>
        <w:ind w:left="260" w:firstLine="858"/>
        <w:spacing w:after="0" w:line="315" w:lineRule="auto"/>
        <w:rPr>
          <w:sz w:val="20"/>
          <w:szCs w:val="20"/>
          <w:color w:val="auto"/>
        </w:rPr>
      </w:pPr>
      <w:r>
        <w:rPr>
          <w:rFonts w:ascii="Arial" w:cs="Arial" w:eastAsia="Arial" w:hAnsi="Arial"/>
          <w:sz w:val="24"/>
          <w:szCs w:val="24"/>
          <w:color w:val="auto"/>
        </w:rPr>
        <w:t>O índice de endividamento (</w:t>
      </w:r>
      <w:r>
        <w:rPr>
          <w:rFonts w:ascii="Arial" w:cs="Arial" w:eastAsia="Arial" w:hAnsi="Arial"/>
          <w:sz w:val="24"/>
          <w:szCs w:val="24"/>
          <w:i w:val="1"/>
          <w:iCs w:val="1"/>
          <w:color w:val="auto"/>
        </w:rPr>
        <w:t>CT</w:t>
      </w:r>
      <w:r>
        <w:rPr>
          <w:rFonts w:ascii="Arial" w:cs="Arial" w:eastAsia="Arial" w:hAnsi="Arial"/>
          <w:sz w:val="24"/>
          <w:szCs w:val="24"/>
          <w:color w:val="auto"/>
        </w:rPr>
        <w:t xml:space="preserve"> ), mede a participação de capital de terceiros em relação aos financiamentos realizados com capital próprio. Quanto maior o indicador, maior a dependência da instituição de capital de terceiros para financiamento das suas operações, obtido pela razão entre o passivo (</w:t>
      </w:r>
      <w:r>
        <w:rPr>
          <w:rFonts w:ascii="Arial" w:cs="Arial" w:eastAsia="Arial" w:hAnsi="Arial"/>
          <w:sz w:val="24"/>
          <w:szCs w:val="24"/>
          <w:i w:val="1"/>
          <w:iCs w:val="1"/>
          <w:color w:val="auto"/>
        </w:rPr>
        <w:t>P</w:t>
      </w:r>
      <w:r>
        <w:rPr>
          <w:rFonts w:ascii="Arial" w:cs="Arial" w:eastAsia="Arial" w:hAnsi="Arial"/>
          <w:sz w:val="24"/>
          <w:szCs w:val="24"/>
          <w:color w:val="auto"/>
        </w:rPr>
        <w:t xml:space="preserve"> ) e o patrimônio líquido (</w:t>
      </w:r>
      <w:r>
        <w:rPr>
          <w:rFonts w:ascii="Arial" w:cs="Arial" w:eastAsia="Arial" w:hAnsi="Arial"/>
          <w:sz w:val="24"/>
          <w:szCs w:val="24"/>
          <w:i w:val="1"/>
          <w:iCs w:val="1"/>
          <w:color w:val="auto"/>
        </w:rPr>
        <w:t>P L</w:t>
      </w:r>
      <w:r>
        <w:rPr>
          <w:rFonts w:ascii="Arial" w:cs="Arial" w:eastAsia="Arial" w:hAnsi="Arial"/>
          <w:sz w:val="24"/>
          <w:szCs w:val="24"/>
          <w:color w:val="auto"/>
        </w:rPr>
        <w:t>) (ASSAF NETO, 2020).</w:t>
      </w:r>
    </w:p>
    <w:p>
      <w:pPr>
        <w:spacing w:after="0" w:line="346" w:lineRule="exact"/>
        <w:rPr>
          <w:sz w:val="20"/>
          <w:szCs w:val="20"/>
          <w:color w:val="auto"/>
        </w:rPr>
      </w:pPr>
    </w:p>
    <w:p>
      <w:pPr>
        <w:jc w:val="center"/>
        <w:ind w:right="-239"/>
        <w:spacing w:after="0"/>
        <w:rPr>
          <w:sz w:val="20"/>
          <w:szCs w:val="20"/>
          <w:color w:val="auto"/>
        </w:rPr>
      </w:pPr>
      <w:r>
        <w:rPr>
          <w:rFonts w:ascii="Arial" w:cs="Arial" w:eastAsia="Arial" w:hAnsi="Arial"/>
          <w:sz w:val="24"/>
          <w:szCs w:val="24"/>
          <w:i w:val="1"/>
          <w:iCs w:val="1"/>
          <w:color w:val="auto"/>
        </w:rPr>
        <w:t>CT</w:t>
      </w:r>
      <w:r>
        <w:rPr>
          <w:rFonts w:ascii="Arial" w:cs="Arial" w:eastAsia="Arial" w:hAnsi="Arial"/>
          <w:sz w:val="24"/>
          <w:szCs w:val="24"/>
          <w:color w:val="auto"/>
        </w:rPr>
        <w:t xml:space="preserve"> = [</w:t>
      </w:r>
      <w:r>
        <w:rPr>
          <w:rFonts w:ascii="Arial" w:cs="Arial" w:eastAsia="Arial" w:hAnsi="Arial"/>
          <w:sz w:val="47"/>
          <w:szCs w:val="47"/>
          <w:i w:val="1"/>
          <w:iCs w:val="1"/>
          <w:color w:val="auto"/>
          <w:vertAlign w:val="subscript"/>
        </w:rPr>
        <w:t>P</w:t>
      </w:r>
      <w:r>
        <w:rPr>
          <w:rFonts w:ascii="Arial" w:cs="Arial" w:eastAsia="Arial" w:hAnsi="Arial"/>
          <w:sz w:val="47"/>
          <w:szCs w:val="47"/>
          <w:i w:val="1"/>
          <w:iCs w:val="1"/>
          <w:color w:val="auto"/>
          <w:vertAlign w:val="superscript"/>
        </w:rPr>
        <w:t>P</w:t>
      </w:r>
      <w:r>
        <w:rPr>
          <w:rFonts w:ascii="Arial" w:cs="Arial" w:eastAsia="Arial" w:hAnsi="Arial"/>
          <w:sz w:val="47"/>
          <w:szCs w:val="47"/>
          <w:i w:val="1"/>
          <w:iCs w:val="1"/>
          <w:color w:val="auto"/>
          <w:vertAlign w:val="subscript"/>
        </w:rPr>
        <w:t>L</w:t>
      </w:r>
      <w:r>
        <w:rPr>
          <w:rFonts w:ascii="Arial" w:cs="Arial" w:eastAsia="Arial" w:hAnsi="Arial"/>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3147060</wp:posOffset>
                </wp:positionH>
                <wp:positionV relativeFrom="paragraph">
                  <wp:posOffset>-165100</wp:posOffset>
                </wp:positionV>
                <wp:extent cx="21717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8pt,-13pt" to="264.9pt,-13pt" o:allowincell="f" strokecolor="#000000" strokeweight="0.398pt"/>
            </w:pict>
          </mc:Fallback>
        </mc:AlternateContent>
      </w:r>
    </w:p>
    <w:p>
      <w:pPr>
        <w:spacing w:after="0" w:line="161" w:lineRule="exact"/>
        <w:rPr>
          <w:sz w:val="20"/>
          <w:szCs w:val="20"/>
          <w:color w:val="auto"/>
        </w:rPr>
      </w:pPr>
    </w:p>
    <w:p>
      <w:pPr>
        <w:jc w:val="both"/>
        <w:ind w:left="260" w:firstLine="858"/>
        <w:spacing w:after="0" w:line="314" w:lineRule="auto"/>
        <w:rPr>
          <w:sz w:val="20"/>
          <w:szCs w:val="20"/>
          <w:color w:val="auto"/>
        </w:rPr>
      </w:pPr>
      <w:r>
        <w:rPr>
          <w:rFonts w:ascii="Arial" w:cs="Arial" w:eastAsia="Arial" w:hAnsi="Arial"/>
          <w:sz w:val="24"/>
          <w:szCs w:val="24"/>
          <w:color w:val="auto"/>
        </w:rPr>
        <w:t>A composição do endividamento (</w:t>
      </w:r>
      <w:r>
        <w:rPr>
          <w:rFonts w:ascii="Arial" w:cs="Arial" w:eastAsia="Arial" w:hAnsi="Arial"/>
          <w:sz w:val="24"/>
          <w:szCs w:val="24"/>
          <w:i w:val="1"/>
          <w:iCs w:val="1"/>
          <w:color w:val="auto"/>
        </w:rPr>
        <w:t>CE</w:t>
      </w:r>
      <w:r>
        <w:rPr>
          <w:rFonts w:ascii="Arial" w:cs="Arial" w:eastAsia="Arial" w:hAnsi="Arial"/>
          <w:sz w:val="24"/>
          <w:szCs w:val="24"/>
          <w:color w:val="auto"/>
        </w:rPr>
        <w:t>) indica o percentual da dívida da institui-ção em relação a dívida que vence no curto prazo. Quanto maior for esse indicador, mais crítica é a situação da instituição, necessitando de melhores resultados para cumprir os compromissos com credores no curto prazo, sendo obtido pela razão entre o passivo circulante (</w:t>
      </w:r>
      <w:r>
        <w:rPr>
          <w:rFonts w:ascii="Arial" w:cs="Arial" w:eastAsia="Arial" w:hAnsi="Arial"/>
          <w:sz w:val="24"/>
          <w:szCs w:val="24"/>
          <w:i w:val="1"/>
          <w:iCs w:val="1"/>
          <w:color w:val="auto"/>
        </w:rPr>
        <w:t>P C</w:t>
      </w:r>
      <w:r>
        <w:rPr>
          <w:rFonts w:ascii="Arial" w:cs="Arial" w:eastAsia="Arial" w:hAnsi="Arial"/>
          <w:sz w:val="24"/>
          <w:szCs w:val="24"/>
          <w:color w:val="auto"/>
        </w:rPr>
        <w:t>) e a soma do passivo circulante e exigível a longo prazo (</w:t>
      </w:r>
      <w:r>
        <w:rPr>
          <w:rFonts w:ascii="Arial" w:cs="Arial" w:eastAsia="Arial" w:hAnsi="Arial"/>
          <w:sz w:val="24"/>
          <w:szCs w:val="24"/>
          <w:i w:val="1"/>
          <w:iCs w:val="1"/>
          <w:color w:val="auto"/>
        </w:rPr>
        <w:t>ELP</w:t>
      </w:r>
      <w:r>
        <w:rPr>
          <w:rFonts w:ascii="Arial" w:cs="Arial" w:eastAsia="Arial" w:hAnsi="Arial"/>
          <w:sz w:val="24"/>
          <w:szCs w:val="24"/>
          <w:color w:val="auto"/>
        </w:rPr>
        <w:t xml:space="preserve"> ) (ASSAF NETO, 2020).</w:t>
      </w:r>
    </w:p>
    <w:p>
      <w:pPr>
        <w:spacing w:after="0" w:line="247" w:lineRule="exact"/>
        <w:rPr>
          <w:sz w:val="20"/>
          <w:szCs w:val="20"/>
          <w:color w:val="auto"/>
        </w:rPr>
      </w:pPr>
    </w:p>
    <w:p>
      <w:pPr>
        <w:ind w:left="4960"/>
        <w:spacing w:after="0"/>
        <w:rPr>
          <w:sz w:val="20"/>
          <w:szCs w:val="20"/>
          <w:color w:val="auto"/>
        </w:rPr>
      </w:pPr>
      <w:r>
        <w:rPr>
          <w:rFonts w:ascii="Arial" w:cs="Arial" w:eastAsia="Arial" w:hAnsi="Arial"/>
          <w:sz w:val="24"/>
          <w:szCs w:val="24"/>
          <w:i w:val="1"/>
          <w:iCs w:val="1"/>
          <w:color w:val="auto"/>
        </w:rPr>
        <w:t>P C</w:t>
      </w:r>
    </w:p>
    <w:p>
      <w:pPr>
        <w:ind w:left="3840"/>
        <w:spacing w:after="0" w:line="206" w:lineRule="auto"/>
        <w:rPr>
          <w:sz w:val="20"/>
          <w:szCs w:val="20"/>
          <w:color w:val="auto"/>
        </w:rPr>
      </w:pPr>
      <w:r>
        <w:rPr>
          <w:rFonts w:ascii="Arial" w:cs="Arial" w:eastAsia="Arial" w:hAnsi="Arial"/>
          <w:sz w:val="48"/>
          <w:szCs w:val="48"/>
          <w:i w:val="1"/>
          <w:iCs w:val="1"/>
          <w:color w:val="auto"/>
          <w:vertAlign w:val="superscript"/>
        </w:rPr>
        <w:t>CE</w:t>
      </w:r>
      <w:r>
        <w:rPr>
          <w:rFonts w:ascii="Arial" w:cs="Arial" w:eastAsia="Arial" w:hAnsi="Arial"/>
          <w:sz w:val="47"/>
          <w:szCs w:val="47"/>
          <w:color w:val="auto"/>
          <w:vertAlign w:val="superscript"/>
        </w:rPr>
        <w:t xml:space="preserve"> =</w:t>
      </w:r>
      <w:r>
        <w:rPr>
          <w:rFonts w:ascii="Arial" w:cs="Arial" w:eastAsia="Arial" w:hAnsi="Arial"/>
          <w:sz w:val="48"/>
          <w:szCs w:val="48"/>
          <w:color w:val="auto"/>
          <w:vertAlign w:val="superscript"/>
        </w:rPr>
        <w:t xml:space="preserve"> </w:t>
      </w:r>
      <w:r>
        <w:rPr>
          <w:rFonts w:ascii="Arial" w:cs="Arial" w:eastAsia="Arial" w:hAnsi="Arial"/>
          <w:sz w:val="48"/>
          <w:szCs w:val="48"/>
          <w:i w:val="1"/>
          <w:iCs w:val="1"/>
          <w:color w:val="auto"/>
        </w:rPr>
        <w:t>PC</w:t>
      </w:r>
      <w:r>
        <w:rPr>
          <w:rFonts w:ascii="Arial" w:cs="Arial" w:eastAsia="Arial" w:hAnsi="Arial"/>
          <w:sz w:val="23"/>
          <w:szCs w:val="23"/>
          <w:color w:val="auto"/>
        </w:rPr>
        <w:t>+</w:t>
      </w:r>
      <w:r>
        <w:rPr>
          <w:rFonts w:ascii="Arial" w:cs="Arial" w:eastAsia="Arial" w:hAnsi="Arial"/>
          <w:sz w:val="23"/>
          <w:szCs w:val="23"/>
          <w:i w:val="1"/>
          <w:iCs w:val="1"/>
          <w:color w:val="auto"/>
        </w:rPr>
        <w:t>ELP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2884170</wp:posOffset>
                </wp:positionH>
                <wp:positionV relativeFrom="paragraph">
                  <wp:posOffset>-233045</wp:posOffset>
                </wp:positionV>
                <wp:extent cx="75311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531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1pt,-18.3499pt" to="286.4pt,-18.3499pt" o:allowincell="f" strokecolor="#000000" strokeweight="0.398pt"/>
            </w:pict>
          </mc:Fallback>
        </mc:AlternateContent>
      </w:r>
    </w:p>
    <w:p>
      <w:pPr>
        <w:spacing w:after="0" w:line="121" w:lineRule="exact"/>
        <w:rPr>
          <w:sz w:val="20"/>
          <w:szCs w:val="20"/>
          <w:color w:val="auto"/>
        </w:rPr>
      </w:pPr>
    </w:p>
    <w:p>
      <w:pPr>
        <w:jc w:val="both"/>
        <w:ind w:left="260" w:right="40" w:firstLine="858"/>
        <w:spacing w:after="0" w:line="314" w:lineRule="auto"/>
        <w:rPr>
          <w:sz w:val="20"/>
          <w:szCs w:val="20"/>
          <w:color w:val="auto"/>
        </w:rPr>
      </w:pPr>
      <w:r>
        <w:rPr>
          <w:rFonts w:ascii="Arial" w:cs="Arial" w:eastAsia="Arial" w:hAnsi="Arial"/>
          <w:sz w:val="24"/>
          <w:szCs w:val="24"/>
          <w:color w:val="auto"/>
        </w:rPr>
        <w:t>O Índice de Eficiência bancária (</w:t>
      </w:r>
      <w:r>
        <w:rPr>
          <w:rFonts w:ascii="Arial" w:cs="Arial" w:eastAsia="Arial" w:hAnsi="Arial"/>
          <w:sz w:val="24"/>
          <w:szCs w:val="24"/>
          <w:i w:val="1"/>
          <w:iCs w:val="1"/>
          <w:color w:val="auto"/>
        </w:rPr>
        <w:t>IE</w:t>
      </w:r>
      <w:r>
        <w:rPr>
          <w:rFonts w:ascii="Arial" w:cs="Arial" w:eastAsia="Arial" w:hAnsi="Arial"/>
          <w:sz w:val="24"/>
          <w:szCs w:val="24"/>
          <w:color w:val="auto"/>
        </w:rPr>
        <w:t>) é um indicador que avalia a relação entre despesas administrativas, despesas com pessoal e resultado operacional, medindo o quanto a instituição desembolsa para gerar uma unidade de receita. É obtido por meio da razão entre a soma das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despesas com pessoal (</w:t>
      </w:r>
      <w:r>
        <w:rPr>
          <w:rFonts w:ascii="Arial" w:cs="Arial" w:eastAsia="Arial" w:hAnsi="Arial"/>
          <w:sz w:val="24"/>
          <w:szCs w:val="24"/>
          <w:i w:val="1"/>
          <w:iCs w:val="1"/>
          <w:color w:val="auto"/>
        </w:rPr>
        <w:t>DP</w:t>
      </w:r>
      <w:r>
        <w:rPr>
          <w:rFonts w:ascii="Arial" w:cs="Arial" w:eastAsia="Arial" w:hAnsi="Arial"/>
          <w:sz w:val="24"/>
          <w:szCs w:val="24"/>
          <w:color w:val="auto"/>
        </w:rPr>
        <w:t xml:space="preserve"> ) líquidas da participação nos lucros (</w:t>
      </w:r>
      <w:r>
        <w:rPr>
          <w:rFonts w:ascii="Arial" w:cs="Arial" w:eastAsia="Arial" w:hAnsi="Arial"/>
          <w:sz w:val="24"/>
          <w:szCs w:val="24"/>
          <w:i w:val="1"/>
          <w:iCs w:val="1"/>
          <w:color w:val="auto"/>
        </w:rPr>
        <w:t>P LR</w:t>
      </w:r>
      <w:r>
        <w:rPr>
          <w:rFonts w:ascii="Arial" w:cs="Arial" w:eastAsia="Arial" w:hAnsi="Arial"/>
          <w:sz w:val="24"/>
          <w:szCs w:val="24"/>
          <w:color w:val="auto"/>
        </w:rPr>
        <w:t>) sobre a soma entre Margem Financeira (</w:t>
      </w:r>
      <w:r>
        <w:rPr>
          <w:rFonts w:ascii="Arial" w:cs="Arial" w:eastAsia="Arial" w:hAnsi="Arial"/>
          <w:sz w:val="24"/>
          <w:szCs w:val="24"/>
          <w:i w:val="1"/>
          <w:iCs w:val="1"/>
          <w:color w:val="auto"/>
        </w:rPr>
        <w:t>M F</w:t>
      </w:r>
      <w:r>
        <w:rPr>
          <w:rFonts w:ascii="Arial" w:cs="Arial" w:eastAsia="Arial" w:hAnsi="Arial"/>
          <w:sz w:val="24"/>
          <w:szCs w:val="24"/>
          <w:color w:val="auto"/>
        </w:rPr>
        <w:t xml:space="preserve"> ) e receita (</w:t>
      </w:r>
      <w:r>
        <w:rPr>
          <w:rFonts w:ascii="Arial" w:cs="Arial" w:eastAsia="Arial" w:hAnsi="Arial"/>
          <w:sz w:val="24"/>
          <w:szCs w:val="24"/>
          <w:i w:val="1"/>
          <w:iCs w:val="1"/>
          <w:color w:val="auto"/>
        </w:rPr>
        <w:t>R</w:t>
      </w:r>
      <w:r>
        <w:rPr>
          <w:rFonts w:ascii="Arial" w:cs="Arial" w:eastAsia="Arial" w:hAnsi="Arial"/>
          <w:sz w:val="24"/>
          <w:szCs w:val="24"/>
          <w:color w:val="auto"/>
        </w:rPr>
        <w:t>) (MAGALHÃES-TIMOTIO, 2018).</w:t>
      </w:r>
    </w:p>
    <w:p>
      <w:pPr>
        <w:spacing w:after="0" w:line="135" w:lineRule="exact"/>
        <w:rPr>
          <w:sz w:val="20"/>
          <w:szCs w:val="20"/>
          <w:color w:val="auto"/>
        </w:rPr>
      </w:pPr>
    </w:p>
    <w:p>
      <w:pPr>
        <w:ind w:left="3520"/>
        <w:spacing w:after="0"/>
        <w:rPr>
          <w:sz w:val="20"/>
          <w:szCs w:val="20"/>
          <w:color w:val="auto"/>
        </w:rPr>
      </w:pPr>
      <w:r>
        <w:rPr>
          <w:rFonts w:ascii="Arial" w:cs="Arial" w:eastAsia="Arial" w:hAnsi="Arial"/>
          <w:sz w:val="48"/>
          <w:szCs w:val="48"/>
          <w:i w:val="1"/>
          <w:iCs w:val="1"/>
          <w:color w:val="auto"/>
          <w:vertAlign w:val="subscript"/>
        </w:rPr>
        <w:t>IE</w:t>
      </w:r>
      <w:r>
        <w:rPr>
          <w:rFonts w:ascii="Arial" w:cs="Arial" w:eastAsia="Arial" w:hAnsi="Arial"/>
          <w:sz w:val="47"/>
          <w:szCs w:val="47"/>
          <w:color w:val="auto"/>
          <w:vertAlign w:val="subscript"/>
        </w:rPr>
        <w:t xml:space="preserve"> =</w:t>
      </w:r>
      <w:r>
        <w:rPr>
          <w:rFonts w:ascii="Arial" w:cs="Arial" w:eastAsia="Arial" w:hAnsi="Arial"/>
          <w:sz w:val="48"/>
          <w:szCs w:val="48"/>
          <w:color w:val="auto"/>
          <w:vertAlign w:val="subscript"/>
        </w:rPr>
        <w:t xml:space="preserve"> </w:t>
      </w:r>
      <w:r>
        <w:rPr>
          <w:rFonts w:ascii="Arial" w:cs="Arial" w:eastAsia="Arial" w:hAnsi="Arial"/>
          <w:sz w:val="48"/>
          <w:szCs w:val="48"/>
          <w:i w:val="1"/>
          <w:iCs w:val="1"/>
          <w:color w:val="auto"/>
        </w:rPr>
        <w:t>DA</w:t>
      </w:r>
      <w:r>
        <w:rPr>
          <w:rFonts w:ascii="Arial" w:cs="Arial" w:eastAsia="Arial" w:hAnsi="Arial"/>
          <w:sz w:val="23"/>
          <w:szCs w:val="23"/>
          <w:color w:val="auto"/>
        </w:rPr>
        <w:t>+</w:t>
      </w:r>
      <w:r>
        <w:rPr>
          <w:rFonts w:ascii="Arial" w:cs="Arial" w:eastAsia="Arial" w:hAnsi="Arial"/>
          <w:sz w:val="23"/>
          <w:szCs w:val="23"/>
          <w:i w:val="1"/>
          <w:iCs w:val="1"/>
          <w:color w:val="auto"/>
        </w:rPr>
        <w:t>DP</w:t>
      </w:r>
      <w:r>
        <w:rPr>
          <w:rFonts w:ascii="Arial" w:cs="Arial" w:eastAsia="Arial" w:hAnsi="Arial"/>
          <w:sz w:val="23"/>
          <w:szCs w:val="23"/>
          <w:color w:val="auto"/>
        </w:rPr>
        <w:t xml:space="preserve"> −</w:t>
      </w:r>
      <w:r>
        <w:rPr>
          <w:rFonts w:ascii="Arial" w:cs="Arial" w:eastAsia="Arial" w:hAnsi="Arial"/>
          <w:sz w:val="23"/>
          <w:szCs w:val="23"/>
          <w:i w:val="1"/>
          <w:iCs w:val="1"/>
          <w:color w:val="auto"/>
        </w:rPr>
        <w:t>PLR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2649220</wp:posOffset>
                </wp:positionH>
                <wp:positionV relativeFrom="paragraph">
                  <wp:posOffset>-36195</wp:posOffset>
                </wp:positionV>
                <wp:extent cx="118364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836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6pt,-2.8499pt" to="301.8pt,-2.8499pt" o:allowincell="f" strokecolor="#000000" strokeweight="0.398pt"/>
            </w:pict>
          </mc:Fallback>
        </mc:AlternateContent>
      </w:r>
    </w:p>
    <w:p>
      <w:pPr>
        <w:ind w:left="4660"/>
        <w:spacing w:after="0" w:line="201" w:lineRule="auto"/>
        <w:rPr>
          <w:sz w:val="20"/>
          <w:szCs w:val="20"/>
          <w:color w:val="auto"/>
        </w:rPr>
      </w:pPr>
      <w:r>
        <w:rPr>
          <w:rFonts w:ascii="Arial" w:cs="Arial" w:eastAsia="Arial" w:hAnsi="Arial"/>
          <w:sz w:val="24"/>
          <w:szCs w:val="24"/>
          <w:i w:val="1"/>
          <w:iCs w:val="1"/>
          <w:color w:val="auto"/>
        </w:rPr>
        <w:t>MF</w:t>
      </w:r>
      <w:r>
        <w:rPr>
          <w:rFonts w:ascii="Arial" w:cs="Arial" w:eastAsia="Arial" w:hAnsi="Arial"/>
          <w:sz w:val="24"/>
          <w:szCs w:val="24"/>
          <w:color w:val="auto"/>
        </w:rPr>
        <w:t xml:space="preserve"> +</w:t>
      </w:r>
      <w:r>
        <w:rPr>
          <w:rFonts w:ascii="Arial" w:cs="Arial" w:eastAsia="Arial" w:hAnsi="Arial"/>
          <w:sz w:val="24"/>
          <w:szCs w:val="24"/>
          <w:i w:val="1"/>
          <w:iCs w:val="1"/>
          <w:color w:val="auto"/>
        </w:rPr>
        <w:t>R</w:t>
      </w:r>
    </w:p>
    <w:p>
      <w:pPr>
        <w:spacing w:after="0" w:line="152" w:lineRule="exact"/>
        <w:rPr>
          <w:sz w:val="20"/>
          <w:szCs w:val="20"/>
          <w:color w:val="auto"/>
        </w:rPr>
      </w:pPr>
    </w:p>
    <w:p>
      <w:pPr>
        <w:jc w:val="both"/>
        <w:ind w:left="260" w:right="40" w:firstLine="850"/>
        <w:spacing w:after="0" w:line="319" w:lineRule="auto"/>
        <w:rPr>
          <w:sz w:val="20"/>
          <w:szCs w:val="20"/>
          <w:color w:val="auto"/>
        </w:rPr>
      </w:pPr>
      <w:r>
        <w:rPr>
          <w:rFonts w:ascii="Arial" w:cs="Arial" w:eastAsia="Arial" w:hAnsi="Arial"/>
          <w:sz w:val="24"/>
          <w:szCs w:val="24"/>
          <w:color w:val="auto"/>
        </w:rPr>
        <w:t>Outro indicador utilizado para avaliação da situação financeira das instituições bancárias é o obtido da relação entre as receitas de prestação de serviços (</w:t>
      </w:r>
      <w:r>
        <w:rPr>
          <w:rFonts w:ascii="Arial" w:cs="Arial" w:eastAsia="Arial" w:hAnsi="Arial"/>
          <w:sz w:val="24"/>
          <w:szCs w:val="24"/>
          <w:i w:val="1"/>
          <w:iCs w:val="1"/>
          <w:color w:val="auto"/>
        </w:rPr>
        <w:t>RS</w:t>
      </w:r>
      <w:r>
        <w:rPr>
          <w:rFonts w:ascii="Arial" w:cs="Arial" w:eastAsia="Arial" w:hAnsi="Arial"/>
          <w:sz w:val="24"/>
          <w:szCs w:val="24"/>
          <w:color w:val="auto"/>
        </w:rPr>
        <w:t>) e as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(DANTAS, 2012).</w:t>
      </w:r>
    </w:p>
    <w:p>
      <w:pPr>
        <w:spacing w:after="0" w:line="137" w:lineRule="exact"/>
        <w:rPr>
          <w:sz w:val="20"/>
          <w:szCs w:val="20"/>
          <w:color w:val="auto"/>
        </w:rPr>
      </w:pPr>
    </w:p>
    <w:p>
      <w:pPr>
        <w:jc w:val="right"/>
        <w:ind w:right="3800"/>
        <w:spacing w:after="0"/>
        <w:rPr>
          <w:sz w:val="20"/>
          <w:szCs w:val="20"/>
          <w:color w:val="auto"/>
        </w:rPr>
      </w:pPr>
      <w:r>
        <w:rPr>
          <w:rFonts w:ascii="Arial" w:cs="Arial" w:eastAsia="Arial" w:hAnsi="Arial"/>
          <w:sz w:val="24"/>
          <w:szCs w:val="24"/>
          <w:i w:val="1"/>
          <w:iCs w:val="1"/>
          <w:color w:val="auto"/>
        </w:rPr>
        <w:t>RSDA</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RPS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3204845</wp:posOffset>
                </wp:positionH>
                <wp:positionV relativeFrom="paragraph">
                  <wp:posOffset>-36195</wp:posOffset>
                </wp:positionV>
                <wp:extent cx="32893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89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2.8499pt" to="278.25pt,-2.8499pt" o:allowincell="f" strokecolor="#000000" strokeweight="0.398pt"/>
            </w:pict>
          </mc:Fallback>
        </mc:AlternateContent>
      </w:r>
    </w:p>
    <w:p>
      <w:pPr>
        <w:jc w:val="right"/>
        <w:ind w:right="3860"/>
        <w:spacing w:after="0" w:line="194" w:lineRule="auto"/>
        <w:rPr>
          <w:sz w:val="20"/>
          <w:szCs w:val="20"/>
          <w:color w:val="auto"/>
        </w:rPr>
      </w:pPr>
      <w:r>
        <w:rPr>
          <w:rFonts w:ascii="Arial" w:cs="Arial" w:eastAsia="Arial" w:hAnsi="Arial"/>
          <w:sz w:val="24"/>
          <w:szCs w:val="24"/>
          <w:i w:val="1"/>
          <w:iCs w:val="1"/>
          <w:color w:val="auto"/>
        </w:rPr>
        <w:t>DA</w:t>
      </w:r>
    </w:p>
    <w:p>
      <w:pPr>
        <w:spacing w:after="0" w:line="197" w:lineRule="exact"/>
        <w:rPr>
          <w:sz w:val="20"/>
          <w:szCs w:val="20"/>
          <w:color w:val="auto"/>
        </w:rPr>
      </w:pPr>
    </w:p>
    <w:p>
      <w:pPr>
        <w:jc w:val="both"/>
        <w:ind w:left="260" w:right="40" w:firstLine="858"/>
        <w:spacing w:after="0" w:line="317" w:lineRule="auto"/>
        <w:rPr>
          <w:sz w:val="20"/>
          <w:szCs w:val="20"/>
          <w:color w:val="auto"/>
        </w:rPr>
      </w:pPr>
      <w:r>
        <w:rPr>
          <w:rFonts w:ascii="Arial" w:cs="Arial" w:eastAsia="Arial" w:hAnsi="Arial"/>
          <w:sz w:val="24"/>
          <w:szCs w:val="24"/>
          <w:color w:val="auto"/>
        </w:rPr>
        <w:t>O retorno sobre o Ativo (</w:t>
      </w:r>
      <w:r>
        <w:rPr>
          <w:rFonts w:ascii="Arial" w:cs="Arial" w:eastAsia="Arial" w:hAnsi="Arial"/>
          <w:sz w:val="24"/>
          <w:szCs w:val="24"/>
          <w:i w:val="1"/>
          <w:iCs w:val="1"/>
          <w:color w:val="auto"/>
        </w:rPr>
        <w:t>ROA</w:t>
      </w:r>
      <w:r>
        <w:rPr>
          <w:rFonts w:ascii="Arial" w:cs="Arial" w:eastAsia="Arial" w:hAnsi="Arial"/>
          <w:sz w:val="24"/>
          <w:szCs w:val="24"/>
          <w:color w:val="auto"/>
        </w:rPr>
        <w:t>), mede a rentabilidade da instituição diante a totalidade dos seus ativos. O quanto para cada unidade monetária investida na instituição é convertida em lucro líquido, obtida da relação entre o lucro operacional (</w:t>
      </w:r>
      <w:r>
        <w:rPr>
          <w:rFonts w:ascii="Arial" w:cs="Arial" w:eastAsia="Arial" w:hAnsi="Arial"/>
          <w:sz w:val="24"/>
          <w:szCs w:val="24"/>
          <w:i w:val="1"/>
          <w:iCs w:val="1"/>
          <w:color w:val="auto"/>
        </w:rPr>
        <w:t>LO</w:t>
      </w:r>
      <w:r>
        <w:rPr>
          <w:rFonts w:ascii="Arial" w:cs="Arial" w:eastAsia="Arial" w:hAnsi="Arial"/>
          <w:sz w:val="24"/>
          <w:szCs w:val="24"/>
          <w:color w:val="auto"/>
        </w:rPr>
        <w:t>) e o ativo total (</w:t>
      </w:r>
      <w:r>
        <w:rPr>
          <w:rFonts w:ascii="Arial" w:cs="Arial" w:eastAsia="Arial" w:hAnsi="Arial"/>
          <w:sz w:val="24"/>
          <w:szCs w:val="24"/>
          <w:i w:val="1"/>
          <w:iCs w:val="1"/>
          <w:color w:val="auto"/>
        </w:rPr>
        <w:t>AT</w:t>
      </w:r>
      <w:r>
        <w:rPr>
          <w:rFonts w:ascii="Arial" w:cs="Arial" w:eastAsia="Arial" w:hAnsi="Arial"/>
          <w:sz w:val="24"/>
          <w:szCs w:val="24"/>
          <w:color w:val="auto"/>
        </w:rPr>
        <w:t xml:space="preserve"> ) (ASSAF NETO, 2020).</w:t>
      </w:r>
    </w:p>
    <w:p>
      <w:pPr>
        <w:sectPr>
          <w:pgSz w:w="11900" w:h="16838" w:orient="portrait"/>
          <w:cols w:equalWidth="0" w:num="1">
            <w:col w:w="9360"/>
          </w:cols>
          <w:pgMar w:left="1440" w:top="991" w:right="1106" w:bottom="517" w:gutter="0" w:footer="0" w:header="0"/>
        </w:sectPr>
      </w:pPr>
    </w:p>
    <w:p>
      <w:pPr>
        <w:ind w:left="9060"/>
        <w:spacing w:after="0"/>
        <w:rPr>
          <w:sz w:val="20"/>
          <w:szCs w:val="20"/>
          <w:color w:val="auto"/>
        </w:rPr>
      </w:pPr>
      <w:r>
        <w:rPr>
          <w:rFonts w:ascii="Arial" w:cs="Arial" w:eastAsia="Arial" w:hAnsi="Arial"/>
          <w:sz w:val="24"/>
          <w:szCs w:val="24"/>
          <w:color w:val="auto"/>
        </w:rPr>
        <w:t>22</w:t>
      </w:r>
    </w:p>
    <w:p>
      <w:pPr>
        <w:spacing w:after="0" w:line="200" w:lineRule="exact"/>
        <w:rPr>
          <w:sz w:val="20"/>
          <w:szCs w:val="20"/>
          <w:color w:val="auto"/>
        </w:rPr>
      </w:pPr>
    </w:p>
    <w:p>
      <w:pPr>
        <w:spacing w:after="0" w:line="200" w:lineRule="exact"/>
        <w:rPr>
          <w:sz w:val="20"/>
          <w:szCs w:val="20"/>
          <w:color w:val="auto"/>
        </w:rPr>
      </w:pPr>
    </w:p>
    <w:p>
      <w:pPr>
        <w:spacing w:after="0" w:line="291" w:lineRule="exact"/>
        <w:rPr>
          <w:sz w:val="20"/>
          <w:szCs w:val="20"/>
          <w:color w:val="auto"/>
        </w:rPr>
      </w:pPr>
    </w:p>
    <w:p>
      <w:pPr>
        <w:jc w:val="center"/>
        <w:ind w:right="-199"/>
        <w:spacing w:after="0"/>
        <w:rPr>
          <w:sz w:val="20"/>
          <w:szCs w:val="20"/>
          <w:color w:val="auto"/>
        </w:rPr>
      </w:pPr>
      <w:r>
        <w:rPr>
          <w:rFonts w:ascii="Arial" w:cs="Arial" w:eastAsia="Arial" w:hAnsi="Arial"/>
          <w:sz w:val="24"/>
          <w:szCs w:val="24"/>
          <w:i w:val="1"/>
          <w:iCs w:val="1"/>
          <w:color w:val="auto"/>
        </w:rPr>
        <w:t>ROA</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bscript"/>
        </w:rPr>
        <w:t>AT</w:t>
      </w:r>
      <w:r>
        <w:rPr>
          <w:rFonts w:ascii="Arial" w:cs="Arial" w:eastAsia="Arial" w:hAnsi="Arial"/>
          <w:sz w:val="47"/>
          <w:szCs w:val="47"/>
          <w:i w:val="1"/>
          <w:iCs w:val="1"/>
          <w:color w:val="auto"/>
          <w:vertAlign w:val="superscript"/>
        </w:rPr>
        <w:t>LO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3204845</wp:posOffset>
                </wp:positionH>
                <wp:positionV relativeFrom="paragraph">
                  <wp:posOffset>-165100</wp:posOffset>
                </wp:positionV>
                <wp:extent cx="219075"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90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35pt,-13pt" to="269.6pt,-13pt" o:allowincell="f" strokecolor="#000000" strokeweight="0.398pt"/>
            </w:pict>
          </mc:Fallback>
        </mc:AlternateContent>
      </w:r>
    </w:p>
    <w:p>
      <w:pPr>
        <w:spacing w:after="0" w:line="161"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O Retorno sobre o Patrimônio Liquido (</w:t>
      </w:r>
      <w:r>
        <w:rPr>
          <w:rFonts w:ascii="Arial" w:cs="Arial" w:eastAsia="Arial" w:hAnsi="Arial"/>
          <w:sz w:val="24"/>
          <w:szCs w:val="24"/>
          <w:i w:val="1"/>
          <w:iCs w:val="1"/>
          <w:color w:val="auto"/>
        </w:rPr>
        <w:t>ROE</w:t>
      </w:r>
      <w:r>
        <w:rPr>
          <w:rFonts w:ascii="Arial" w:cs="Arial" w:eastAsia="Arial" w:hAnsi="Arial"/>
          <w:sz w:val="24"/>
          <w:szCs w:val="24"/>
          <w:color w:val="auto"/>
        </w:rPr>
        <w:t>) mensura a relação entre o lucro líquido (</w:t>
      </w:r>
      <w:r>
        <w:rPr>
          <w:rFonts w:ascii="Arial" w:cs="Arial" w:eastAsia="Arial" w:hAnsi="Arial"/>
          <w:sz w:val="24"/>
          <w:szCs w:val="24"/>
          <w:i w:val="1"/>
          <w:iCs w:val="1"/>
          <w:color w:val="auto"/>
        </w:rPr>
        <w:t>LL</w:t>
      </w:r>
      <w:r>
        <w:rPr>
          <w:rFonts w:ascii="Arial" w:cs="Arial" w:eastAsia="Arial" w:hAnsi="Arial"/>
          <w:sz w:val="24"/>
          <w:szCs w:val="24"/>
          <w:color w:val="auto"/>
        </w:rPr>
        <w:t>) em o Patrimônio Líquido (</w:t>
      </w:r>
      <w:r>
        <w:rPr>
          <w:rFonts w:ascii="Arial" w:cs="Arial" w:eastAsia="Arial" w:hAnsi="Arial"/>
          <w:sz w:val="24"/>
          <w:szCs w:val="24"/>
          <w:i w:val="1"/>
          <w:iCs w:val="1"/>
          <w:color w:val="auto"/>
        </w:rPr>
        <w:t>P L</w:t>
      </w:r>
      <w:r>
        <w:rPr>
          <w:rFonts w:ascii="Arial" w:cs="Arial" w:eastAsia="Arial" w:hAnsi="Arial"/>
          <w:sz w:val="24"/>
          <w:szCs w:val="24"/>
          <w:color w:val="auto"/>
        </w:rPr>
        <w:t>) da instituição, configurando o retorno dos investimentos para os sócios e acionista, para cada unidade monetária com recursos próprios aplicados na empresa (ASSAF NETO, 2020).</w:t>
      </w:r>
    </w:p>
    <w:p>
      <w:pPr>
        <w:spacing w:after="0" w:line="138" w:lineRule="exact"/>
        <w:rPr>
          <w:sz w:val="20"/>
          <w:szCs w:val="20"/>
          <w:color w:val="auto"/>
        </w:rPr>
      </w:pPr>
    </w:p>
    <w:p>
      <w:pPr>
        <w:jc w:val="right"/>
        <w:ind w:right="3980"/>
        <w:spacing w:after="0"/>
        <w:rPr>
          <w:sz w:val="20"/>
          <w:szCs w:val="20"/>
          <w:color w:val="auto"/>
        </w:rPr>
      </w:pPr>
      <w:r>
        <w:rPr>
          <w:rFonts w:ascii="Arial" w:cs="Arial" w:eastAsia="Arial" w:hAnsi="Arial"/>
          <w:sz w:val="24"/>
          <w:szCs w:val="24"/>
          <w:i w:val="1"/>
          <w:iCs w:val="1"/>
          <w:color w:val="auto"/>
        </w:rPr>
        <w:t>ROE</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3209290</wp:posOffset>
                </wp:positionH>
                <wp:positionV relativeFrom="paragraph">
                  <wp:posOffset>-36195</wp:posOffset>
                </wp:positionV>
                <wp:extent cx="217805"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7pt,-2.8499pt" to="269.85pt,-2.8499pt" o:allowincell="f" strokecolor="#000000" strokeweight="0.398pt"/>
            </w:pict>
          </mc:Fallback>
        </mc:AlternateContent>
      </w:r>
    </w:p>
    <w:p>
      <w:pPr>
        <w:jc w:val="right"/>
        <w:ind w:right="3960"/>
        <w:spacing w:after="0" w:line="194" w:lineRule="auto"/>
        <w:rPr>
          <w:sz w:val="20"/>
          <w:szCs w:val="20"/>
          <w:color w:val="auto"/>
        </w:rPr>
      </w:pPr>
      <w:r>
        <w:rPr>
          <w:rFonts w:ascii="Arial" w:cs="Arial" w:eastAsia="Arial" w:hAnsi="Arial"/>
          <w:sz w:val="24"/>
          <w:szCs w:val="24"/>
          <w:i w:val="1"/>
          <w:iCs w:val="1"/>
          <w:color w:val="auto"/>
        </w:rPr>
        <w:t>P L</w:t>
      </w:r>
    </w:p>
    <w:p>
      <w:pPr>
        <w:spacing w:after="0" w:line="160"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A margem EBITDA (</w:t>
      </w:r>
      <w:r>
        <w:rPr>
          <w:rFonts w:ascii="Arial" w:cs="Arial" w:eastAsia="Arial" w:hAnsi="Arial"/>
          <w:sz w:val="24"/>
          <w:szCs w:val="24"/>
          <w:i w:val="1"/>
          <w:iCs w:val="1"/>
          <w:color w:val="auto"/>
        </w:rPr>
        <w:t>M EB</w:t>
      </w:r>
      <w:r>
        <w:rPr>
          <w:rFonts w:ascii="Arial" w:cs="Arial" w:eastAsia="Arial" w:hAnsi="Arial"/>
          <w:sz w:val="24"/>
          <w:szCs w:val="24"/>
          <w:color w:val="auto"/>
        </w:rPr>
        <w:t>) é obtida da relação entre o EBITDA — lucro antes dos juros, depreciação, amortização e impostos sobre a renda, configurando o lucro operacional da instituição — e a Receita Líquida (</w:t>
      </w:r>
      <w:r>
        <w:rPr>
          <w:rFonts w:ascii="Arial" w:cs="Arial" w:eastAsia="Arial" w:hAnsi="Arial"/>
          <w:sz w:val="24"/>
          <w:szCs w:val="24"/>
          <w:i w:val="1"/>
          <w:iCs w:val="1"/>
          <w:color w:val="auto"/>
        </w:rPr>
        <w:t>RL</w:t>
      </w:r>
      <w:r>
        <w:rPr>
          <w:rFonts w:ascii="Arial" w:cs="Arial" w:eastAsia="Arial" w:hAnsi="Arial"/>
          <w:sz w:val="24"/>
          <w:szCs w:val="24"/>
          <w:color w:val="auto"/>
        </w:rPr>
        <w:t>), revelando a capacidade da instituição na geração de caixa (ASSAF NETO, 2020).</w:t>
      </w:r>
    </w:p>
    <w:p>
      <w:pPr>
        <w:spacing w:after="0" w:line="127" w:lineRule="exact"/>
        <w:rPr>
          <w:sz w:val="20"/>
          <w:szCs w:val="20"/>
          <w:color w:val="auto"/>
        </w:rPr>
      </w:pPr>
    </w:p>
    <w:p>
      <w:pPr>
        <w:ind w:left="3620"/>
        <w:spacing w:after="0"/>
        <w:rPr>
          <w:sz w:val="20"/>
          <w:szCs w:val="20"/>
          <w:color w:val="auto"/>
        </w:rPr>
      </w:pPr>
      <w:r>
        <w:rPr>
          <w:rFonts w:ascii="Arial" w:cs="Arial" w:eastAsia="Arial" w:hAnsi="Arial"/>
          <w:sz w:val="48"/>
          <w:szCs w:val="48"/>
          <w:i w:val="1"/>
          <w:iCs w:val="1"/>
          <w:color w:val="auto"/>
          <w:vertAlign w:val="subscript"/>
        </w:rPr>
        <w:t>M</w:t>
      </w:r>
      <w:r>
        <w:rPr>
          <w:rFonts w:ascii="Arial" w:cs="Arial" w:eastAsia="Arial" w:hAnsi="Arial"/>
          <w:sz w:val="47"/>
          <w:szCs w:val="47"/>
          <w:i w:val="1"/>
          <w:iCs w:val="1"/>
          <w:color w:val="auto"/>
          <w:vertAlign w:val="subscript"/>
        </w:rPr>
        <w:t xml:space="preserve"> </w:t>
      </w:r>
      <w:r>
        <w:rPr>
          <w:rFonts w:ascii="Arial" w:cs="Arial" w:eastAsia="Arial" w:hAnsi="Arial"/>
          <w:sz w:val="48"/>
          <w:szCs w:val="48"/>
          <w:i w:val="1"/>
          <w:iCs w:val="1"/>
          <w:color w:val="auto"/>
          <w:vertAlign w:val="subscript"/>
        </w:rPr>
        <w:t>EB</w:t>
      </w:r>
      <w:r>
        <w:rPr>
          <w:rFonts w:ascii="Arial" w:cs="Arial" w:eastAsia="Arial" w:hAnsi="Arial"/>
          <w:sz w:val="31"/>
          <w:szCs w:val="31"/>
          <w:i w:val="1"/>
          <w:iCs w:val="1"/>
          <w:color w:val="auto"/>
          <w:vertAlign w:val="subscript"/>
        </w:rPr>
        <w:t>i</w:t>
      </w:r>
      <w:r>
        <w:rPr>
          <w:rFonts w:ascii="Arial" w:cs="Arial" w:eastAsia="Arial" w:hAnsi="Arial"/>
          <w:sz w:val="48"/>
          <w:szCs w:val="48"/>
          <w:i w:val="1"/>
          <w:iCs w:val="1"/>
          <w:color w:val="auto"/>
          <w:vertAlign w:val="subscript"/>
        </w:rPr>
        <w:t>t</w:t>
      </w:r>
      <w:r>
        <w:rPr>
          <w:rFonts w:ascii="Arial" w:cs="Arial" w:eastAsia="Arial" w:hAnsi="Arial"/>
          <w:sz w:val="47"/>
          <w:szCs w:val="47"/>
          <w:color w:val="auto"/>
          <w:vertAlign w:val="subscript"/>
        </w:rPr>
        <w:t xml:space="preserve"> = </w:t>
      </w:r>
      <w:r>
        <w:rPr>
          <w:rFonts w:ascii="Arial" w:cs="Arial" w:eastAsia="Arial" w:hAnsi="Arial"/>
          <w:sz w:val="47"/>
          <w:szCs w:val="47"/>
          <w:i w:val="1"/>
          <w:iCs w:val="1"/>
          <w:color w:val="auto"/>
          <w:vertAlign w:val="superscript"/>
        </w:rPr>
        <w:t>EBIT DA</w:t>
      </w:r>
      <w:r>
        <w:rPr>
          <w:rFonts w:ascii="Arial" w:cs="Arial" w:eastAsia="Arial" w:hAnsi="Arial"/>
          <w:sz w:val="15"/>
          <w:szCs w:val="15"/>
          <w:i w:val="1"/>
          <w:iCs w:val="1"/>
          <w:color w:val="auto"/>
        </w:rPr>
        <w:t>i</w:t>
      </w:r>
      <w:r>
        <w:rPr>
          <w:rFonts w:ascii="Arial" w:cs="Arial" w:eastAsia="Arial" w:hAnsi="Arial"/>
          <w:sz w:val="48"/>
          <w:szCs w:val="48"/>
          <w:i w:val="1"/>
          <w:iCs w:val="1"/>
          <w:color w:val="auto"/>
          <w:vertAlign w:val="superscript"/>
        </w:rPr>
        <w:t>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3006725</wp:posOffset>
                </wp:positionH>
                <wp:positionV relativeFrom="paragraph">
                  <wp:posOffset>-36195</wp:posOffset>
                </wp:positionV>
                <wp:extent cx="760095"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60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75pt,-2.8499pt" to="296.6pt,-2.8499pt" o:allowincell="f" strokecolor="#000000" strokeweight="0.398pt"/>
            </w:pict>
          </mc:Fallback>
        </mc:AlternateContent>
      </w:r>
    </w:p>
    <w:p>
      <w:pPr>
        <w:ind w:left="5080"/>
        <w:spacing w:after="0" w:line="185" w:lineRule="auto"/>
        <w:rPr>
          <w:sz w:val="20"/>
          <w:szCs w:val="20"/>
          <w:color w:val="auto"/>
        </w:rPr>
      </w:pPr>
      <w:r>
        <w:rPr>
          <w:rFonts w:ascii="Arial" w:cs="Arial" w:eastAsia="Arial" w:hAnsi="Arial"/>
          <w:sz w:val="21"/>
          <w:szCs w:val="21"/>
          <w:i w:val="1"/>
          <w:iCs w:val="1"/>
          <w:color w:val="auto"/>
        </w:rPr>
        <w:t>RL</w:t>
      </w:r>
      <w:r>
        <w:rPr>
          <w:rFonts w:ascii="Arial" w:cs="Arial" w:eastAsia="Arial" w:hAnsi="Arial"/>
          <w:sz w:val="27"/>
          <w:szCs w:val="27"/>
          <w:i w:val="1"/>
          <w:iCs w:val="1"/>
          <w:color w:val="auto"/>
          <w:vertAlign w:val="subscript"/>
        </w:rPr>
        <w:t>i</w:t>
      </w:r>
      <w:r>
        <w:rPr>
          <w:rFonts w:ascii="Arial" w:cs="Arial" w:eastAsia="Arial" w:hAnsi="Arial"/>
          <w:sz w:val="21"/>
          <w:szCs w:val="21"/>
          <w:i w:val="1"/>
          <w:iCs w:val="1"/>
          <w:color w:val="auto"/>
        </w:rPr>
        <w:t>t</w:t>
      </w:r>
    </w:p>
    <w:p>
      <w:pPr>
        <w:spacing w:after="0" w:line="181"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A Margem Líquida (</w:t>
      </w:r>
      <w:r>
        <w:rPr>
          <w:rFonts w:ascii="Arial" w:cs="Arial" w:eastAsia="Arial" w:hAnsi="Arial"/>
          <w:sz w:val="24"/>
          <w:szCs w:val="24"/>
          <w:i w:val="1"/>
          <w:iCs w:val="1"/>
          <w:color w:val="auto"/>
        </w:rPr>
        <w:t>M L</w:t>
      </w:r>
      <w:r>
        <w:rPr>
          <w:rFonts w:ascii="Arial" w:cs="Arial" w:eastAsia="Arial" w:hAnsi="Arial"/>
          <w:sz w:val="24"/>
          <w:szCs w:val="24"/>
          <w:color w:val="auto"/>
        </w:rPr>
        <w:t>) é um indicador que demonstra a parte de cada unidade monetária das intermediações financeiras que foi convertida em Lucro Líquido, sendo obtida da relação entre o lucro líquido (</w:t>
      </w:r>
      <w:r>
        <w:rPr>
          <w:rFonts w:ascii="Arial" w:cs="Arial" w:eastAsia="Arial" w:hAnsi="Arial"/>
          <w:sz w:val="24"/>
          <w:szCs w:val="24"/>
          <w:i w:val="1"/>
          <w:iCs w:val="1"/>
          <w:color w:val="auto"/>
        </w:rPr>
        <w:t>LL</w:t>
      </w:r>
      <w:r>
        <w:rPr>
          <w:rFonts w:ascii="Arial" w:cs="Arial" w:eastAsia="Arial" w:hAnsi="Arial"/>
          <w:sz w:val="24"/>
          <w:szCs w:val="24"/>
          <w:color w:val="auto"/>
        </w:rPr>
        <w:t>) e O resultado líquido da intermediação financeira (</w:t>
      </w:r>
      <w:r>
        <w:rPr>
          <w:rFonts w:ascii="Arial" w:cs="Arial" w:eastAsia="Arial" w:hAnsi="Arial"/>
          <w:sz w:val="24"/>
          <w:szCs w:val="24"/>
          <w:i w:val="1"/>
          <w:iCs w:val="1"/>
          <w:color w:val="auto"/>
        </w:rPr>
        <w:t>RLIF</w:t>
      </w:r>
      <w:r>
        <w:rPr>
          <w:rFonts w:ascii="Arial" w:cs="Arial" w:eastAsia="Arial" w:hAnsi="Arial"/>
          <w:sz w:val="24"/>
          <w:szCs w:val="24"/>
          <w:color w:val="auto"/>
        </w:rPr>
        <w:t xml:space="preserve"> ) (ASSAF NETO, 2020).</w:t>
      </w:r>
    </w:p>
    <w:p>
      <w:pPr>
        <w:spacing w:after="0" w:line="341" w:lineRule="exact"/>
        <w:rPr>
          <w:sz w:val="20"/>
          <w:szCs w:val="20"/>
          <w:color w:val="auto"/>
        </w:rPr>
      </w:pPr>
    </w:p>
    <w:p>
      <w:pPr>
        <w:jc w:val="center"/>
        <w:ind w:right="-179"/>
        <w:spacing w:after="0"/>
        <w:rPr>
          <w:sz w:val="20"/>
          <w:szCs w:val="20"/>
          <w:color w:val="auto"/>
        </w:rPr>
      </w:pPr>
      <w:r>
        <w:rPr>
          <w:rFonts w:ascii="Arial" w:cs="Arial" w:eastAsia="Arial" w:hAnsi="Arial"/>
          <w:sz w:val="24"/>
          <w:szCs w:val="24"/>
          <w:i w:val="1"/>
          <w:iCs w:val="1"/>
          <w:color w:val="auto"/>
        </w:rPr>
        <w:t>ML</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bscript"/>
        </w:rPr>
        <w:t>RLIF</w:t>
      </w:r>
      <w:r>
        <w:rPr>
          <w:rFonts w:ascii="Arial" w:cs="Arial" w:eastAsia="Arial" w:hAnsi="Arial"/>
          <w:sz w:val="47"/>
          <w:szCs w:val="47"/>
          <w:i w:val="1"/>
          <w:iCs w:val="1"/>
          <w:color w:val="auto"/>
          <w:vertAlign w:val="superscript"/>
        </w:rPr>
        <w:t>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3068320</wp:posOffset>
                </wp:positionH>
                <wp:positionV relativeFrom="paragraph">
                  <wp:posOffset>-165100</wp:posOffset>
                </wp:positionV>
                <wp:extent cx="409575"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5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6pt,-13pt" to="273.85pt,-13pt" o:allowincell="f" strokecolor="#000000" strokeweight="0.398pt"/>
            </w:pict>
          </mc:Fallback>
        </mc:AlternateContent>
      </w:r>
    </w:p>
    <w:p>
      <w:pPr>
        <w:spacing w:after="0" w:line="161" w:lineRule="exact"/>
        <w:rPr>
          <w:sz w:val="20"/>
          <w:szCs w:val="20"/>
          <w:color w:val="auto"/>
        </w:rPr>
      </w:pPr>
    </w:p>
    <w:p>
      <w:pPr>
        <w:jc w:val="both"/>
        <w:ind w:left="260" w:firstLine="850"/>
        <w:spacing w:after="0" w:line="314" w:lineRule="auto"/>
        <w:rPr>
          <w:sz w:val="20"/>
          <w:szCs w:val="20"/>
          <w:color w:val="auto"/>
        </w:rPr>
      </w:pPr>
      <w:r>
        <w:rPr>
          <w:rFonts w:ascii="Arial" w:cs="Arial" w:eastAsia="Arial" w:hAnsi="Arial"/>
          <w:sz w:val="24"/>
          <w:szCs w:val="24"/>
          <w:color w:val="auto"/>
        </w:rPr>
        <w:t>O grau de alavancagem financeira (</w:t>
      </w:r>
      <w:r>
        <w:rPr>
          <w:rFonts w:ascii="Arial" w:cs="Arial" w:eastAsia="Arial" w:hAnsi="Arial"/>
          <w:sz w:val="24"/>
          <w:szCs w:val="24"/>
          <w:i w:val="1"/>
          <w:iCs w:val="1"/>
          <w:color w:val="auto"/>
        </w:rPr>
        <w:t>GAF</w:t>
      </w:r>
      <w:r>
        <w:rPr>
          <w:rFonts w:ascii="Arial" w:cs="Arial" w:eastAsia="Arial" w:hAnsi="Arial"/>
          <w:sz w:val="24"/>
          <w:szCs w:val="24"/>
          <w:color w:val="auto"/>
        </w:rPr>
        <w:t xml:space="preserve"> ) consiste no indicador que captura o efeito da tomada de recursos de terceiros a um dado custo, alocados para ativos que possuam distintas taxas de retornos. Como se dá o aumento do lucro líquido através da estrutura de financiamento, definindo a parcela do retorno que seria melhor ou pior se estivessem financiando a operações totalmente com capital próprio (ASSAF NETO, 2020).</w:t>
      </w:r>
    </w:p>
    <w:p>
      <w:pPr>
        <w:spacing w:after="0" w:line="147" w:lineRule="exact"/>
        <w:rPr>
          <w:sz w:val="20"/>
          <w:szCs w:val="20"/>
          <w:color w:val="auto"/>
        </w:rPr>
      </w:pPr>
    </w:p>
    <w:p>
      <w:pPr>
        <w:jc w:val="right"/>
        <w:ind w:right="3880"/>
        <w:spacing w:after="0"/>
        <w:rPr>
          <w:sz w:val="20"/>
          <w:szCs w:val="20"/>
          <w:color w:val="auto"/>
        </w:rPr>
      </w:pPr>
      <w:r>
        <w:rPr>
          <w:rFonts w:ascii="Arial" w:cs="Arial" w:eastAsia="Arial" w:hAnsi="Arial"/>
          <w:sz w:val="24"/>
          <w:szCs w:val="24"/>
          <w:i w:val="1"/>
          <w:iCs w:val="1"/>
          <w:color w:val="auto"/>
        </w:rPr>
        <w:t>GAF</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RPL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3143885</wp:posOffset>
                </wp:positionH>
                <wp:positionV relativeFrom="paragraph">
                  <wp:posOffset>-36195</wp:posOffset>
                </wp:positionV>
                <wp:extent cx="343535"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35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7.55pt,-2.8499pt" to="274.6pt,-2.8499pt" o:allowincell="f" strokecolor="#000000" strokeweight="0.398pt"/>
            </w:pict>
          </mc:Fallback>
        </mc:AlternateContent>
      </w:r>
    </w:p>
    <w:p>
      <w:pPr>
        <w:jc w:val="right"/>
        <w:ind w:right="3860"/>
        <w:spacing w:after="0" w:line="194" w:lineRule="auto"/>
        <w:rPr>
          <w:sz w:val="20"/>
          <w:szCs w:val="20"/>
          <w:color w:val="auto"/>
        </w:rPr>
      </w:pPr>
      <w:r>
        <w:rPr>
          <w:rFonts w:ascii="Arial" w:cs="Arial" w:eastAsia="Arial" w:hAnsi="Arial"/>
          <w:sz w:val="24"/>
          <w:szCs w:val="24"/>
          <w:i w:val="1"/>
          <w:iCs w:val="1"/>
          <w:color w:val="auto"/>
        </w:rPr>
        <w:t>ROA</w:t>
      </w:r>
    </w:p>
    <w:p>
      <w:pPr>
        <w:spacing w:after="0" w:line="160" w:lineRule="exact"/>
        <w:rPr>
          <w:sz w:val="20"/>
          <w:szCs w:val="20"/>
          <w:color w:val="auto"/>
        </w:rPr>
      </w:pPr>
    </w:p>
    <w:p>
      <w:pPr>
        <w:jc w:val="both"/>
        <w:ind w:left="260" w:right="20" w:firstLine="858"/>
        <w:spacing w:after="0" w:line="317" w:lineRule="auto"/>
        <w:rPr>
          <w:sz w:val="20"/>
          <w:szCs w:val="20"/>
          <w:color w:val="auto"/>
        </w:rPr>
      </w:pPr>
      <w:r>
        <w:rPr>
          <w:rFonts w:ascii="Arial" w:cs="Arial" w:eastAsia="Arial" w:hAnsi="Arial"/>
          <w:sz w:val="24"/>
          <w:szCs w:val="24"/>
          <w:color w:val="auto"/>
        </w:rPr>
        <w:t>O risco de crédito das instituições bancárias pode ser obtido por meio da relação entre o saldo da Provisão para Créditos de Liquidação Duvidosa (</w:t>
      </w:r>
      <w:r>
        <w:rPr>
          <w:rFonts w:ascii="Arial" w:cs="Arial" w:eastAsia="Arial" w:hAnsi="Arial"/>
          <w:sz w:val="24"/>
          <w:szCs w:val="24"/>
          <w:i w:val="1"/>
          <w:iCs w:val="1"/>
          <w:color w:val="auto"/>
        </w:rPr>
        <w:t>P CLD</w:t>
      </w:r>
      <w:r>
        <w:rPr>
          <w:rFonts w:ascii="Arial" w:cs="Arial" w:eastAsia="Arial" w:hAnsi="Arial"/>
          <w:sz w:val="24"/>
          <w:szCs w:val="24"/>
          <w:color w:val="auto"/>
        </w:rPr>
        <w:t>) e do total da carteira de crédito (</w:t>
      </w:r>
      <w:r>
        <w:rPr>
          <w:rFonts w:ascii="Arial" w:cs="Arial" w:eastAsia="Arial" w:hAnsi="Arial"/>
          <w:sz w:val="24"/>
          <w:szCs w:val="24"/>
          <w:i w:val="1"/>
          <w:iCs w:val="1"/>
          <w:color w:val="auto"/>
        </w:rPr>
        <w:t>OP CR</w:t>
      </w:r>
      <w:r>
        <w:rPr>
          <w:rFonts w:ascii="Arial" w:cs="Arial" w:eastAsia="Arial" w:hAnsi="Arial"/>
          <w:sz w:val="24"/>
          <w:szCs w:val="24"/>
          <w:color w:val="auto"/>
        </w:rPr>
        <w:t>), obtidos através das contas 16900008 e 16000001 (DANTAS, 2012)</w:t>
      </w:r>
    </w:p>
    <w:p>
      <w:pPr>
        <w:spacing w:after="0" w:line="127" w:lineRule="exact"/>
        <w:rPr>
          <w:sz w:val="20"/>
          <w:szCs w:val="20"/>
          <w:color w:val="auto"/>
        </w:rPr>
      </w:pPr>
    </w:p>
    <w:p>
      <w:pPr>
        <w:jc w:val="right"/>
        <w:ind w:right="3880"/>
        <w:spacing w:after="0"/>
        <w:rPr>
          <w:sz w:val="20"/>
          <w:szCs w:val="20"/>
          <w:color w:val="auto"/>
        </w:rPr>
      </w:pPr>
      <w:r>
        <w:rPr>
          <w:rFonts w:ascii="Arial" w:cs="Arial" w:eastAsia="Arial" w:hAnsi="Arial"/>
          <w:sz w:val="48"/>
          <w:szCs w:val="48"/>
          <w:i w:val="1"/>
          <w:iCs w:val="1"/>
          <w:color w:val="auto"/>
          <w:vertAlign w:val="subscript"/>
        </w:rPr>
        <w:t>RC</w:t>
      </w:r>
      <w:r>
        <w:rPr>
          <w:rFonts w:ascii="Arial" w:cs="Arial" w:eastAsia="Arial" w:hAnsi="Arial"/>
          <w:sz w:val="47"/>
          <w:szCs w:val="47"/>
          <w:color w:val="auto"/>
          <w:vertAlign w:val="subscript"/>
        </w:rPr>
        <w:t xml:space="preserve"> =</w:t>
      </w:r>
      <w:r>
        <w:rPr>
          <w:rFonts w:ascii="Arial" w:cs="Arial" w:eastAsia="Arial" w:hAnsi="Arial"/>
          <w:sz w:val="48"/>
          <w:szCs w:val="48"/>
          <w:color w:val="auto"/>
          <w:vertAlign w:val="subscript"/>
        </w:rPr>
        <w:t xml:space="preserve"> </w:t>
      </w:r>
      <w:r>
        <w:rPr>
          <w:rFonts w:ascii="Arial" w:cs="Arial" w:eastAsia="Arial" w:hAnsi="Arial"/>
          <w:sz w:val="48"/>
          <w:szCs w:val="48"/>
          <w:i w:val="1"/>
          <w:iCs w:val="1"/>
          <w:color w:val="auto"/>
        </w:rPr>
        <w:t>PCLD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3020695</wp:posOffset>
                </wp:positionH>
                <wp:positionV relativeFrom="paragraph">
                  <wp:posOffset>-36195</wp:posOffset>
                </wp:positionV>
                <wp:extent cx="47117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1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85pt,-2.8499pt" to="274.95pt,-2.8499pt" o:allowincell="f" strokecolor="#000000" strokeweight="0.398pt"/>
            </w:pict>
          </mc:Fallback>
        </mc:AlternateContent>
      </w:r>
    </w:p>
    <w:p>
      <w:pPr>
        <w:jc w:val="right"/>
        <w:ind w:right="3880"/>
        <w:spacing w:after="0" w:line="194" w:lineRule="auto"/>
        <w:rPr>
          <w:sz w:val="20"/>
          <w:szCs w:val="20"/>
          <w:color w:val="auto"/>
        </w:rPr>
      </w:pPr>
      <w:r>
        <w:rPr>
          <w:rFonts w:ascii="Arial" w:cs="Arial" w:eastAsia="Arial" w:hAnsi="Arial"/>
          <w:sz w:val="24"/>
          <w:szCs w:val="24"/>
          <w:i w:val="1"/>
          <w:iCs w:val="1"/>
          <w:color w:val="auto"/>
        </w:rPr>
        <w:t>OPCR</w:t>
      </w:r>
    </w:p>
    <w:p>
      <w:pPr>
        <w:sectPr>
          <w:pgSz w:w="11900" w:h="16838" w:orient="portrait"/>
          <w:cols w:equalWidth="0" w:num="1">
            <w:col w:w="9360"/>
          </w:cols>
          <w:pgMar w:left="1440" w:top="991" w:right="1106" w:bottom="400" w:gutter="0" w:footer="0" w:header="0"/>
        </w:sectPr>
      </w:pPr>
    </w:p>
    <w:p>
      <w:pPr>
        <w:ind w:left="9060"/>
        <w:spacing w:after="0"/>
        <w:rPr>
          <w:sz w:val="20"/>
          <w:szCs w:val="20"/>
          <w:color w:val="auto"/>
        </w:rPr>
      </w:pPr>
      <w:r>
        <w:rPr>
          <w:rFonts w:ascii="Arial" w:cs="Arial" w:eastAsia="Arial" w:hAnsi="Arial"/>
          <w:sz w:val="24"/>
          <w:szCs w:val="24"/>
          <w:color w:val="auto"/>
        </w:rPr>
        <w:t>23</w:t>
      </w:r>
    </w:p>
    <w:p>
      <w:pPr>
        <w:spacing w:after="0" w:line="200" w:lineRule="exact"/>
        <w:rPr>
          <w:sz w:val="20"/>
          <w:szCs w:val="20"/>
          <w:color w:val="auto"/>
        </w:rPr>
      </w:pPr>
    </w:p>
    <w:p>
      <w:pPr>
        <w:spacing w:after="0" w:line="246" w:lineRule="exact"/>
        <w:rPr>
          <w:sz w:val="20"/>
          <w:szCs w:val="20"/>
          <w:color w:val="auto"/>
        </w:rPr>
      </w:pPr>
    </w:p>
    <w:p>
      <w:pPr>
        <w:jc w:val="both"/>
        <w:ind w:left="260" w:right="40" w:firstLine="850"/>
        <w:spacing w:after="0" w:line="319" w:lineRule="auto"/>
        <w:rPr>
          <w:sz w:val="20"/>
          <w:szCs w:val="20"/>
          <w:color w:val="auto"/>
        </w:rPr>
      </w:pPr>
      <w:r>
        <w:rPr>
          <w:rFonts w:ascii="Arial" w:cs="Arial" w:eastAsia="Arial" w:hAnsi="Arial"/>
          <w:sz w:val="24"/>
          <w:szCs w:val="24"/>
          <w:color w:val="auto"/>
        </w:rPr>
        <w:t>A participação de mercado (</w:t>
      </w:r>
      <w:r>
        <w:rPr>
          <w:rFonts w:ascii="Arial" w:cs="Arial" w:eastAsia="Arial" w:hAnsi="Arial"/>
          <w:sz w:val="24"/>
          <w:szCs w:val="24"/>
          <w:i w:val="1"/>
          <w:iCs w:val="1"/>
          <w:color w:val="auto"/>
        </w:rPr>
        <w:t>M S</w:t>
      </w:r>
      <w:r>
        <w:rPr>
          <w:rFonts w:ascii="Arial" w:cs="Arial" w:eastAsia="Arial" w:hAnsi="Arial"/>
          <w:sz w:val="24"/>
          <w:szCs w:val="24"/>
          <w:color w:val="auto"/>
        </w:rPr>
        <w:t>) de cada instituição pode ser mensurada a partir da relação entre suas operações de crédito {</w:t>
      </w:r>
      <w:r>
        <w:rPr>
          <w:rFonts w:ascii="Arial" w:cs="Arial" w:eastAsia="Arial" w:hAnsi="Arial"/>
          <w:sz w:val="24"/>
          <w:szCs w:val="24"/>
          <w:i w:val="1"/>
          <w:iCs w:val="1"/>
          <w:color w:val="auto"/>
        </w:rPr>
        <w:t>OP CR</w:t>
      </w:r>
      <w:r>
        <w:rPr>
          <w:rFonts w:ascii="Arial" w:cs="Arial" w:eastAsia="Arial" w:hAnsi="Arial"/>
          <w:sz w:val="24"/>
          <w:szCs w:val="24"/>
          <w:color w:val="auto"/>
        </w:rPr>
        <w:t>} no total das operações de crédito do mercado, sendo obtido através da conta 1600001 (DANTAS, 2012).</w:t>
      </w:r>
    </w:p>
    <w:p>
      <w:pPr>
        <w:spacing w:after="0" w:line="242" w:lineRule="exact"/>
        <w:rPr>
          <w:sz w:val="20"/>
          <w:szCs w:val="20"/>
          <w:color w:val="auto"/>
        </w:rPr>
      </w:pPr>
    </w:p>
    <w:p>
      <w:pPr>
        <w:ind w:left="4780"/>
        <w:spacing w:after="0"/>
        <w:rPr>
          <w:sz w:val="20"/>
          <w:szCs w:val="20"/>
          <w:color w:val="auto"/>
        </w:rPr>
      </w:pPr>
      <w:r>
        <w:rPr>
          <w:rFonts w:ascii="Arial" w:cs="Arial" w:eastAsia="Arial" w:hAnsi="Arial"/>
          <w:sz w:val="24"/>
          <w:szCs w:val="24"/>
          <w:i w:val="1"/>
          <w:iCs w:val="1"/>
          <w:color w:val="auto"/>
        </w:rPr>
        <w:t>OPCR</w:t>
      </w:r>
    </w:p>
    <w:p>
      <w:pPr>
        <w:ind w:left="3860"/>
        <w:spacing w:after="0"/>
        <w:rPr>
          <w:sz w:val="20"/>
          <w:szCs w:val="20"/>
          <w:color w:val="auto"/>
        </w:rPr>
      </w:pPr>
      <w:r>
        <w:rPr>
          <w:rFonts w:ascii="Arial" w:cs="Arial" w:eastAsia="Arial" w:hAnsi="Arial"/>
          <w:sz w:val="48"/>
          <w:szCs w:val="48"/>
          <w:i w:val="1"/>
          <w:iCs w:val="1"/>
          <w:color w:val="auto"/>
          <w:vertAlign w:val="superscript"/>
        </w:rPr>
        <w:t>M</w:t>
      </w:r>
      <w:r>
        <w:rPr>
          <w:rFonts w:ascii="Arial" w:cs="Arial" w:eastAsia="Arial" w:hAnsi="Arial"/>
          <w:sz w:val="47"/>
          <w:szCs w:val="47"/>
          <w:i w:val="1"/>
          <w:iCs w:val="1"/>
          <w:color w:val="auto"/>
          <w:vertAlign w:val="superscript"/>
        </w:rPr>
        <w:t xml:space="preserve"> </w:t>
      </w:r>
      <w:r>
        <w:rPr>
          <w:rFonts w:ascii="Arial" w:cs="Arial" w:eastAsia="Arial" w:hAnsi="Arial"/>
          <w:sz w:val="48"/>
          <w:szCs w:val="48"/>
          <w:i w:val="1"/>
          <w:iCs w:val="1"/>
          <w:color w:val="auto"/>
          <w:vertAlign w:val="superscript"/>
        </w:rPr>
        <w:t>S</w:t>
      </w:r>
      <w:r>
        <w:rPr>
          <w:rFonts w:ascii="Arial" w:cs="Arial" w:eastAsia="Arial" w:hAnsi="Arial"/>
          <w:sz w:val="47"/>
          <w:szCs w:val="47"/>
          <w:color w:val="auto"/>
          <w:vertAlign w:val="superscript"/>
        </w:rPr>
        <w:t xml:space="preserve"> =</w:t>
      </w:r>
      <w:r>
        <w:rPr>
          <w:rFonts w:ascii="Arial" w:cs="Arial" w:eastAsia="Arial" w:hAnsi="Arial"/>
          <w:sz w:val="19"/>
          <w:szCs w:val="19"/>
          <w:color w:val="auto"/>
          <w:vertAlign w:val="superscript"/>
        </w:rPr>
        <w:t xml:space="preserve"> </w:t>
      </w:r>
      <w:r>
        <w:rPr>
          <w:rFonts w:ascii="Arial" w:cs="Arial" w:eastAsia="Arial" w:hAnsi="Arial"/>
          <w:sz w:val="19"/>
          <w:szCs w:val="19"/>
          <w:color w:val="auto"/>
        </w:rPr>
        <w:t>P</w:t>
      </w:r>
      <w:r>
        <w:rPr>
          <w:rFonts w:ascii="Arial" w:cs="Arial" w:eastAsia="Arial" w:hAnsi="Arial"/>
          <w:sz w:val="15"/>
          <w:szCs w:val="15"/>
          <w:i w:val="1"/>
          <w:iCs w:val="1"/>
          <w:color w:val="auto"/>
        </w:rPr>
        <w:t>n</w:t>
      </w:r>
      <w:r>
        <w:rPr>
          <w:rFonts w:ascii="Arial" w:cs="Arial" w:eastAsia="Arial" w:hAnsi="Arial"/>
          <w:sz w:val="31"/>
          <w:szCs w:val="31"/>
          <w:i w:val="1"/>
          <w:iCs w:val="1"/>
          <w:color w:val="auto"/>
          <w:vertAlign w:val="subscript"/>
        </w:rPr>
        <w:t>i</w:t>
      </w:r>
      <w:r>
        <w:rPr>
          <w:rFonts w:ascii="Arial" w:cs="Arial" w:eastAsia="Arial" w:hAnsi="Arial"/>
          <w:sz w:val="48"/>
          <w:szCs w:val="48"/>
          <w:i w:val="1"/>
          <w:iCs w:val="1"/>
          <w:color w:val="auto"/>
        </w:rPr>
        <w:t xml:space="preserve"> </w:t>
      </w:r>
      <w:r>
        <w:rPr>
          <w:rFonts w:ascii="Arial" w:cs="Arial" w:eastAsia="Arial" w:hAnsi="Arial"/>
          <w:sz w:val="48"/>
          <w:szCs w:val="48"/>
          <w:i w:val="1"/>
          <w:iCs w:val="1"/>
          <w:color w:val="auto"/>
          <w:vertAlign w:val="subscript"/>
        </w:rPr>
        <w:t>OP CR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2920365</wp:posOffset>
                </wp:positionH>
                <wp:positionV relativeFrom="paragraph">
                  <wp:posOffset>-285115</wp:posOffset>
                </wp:positionV>
                <wp:extent cx="701675"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16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95pt,-22.4499pt" to="285.2pt,-22.4499pt" o:allowincell="f" strokecolor="#000000" strokeweight="0.398pt"/>
            </w:pict>
          </mc:Fallback>
        </mc:AlternateContent>
      </w:r>
    </w:p>
    <w:p>
      <w:pPr>
        <w:spacing w:after="0" w:line="88" w:lineRule="exact"/>
        <w:rPr>
          <w:sz w:val="20"/>
          <w:szCs w:val="20"/>
          <w:color w:val="auto"/>
        </w:rPr>
      </w:pPr>
    </w:p>
    <w:p>
      <w:pPr>
        <w:jc w:val="both"/>
        <w:ind w:left="260" w:firstLine="850"/>
        <w:spacing w:after="0" w:line="303" w:lineRule="auto"/>
        <w:rPr>
          <w:sz w:val="20"/>
          <w:szCs w:val="20"/>
          <w:color w:val="auto"/>
        </w:rPr>
      </w:pPr>
      <w:r>
        <w:rPr>
          <w:rFonts w:ascii="Arial" w:cs="Arial" w:eastAsia="Arial" w:hAnsi="Arial"/>
          <w:sz w:val="24"/>
          <w:szCs w:val="24"/>
          <w:color w:val="auto"/>
        </w:rPr>
        <w:t>Esta seção levantou informações amplas sobre o setor bancário brasileiro, e identificando variáveis macroeconômicas e microeconômicas refrentes a economia como um todo, setor financeiro, ao setor bancário e as instituições em si. No próximo capítulo serão levantados conceitos, definições e estudos sobre a evolução, decompo-sição e determinantes do spread bancário.</w:t>
      </w:r>
    </w:p>
    <w:p>
      <w:pPr>
        <w:spacing w:after="0" w:line="355" w:lineRule="exact"/>
        <w:rPr>
          <w:sz w:val="20"/>
          <w:szCs w:val="20"/>
          <w:color w:val="auto"/>
        </w:rPr>
      </w:pPr>
    </w:p>
    <w:p>
      <w:pPr>
        <w:ind w:left="260"/>
        <w:spacing w:after="0"/>
        <w:tabs>
          <w:tab w:leader="none" w:pos="820" w:val="left"/>
        </w:tabs>
        <w:rPr>
          <w:sz w:val="20"/>
          <w:szCs w:val="20"/>
          <w:color w:val="auto"/>
        </w:rPr>
      </w:pPr>
      <w:r>
        <w:rPr>
          <w:rFonts w:ascii="Arial" w:cs="Arial" w:eastAsia="Arial" w:hAnsi="Arial"/>
          <w:sz w:val="24"/>
          <w:szCs w:val="24"/>
          <w:color w:val="auto"/>
        </w:rPr>
        <w:t>2.2</w:t>
      </w:r>
      <w:r>
        <w:rPr>
          <w:sz w:val="20"/>
          <w:szCs w:val="20"/>
          <w:color w:val="auto"/>
        </w:rPr>
        <w:tab/>
      </w:r>
      <w:r>
        <w:rPr>
          <w:rFonts w:ascii="Arial" w:cs="Arial" w:eastAsia="Arial" w:hAnsi="Arial"/>
          <w:sz w:val="23"/>
          <w:szCs w:val="23"/>
          <w:color w:val="auto"/>
        </w:rPr>
        <w:t>SPREAD BANCÁRIO</w:t>
      </w:r>
    </w:p>
    <w:p>
      <w:pPr>
        <w:spacing w:after="0" w:line="319"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Esta seção irá tratar sobre os principais aspectos e características do spread bancário. Na primeira parte serão abordados os conceitos e definições gerais. Na segunda parte as características amplas do mercado Brasileiro. Na terceira parte sobre os estudos empíricos realizados no Brasil. O foco é identificar elementos que possam contribuir com o objeto deste estudo.</w:t>
      </w:r>
    </w:p>
    <w:p>
      <w:pPr>
        <w:spacing w:after="0" w:line="316"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2.2.1</w:t>
      </w:r>
      <w:r>
        <w:rPr>
          <w:sz w:val="20"/>
          <w:szCs w:val="20"/>
          <w:color w:val="auto"/>
        </w:rPr>
        <w:tab/>
      </w:r>
      <w:r>
        <w:rPr>
          <w:rFonts w:ascii="Arial" w:cs="Arial" w:eastAsia="Arial" w:hAnsi="Arial"/>
          <w:sz w:val="23"/>
          <w:szCs w:val="23"/>
          <w:color w:val="auto"/>
        </w:rPr>
        <w:t>CONCEITOS E DEFINIÇÕES</w:t>
      </w:r>
    </w:p>
    <w:p>
      <w:pPr>
        <w:spacing w:after="0" w:line="225" w:lineRule="exact"/>
        <w:rPr>
          <w:sz w:val="20"/>
          <w:szCs w:val="20"/>
          <w:color w:val="auto"/>
        </w:rPr>
      </w:pPr>
    </w:p>
    <w:p>
      <w:pPr>
        <w:jc w:val="both"/>
        <w:ind w:left="260" w:right="40" w:firstLine="850"/>
        <w:spacing w:after="0" w:line="292" w:lineRule="auto"/>
        <w:rPr>
          <w:sz w:val="20"/>
          <w:szCs w:val="20"/>
          <w:color w:val="auto"/>
        </w:rPr>
      </w:pPr>
      <w:r>
        <w:rPr>
          <w:rFonts w:ascii="Arial" w:cs="Arial" w:eastAsia="Arial" w:hAnsi="Arial"/>
          <w:sz w:val="24"/>
          <w:szCs w:val="24"/>
          <w:color w:val="auto"/>
        </w:rPr>
        <w:t>Por definição o spread</w:t>
      </w:r>
      <w:r>
        <w:rPr>
          <w:rFonts w:ascii="Arial" w:cs="Arial" w:eastAsia="Arial" w:hAnsi="Arial"/>
          <w:sz w:val="31"/>
          <w:szCs w:val="31"/>
          <w:color w:val="auto"/>
        </w:rPr>
        <w:t xml:space="preserve"> </w:t>
      </w:r>
      <w:r>
        <w:rPr>
          <w:rFonts w:ascii="Arial" w:cs="Arial" w:eastAsia="Arial" w:hAnsi="Arial"/>
          <w:sz w:val="31"/>
          <w:szCs w:val="31"/>
          <w:color w:val="auto"/>
          <w:vertAlign w:val="superscript"/>
        </w:rPr>
        <w:t>5</w:t>
      </w:r>
      <w:r>
        <w:rPr>
          <w:rFonts w:ascii="Arial" w:cs="Arial" w:eastAsia="Arial" w:hAnsi="Arial"/>
          <w:sz w:val="24"/>
          <w:szCs w:val="24"/>
          <w:color w:val="auto"/>
        </w:rPr>
        <w:t xml:space="preserve"> bancário é obtido através da subtração entre a taxa de aplicação incidente nas operações de crédito, e a taxa de captação que remunera as aplicações financeiras, se configurando como a diferença entre a composição dos custos destas operações (BACEN, 2000).</w:t>
      </w:r>
    </w:p>
    <w:p>
      <w:pPr>
        <w:spacing w:after="0" w:line="200" w:lineRule="exact"/>
        <w:rPr>
          <w:sz w:val="20"/>
          <w:szCs w:val="20"/>
          <w:color w:val="auto"/>
        </w:rPr>
      </w:pPr>
    </w:p>
    <w:p>
      <w:pPr>
        <w:spacing w:after="0" w:line="240" w:lineRule="exact"/>
        <w:rPr>
          <w:sz w:val="20"/>
          <w:szCs w:val="20"/>
          <w:color w:val="auto"/>
        </w:rPr>
      </w:pPr>
    </w:p>
    <w:p>
      <w:pPr>
        <w:ind w:left="2180"/>
        <w:spacing w:after="0"/>
        <w:rPr>
          <w:sz w:val="20"/>
          <w:szCs w:val="20"/>
          <w:color w:val="auto"/>
        </w:rPr>
      </w:pPr>
      <w:r>
        <w:rPr>
          <w:rFonts w:ascii="Arial" w:cs="Arial" w:eastAsia="Arial" w:hAnsi="Arial"/>
          <w:sz w:val="24"/>
          <w:szCs w:val="24"/>
          <w:i w:val="1"/>
          <w:iCs w:val="1"/>
          <w:color w:val="auto"/>
        </w:rPr>
        <w:t>Spread</w:t>
      </w:r>
      <w:r>
        <w:rPr>
          <w:rFonts w:ascii="Arial" w:cs="Arial" w:eastAsia="Arial" w:hAnsi="Arial"/>
          <w:sz w:val="24"/>
          <w:szCs w:val="24"/>
          <w:color w:val="auto"/>
        </w:rPr>
        <w:t xml:space="preserve"> = Taxa de Aplicação − Taxa de Captação</w:t>
      </w:r>
    </w:p>
    <w:p>
      <w:pPr>
        <w:spacing w:after="0" w:line="375"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O spread bancário representa uma medida que sinaliza o desempenho dos bancos (LEVINE, 1997). É considerado um indicador de eficiência da economia, no sentido de favorecer o crédito e a atividade econômica. Em níveis elevados pode desfavorecer o crédito destinado para produção e consumo produtivos e estar associado com baixo desenvolvimento econômico (IMF, 2005).</w:t>
      </w:r>
    </w:p>
    <w:p>
      <w:pPr>
        <w:spacing w:after="0" w:line="101" w:lineRule="exact"/>
        <w:rPr>
          <w:sz w:val="20"/>
          <w:szCs w:val="20"/>
          <w:color w:val="auto"/>
        </w:rPr>
      </w:pPr>
    </w:p>
    <w:p>
      <w:pPr>
        <w:jc w:val="both"/>
        <w:ind w:left="260" w:firstLine="850"/>
        <w:spacing w:after="0" w:line="338" w:lineRule="auto"/>
        <w:rPr>
          <w:sz w:val="20"/>
          <w:szCs w:val="20"/>
          <w:color w:val="auto"/>
        </w:rPr>
      </w:pPr>
      <w:r>
        <w:rPr>
          <w:rFonts w:ascii="Arial" w:cs="Arial" w:eastAsia="Arial" w:hAnsi="Arial"/>
          <w:sz w:val="23"/>
          <w:szCs w:val="23"/>
          <w:color w:val="auto"/>
        </w:rPr>
        <w:t>Os estudos em torno do spread bancário ocorrem em três óticas: evolução, estrutura e determinantes (SOUZA (2014). Em Dick apud (LEAL, 2006) é destacada a importância de distinguir a abordagem em torno da estrutura e determinante do spread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213995</wp:posOffset>
                </wp:positionV>
                <wp:extent cx="230251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6.85pt" to="194.25pt,16.85pt" o:allowincell="f" strokecolor="#000000" strokeweight="0.398pt"/>
            </w:pict>
          </mc:Fallback>
        </mc:AlternateContent>
      </w:r>
    </w:p>
    <w:p>
      <w:pPr>
        <w:sectPr>
          <w:pgSz w:w="11900" w:h="16838" w:orient="portrait"/>
          <w:cols w:equalWidth="0" w:num="1">
            <w:col w:w="9360"/>
          </w:cols>
          <w:pgMar w:left="1440" w:top="991" w:right="1106" w:bottom="546" w:gutter="0" w:footer="0" w:header="0"/>
        </w:sectPr>
      </w:pPr>
    </w:p>
    <w:p>
      <w:pPr>
        <w:spacing w:after="0" w:line="370" w:lineRule="exact"/>
        <w:rPr>
          <w:sz w:val="20"/>
          <w:szCs w:val="20"/>
          <w:color w:val="auto"/>
        </w:rPr>
      </w:pPr>
    </w:p>
    <w:p>
      <w:pPr>
        <w:ind w:left="540" w:right="40" w:hanging="281"/>
        <w:spacing w:after="0" w:line="210" w:lineRule="auto"/>
        <w:tabs>
          <w:tab w:leader="none" w:pos="540" w:val="left"/>
        </w:tabs>
        <w:numPr>
          <w:ilvl w:val="0"/>
          <w:numId w:val="12"/>
        </w:numPr>
        <w:rPr>
          <w:rFonts w:ascii="Arial" w:cs="Arial" w:eastAsia="Arial" w:hAnsi="Arial"/>
          <w:sz w:val="28"/>
          <w:szCs w:val="28"/>
          <w:color w:val="auto"/>
          <w:vertAlign w:val="superscript"/>
        </w:rPr>
      </w:pPr>
      <w:r>
        <w:rPr>
          <w:rFonts w:ascii="Arial" w:cs="Arial" w:eastAsia="Arial" w:hAnsi="Arial"/>
          <w:sz w:val="20"/>
          <w:szCs w:val="20"/>
          <w:color w:val="auto"/>
        </w:rPr>
        <w:t>No inglês — tradução livre — significa amplitude, crescimento, extensão, é utilizado no setor financeiro no sentido de margem</w:t>
      </w:r>
    </w:p>
    <w:p>
      <w:pPr>
        <w:sectPr>
          <w:pgSz w:w="11900" w:h="16838" w:orient="portrait"/>
          <w:cols w:equalWidth="0" w:num="1">
            <w:col w:w="9360"/>
          </w:cols>
          <w:pgMar w:left="1440" w:top="991" w:right="1106" w:bottom="546" w:gutter="0" w:footer="0" w:header="0"/>
          <w:type w:val="continuous"/>
        </w:sectPr>
      </w:pPr>
    </w:p>
    <w:p>
      <w:pPr>
        <w:jc w:val="right"/>
        <w:ind w:right="60"/>
        <w:spacing w:after="0"/>
        <w:rPr>
          <w:sz w:val="20"/>
          <w:szCs w:val="20"/>
          <w:color w:val="auto"/>
        </w:rPr>
      </w:pPr>
      <w:r>
        <w:rPr>
          <w:rFonts w:ascii="Arial" w:cs="Arial" w:eastAsia="Arial" w:hAnsi="Arial"/>
          <w:sz w:val="24"/>
          <w:szCs w:val="24"/>
          <w:color w:val="auto"/>
        </w:rPr>
        <w:t>24</w:t>
      </w:r>
    </w:p>
    <w:p>
      <w:pPr>
        <w:spacing w:after="0" w:line="200" w:lineRule="exact"/>
        <w:rPr>
          <w:sz w:val="20"/>
          <w:szCs w:val="20"/>
          <w:color w:val="auto"/>
        </w:rPr>
      </w:pPr>
    </w:p>
    <w:p>
      <w:pPr>
        <w:spacing w:after="0" w:line="246" w:lineRule="exact"/>
        <w:rPr>
          <w:sz w:val="20"/>
          <w:szCs w:val="20"/>
          <w:color w:val="auto"/>
        </w:rPr>
      </w:pPr>
    </w:p>
    <w:p>
      <w:pPr>
        <w:jc w:val="both"/>
        <w:ind w:left="260" w:right="60"/>
        <w:spacing w:after="0" w:line="327" w:lineRule="auto"/>
        <w:rPr>
          <w:sz w:val="20"/>
          <w:szCs w:val="20"/>
          <w:color w:val="auto"/>
        </w:rPr>
      </w:pPr>
      <w:r>
        <w:rPr>
          <w:rFonts w:ascii="Arial" w:cs="Arial" w:eastAsia="Arial" w:hAnsi="Arial"/>
          <w:sz w:val="24"/>
          <w:szCs w:val="24"/>
          <w:color w:val="auto"/>
        </w:rPr>
        <w:t>bancário, no sentido de complementariedade. O diagrama na Figura 7 ilustra as óticas de estudo do spread bancário.</w:t>
      </w:r>
    </w:p>
    <w:p>
      <w:pPr>
        <w:spacing w:after="0" w:line="144" w:lineRule="exact"/>
        <w:rPr>
          <w:sz w:val="20"/>
          <w:szCs w:val="20"/>
          <w:color w:val="auto"/>
        </w:rPr>
      </w:pPr>
    </w:p>
    <w:p>
      <w:pPr>
        <w:ind w:left="1320"/>
        <w:spacing w:after="0"/>
        <w:rPr>
          <w:sz w:val="20"/>
          <w:szCs w:val="20"/>
          <w:color w:val="auto"/>
        </w:rPr>
      </w:pPr>
      <w:r>
        <w:rPr>
          <w:rFonts w:ascii="Arial" w:cs="Arial" w:eastAsia="Arial" w:hAnsi="Arial"/>
          <w:sz w:val="22"/>
          <w:szCs w:val="22"/>
          <w:color w:val="auto"/>
        </w:rPr>
        <w:t>Figura 7 – Diagrama de ilustração das vertentes de pesquisa do spread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173990</wp:posOffset>
            </wp:positionH>
            <wp:positionV relativeFrom="paragraph">
              <wp:posOffset>308610</wp:posOffset>
            </wp:positionV>
            <wp:extent cx="3944620" cy="199644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1">
                      <a:extLst>
                        <a:ext uri="{28A0092B-C50C-407E-A947-70E740481C1C}"/>
                      </a:extLst>
                    </a:blip>
                    <a:srcRect/>
                    <a:stretch>
                      <a:fillRect/>
                    </a:stretch>
                  </pic:blipFill>
                  <pic:spPr bwMode="auto">
                    <a:xfrm>
                      <a:off x="0" y="0"/>
                      <a:ext cx="3944620" cy="19964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80"/>
        <w:spacing w:after="0"/>
        <w:rPr>
          <w:sz w:val="20"/>
          <w:szCs w:val="20"/>
          <w:color w:val="auto"/>
        </w:rPr>
      </w:pPr>
      <w:r>
        <w:rPr>
          <w:rFonts w:ascii="Times" w:cs="Times" w:eastAsia="Times" w:hAnsi="Times"/>
          <w:sz w:val="23"/>
          <w:szCs w:val="23"/>
          <w:color w:val="auto"/>
        </w:rPr>
        <w:t>Spread Bancário</w:t>
      </w:r>
    </w:p>
    <w:p>
      <w:pPr>
        <w:sectPr>
          <w:pgSz w:w="11900" w:h="16838" w:orient="portrait"/>
          <w:cols w:equalWidth="0" w:num="1">
            <w:col w:w="9380"/>
          </w:cols>
          <w:pgMar w:left="1440" w:top="991" w:right="1086" w:bottom="46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1940"/>
        <w:spacing w:after="0"/>
        <w:rPr>
          <w:sz w:val="20"/>
          <w:szCs w:val="20"/>
          <w:color w:val="auto"/>
        </w:rPr>
      </w:pPr>
      <w:r>
        <w:rPr>
          <w:rFonts w:ascii="Times" w:cs="Times" w:eastAsia="Times" w:hAnsi="Times"/>
          <w:sz w:val="22"/>
          <w:szCs w:val="22"/>
          <w:color w:val="auto"/>
        </w:rPr>
        <w:t>Evolução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ind w:left="460"/>
        <w:spacing w:after="0"/>
        <w:rPr>
          <w:sz w:val="20"/>
          <w:szCs w:val="20"/>
          <w:color w:val="auto"/>
        </w:rPr>
      </w:pPr>
      <w:r>
        <w:rPr>
          <w:rFonts w:ascii="Times" w:cs="Times" w:eastAsia="Times" w:hAnsi="Times"/>
          <w:sz w:val="22"/>
          <w:szCs w:val="22"/>
          <w:color w:val="auto"/>
        </w:rPr>
        <w:t>Avaliar o comportamento</w:t>
      </w:r>
    </w:p>
    <w:p>
      <w:pPr>
        <w:spacing w:after="0" w:line="30" w:lineRule="exact"/>
        <w:rPr>
          <w:sz w:val="20"/>
          <w:szCs w:val="20"/>
          <w:color w:val="auto"/>
        </w:rPr>
      </w:pPr>
    </w:p>
    <w:p>
      <w:pPr>
        <w:jc w:val="center"/>
        <w:ind w:left="460"/>
        <w:spacing w:after="0"/>
        <w:rPr>
          <w:sz w:val="20"/>
          <w:szCs w:val="20"/>
          <w:color w:val="auto"/>
        </w:rPr>
      </w:pPr>
      <w:r>
        <w:rPr>
          <w:rFonts w:ascii="Times" w:cs="Times" w:eastAsia="Times" w:hAnsi="Times"/>
          <w:sz w:val="23"/>
          <w:szCs w:val="23"/>
          <w:color w:val="auto"/>
        </w:rPr>
        <w:t>ao longo do tempo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line="1" w:lineRule="exact"/>
        <w:rPr>
          <w:sz w:val="1"/>
          <w:szCs w:val="1"/>
          <w:color w:val="auto"/>
        </w:rPr>
      </w:pPr>
    </w:p>
    <w:tbl>
      <w:tblPr>
        <w:tblLayout w:type="fixed"/>
        <w:tblInd w:w="790" w:type="dxa"/>
        <w:tblCellMar>
          <w:top w:w="0" w:type="dxa"/>
          <w:left w:w="0" w:type="dxa"/>
          <w:bottom w:w="0" w:type="dxa"/>
          <w:right w:w="0" w:type="dxa"/>
        </w:tblCellMar>
      </w:tblPr>
      <w:tr>
        <w:trPr>
          <w:trHeight w:val="604"/>
        </w:trPr>
        <w:tc>
          <w:tcPr>
            <w:tcW w:w="1180" w:type="dxa"/>
            <w:vAlign w:val="bottom"/>
            <w:tcBorders>
              <w:top w:val="single" w:sz="8" w:color="auto"/>
              <w:left w:val="single" w:sz="8" w:color="auto"/>
              <w:bottom w:val="single" w:sz="8" w:color="auto"/>
              <w:right w:val="single" w:sz="8" w:color="auto"/>
            </w:tcBorders>
            <w:gridSpan w:val="2"/>
          </w:tcPr>
          <w:p>
            <w:pPr>
              <w:ind w:left="160"/>
              <w:spacing w:after="0"/>
              <w:rPr>
                <w:sz w:val="20"/>
                <w:szCs w:val="20"/>
                <w:color w:val="auto"/>
              </w:rPr>
            </w:pPr>
            <w:r>
              <w:rPr>
                <w:rFonts w:ascii="Times" w:cs="Times" w:eastAsia="Times" w:hAnsi="Times"/>
                <w:sz w:val="23"/>
                <w:szCs w:val="23"/>
                <w:color w:val="auto"/>
              </w:rPr>
              <w:t>Estrutura</w:t>
            </w:r>
          </w:p>
        </w:tc>
        <w:tc>
          <w:tcPr>
            <w:tcW w:w="1020" w:type="dxa"/>
            <w:vAlign w:val="bottom"/>
            <w:tcBorders>
              <w:right w:val="single" w:sz="8" w:color="auto"/>
            </w:tcBorders>
          </w:tcPr>
          <w:p>
            <w:pPr>
              <w:spacing w:after="0"/>
              <w:rPr>
                <w:sz w:val="24"/>
                <w:szCs w:val="24"/>
                <w:color w:val="auto"/>
              </w:rPr>
            </w:pPr>
          </w:p>
        </w:tc>
        <w:tc>
          <w:tcPr>
            <w:tcW w:w="1660" w:type="dxa"/>
            <w:vAlign w:val="bottom"/>
            <w:tcBorders>
              <w:top w:val="single" w:sz="8" w:color="auto"/>
              <w:bottom w:val="single" w:sz="8" w:color="auto"/>
              <w:right w:val="single" w:sz="8" w:color="auto"/>
            </w:tcBorders>
          </w:tcPr>
          <w:p>
            <w:pPr>
              <w:ind w:left="140"/>
              <w:spacing w:after="0"/>
              <w:rPr>
                <w:sz w:val="20"/>
                <w:szCs w:val="20"/>
                <w:color w:val="auto"/>
              </w:rPr>
            </w:pPr>
            <w:r>
              <w:rPr>
                <w:rFonts w:ascii="Times" w:cs="Times" w:eastAsia="Times" w:hAnsi="Times"/>
                <w:sz w:val="23"/>
                <w:szCs w:val="23"/>
                <w:color w:val="auto"/>
              </w:rPr>
              <w:t>Determinantes</w:t>
            </w:r>
          </w:p>
        </w:tc>
      </w:tr>
      <w:tr>
        <w:trPr>
          <w:trHeight w:val="425"/>
        </w:trPr>
        <w:tc>
          <w:tcPr>
            <w:tcW w:w="600" w:type="dxa"/>
            <w:vAlign w:val="bottom"/>
            <w:tcBorders>
              <w:right w:val="single" w:sz="8" w:color="auto"/>
            </w:tcBorders>
          </w:tcPr>
          <w:p>
            <w:pPr>
              <w:spacing w:after="0"/>
              <w:rPr>
                <w:sz w:val="24"/>
                <w:szCs w:val="24"/>
                <w:color w:val="auto"/>
              </w:rPr>
            </w:pPr>
          </w:p>
        </w:tc>
        <w:tc>
          <w:tcPr>
            <w:tcW w:w="58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66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2525395</wp:posOffset>
            </wp:positionH>
            <wp:positionV relativeFrom="paragraph">
              <wp:posOffset>-273050</wp:posOffset>
            </wp:positionV>
            <wp:extent cx="236855" cy="39433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2">
                      <a:extLst>
                        <a:ext uri="{28A0092B-C50C-407E-A947-70E740481C1C}"/>
                      </a:extLst>
                    </a:blip>
                    <a:srcRect/>
                    <a:stretch>
                      <a:fillRect/>
                    </a:stretch>
                  </pic:blipFill>
                  <pic:spPr bwMode="auto">
                    <a:xfrm>
                      <a:off x="0" y="0"/>
                      <a:ext cx="236855" cy="394335"/>
                    </a:xfrm>
                    <a:prstGeom prst="rect">
                      <a:avLst/>
                    </a:prstGeom>
                    <a:noFill/>
                  </pic:spPr>
                </pic:pic>
              </a:graphicData>
            </a:graphic>
          </wp:anchor>
        </w:drawing>
      </w:r>
    </w:p>
    <w:p>
      <w:pPr>
        <w:spacing w:after="0" w:line="129" w:lineRule="exact"/>
        <w:rPr>
          <w:sz w:val="20"/>
          <w:szCs w:val="20"/>
          <w:color w:val="auto"/>
        </w:rPr>
      </w:pPr>
    </w:p>
    <w:tbl>
      <w:tblPr>
        <w:tblLayout w:type="fixed"/>
        <w:tblInd w:w="10" w:type="dxa"/>
        <w:tblCellMar>
          <w:top w:w="0" w:type="dxa"/>
          <w:left w:w="0" w:type="dxa"/>
          <w:bottom w:w="0" w:type="dxa"/>
          <w:right w:w="0" w:type="dxa"/>
        </w:tblCellMar>
      </w:tblPr>
      <w:tr>
        <w:trPr>
          <w:trHeight w:val="397"/>
        </w:trPr>
        <w:tc>
          <w:tcPr>
            <w:tcW w:w="274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w:cs="Times" w:eastAsia="Times" w:hAnsi="Times"/>
                <w:sz w:val="23"/>
                <w:szCs w:val="23"/>
                <w:color w:val="auto"/>
                <w:w w:val="99"/>
              </w:rPr>
              <w:t>Identificar e analisar</w:t>
            </w:r>
          </w:p>
        </w:tc>
        <w:tc>
          <w:tcPr>
            <w:tcW w:w="320" w:type="dxa"/>
            <w:vAlign w:val="bottom"/>
            <w:tcBorders>
              <w:right w:val="single" w:sz="8" w:color="auto"/>
            </w:tcBorders>
          </w:tcPr>
          <w:p>
            <w:pPr>
              <w:spacing w:after="0"/>
              <w:rPr>
                <w:sz w:val="24"/>
                <w:szCs w:val="24"/>
                <w:color w:val="auto"/>
              </w:rPr>
            </w:pPr>
          </w:p>
        </w:tc>
        <w:tc>
          <w:tcPr>
            <w:tcW w:w="3000" w:type="dxa"/>
            <w:vAlign w:val="bottom"/>
            <w:tcBorders>
              <w:top w:val="single" w:sz="8" w:color="auto"/>
              <w:right w:val="single" w:sz="8" w:color="auto"/>
            </w:tcBorders>
          </w:tcPr>
          <w:p>
            <w:pPr>
              <w:jc w:val="center"/>
              <w:spacing w:after="0"/>
              <w:rPr>
                <w:sz w:val="20"/>
                <w:szCs w:val="20"/>
                <w:color w:val="auto"/>
              </w:rPr>
            </w:pPr>
            <w:r>
              <w:rPr>
                <w:rFonts w:ascii="Times" w:cs="Times" w:eastAsia="Times" w:hAnsi="Times"/>
                <w:sz w:val="23"/>
                <w:szCs w:val="23"/>
                <w:color w:val="auto"/>
                <w:w w:val="98"/>
              </w:rPr>
              <w:t>Analisar os efeitos de</w:t>
            </w:r>
          </w:p>
        </w:tc>
      </w:tr>
      <w:tr>
        <w:trPr>
          <w:trHeight w:val="299"/>
        </w:trPr>
        <w:tc>
          <w:tcPr>
            <w:tcW w:w="2740" w:type="dxa"/>
            <w:vAlign w:val="bottom"/>
            <w:tcBorders>
              <w:left w:val="single" w:sz="8" w:color="auto"/>
              <w:bottom w:val="single" w:sz="8" w:color="auto"/>
              <w:right w:val="single" w:sz="8" w:color="auto"/>
            </w:tcBorders>
          </w:tcPr>
          <w:p>
            <w:pPr>
              <w:jc w:val="center"/>
              <w:spacing w:after="0"/>
              <w:rPr>
                <w:sz w:val="20"/>
                <w:szCs w:val="20"/>
                <w:color w:val="auto"/>
              </w:rPr>
            </w:pPr>
            <w:r>
              <w:rPr>
                <w:rFonts w:ascii="Times" w:cs="Times" w:eastAsia="Times" w:hAnsi="Times"/>
                <w:sz w:val="23"/>
                <w:szCs w:val="23"/>
                <w:color w:val="auto"/>
                <w:w w:val="99"/>
              </w:rPr>
              <w:t>componentes de resultado</w:t>
            </w:r>
          </w:p>
        </w:tc>
        <w:tc>
          <w:tcPr>
            <w:tcW w:w="320" w:type="dxa"/>
            <w:vAlign w:val="bottom"/>
            <w:tcBorders>
              <w:right w:val="single" w:sz="8" w:color="auto"/>
            </w:tcBorders>
          </w:tcPr>
          <w:p>
            <w:pPr>
              <w:spacing w:after="0"/>
              <w:rPr>
                <w:sz w:val="24"/>
                <w:szCs w:val="24"/>
                <w:color w:val="auto"/>
              </w:rPr>
            </w:pPr>
          </w:p>
        </w:tc>
        <w:tc>
          <w:tcPr>
            <w:tcW w:w="3000" w:type="dxa"/>
            <w:vAlign w:val="bottom"/>
            <w:tcBorders>
              <w:bottom w:val="single" w:sz="8" w:color="auto"/>
              <w:right w:val="single" w:sz="8" w:color="auto"/>
            </w:tcBorders>
          </w:tcPr>
          <w:p>
            <w:pPr>
              <w:jc w:val="center"/>
              <w:spacing w:after="0"/>
              <w:rPr>
                <w:sz w:val="20"/>
                <w:szCs w:val="20"/>
                <w:color w:val="auto"/>
              </w:rPr>
            </w:pPr>
            <w:r>
              <w:rPr>
                <w:rFonts w:ascii="Times" w:cs="Times" w:eastAsia="Times" w:hAnsi="Times"/>
                <w:sz w:val="23"/>
                <w:szCs w:val="23"/>
                <w:color w:val="auto"/>
                <w:w w:val="99"/>
              </w:rPr>
              <w:t>variáveis ao longo do tempo</w:t>
            </w:r>
          </w:p>
        </w:tc>
      </w:tr>
    </w:tbl>
    <w:p>
      <w:pPr>
        <w:spacing w:after="0" w:line="200" w:lineRule="exact"/>
        <w:rPr>
          <w:sz w:val="20"/>
          <w:szCs w:val="20"/>
          <w:color w:val="auto"/>
        </w:rPr>
      </w:pPr>
    </w:p>
    <w:p>
      <w:pPr>
        <w:sectPr>
          <w:pgSz w:w="11900" w:h="16838" w:orient="portrait"/>
          <w:cols w:equalWidth="0" w:num="2">
            <w:col w:w="2800" w:space="480"/>
            <w:col w:w="6100"/>
          </w:cols>
          <w:pgMar w:left="1440" w:top="991" w:right="1086" w:bottom="462" w:gutter="0" w:footer="0" w:header="0"/>
          <w:type w:val="continuous"/>
        </w:sectPr>
      </w:pPr>
    </w:p>
    <w:p>
      <w:pPr>
        <w:spacing w:after="0" w:line="86" w:lineRule="exact"/>
        <w:rPr>
          <w:sz w:val="20"/>
          <w:szCs w:val="20"/>
          <w:color w:val="auto"/>
        </w:rPr>
      </w:pPr>
    </w:p>
    <w:p>
      <w:pPr>
        <w:jc w:val="center"/>
        <w:ind w:right="-21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com base nas fontes citadas</w:t>
      </w:r>
    </w:p>
    <w:p>
      <w:pPr>
        <w:spacing w:after="0" w:line="200" w:lineRule="exact"/>
        <w:rPr>
          <w:sz w:val="20"/>
          <w:szCs w:val="20"/>
          <w:color w:val="auto"/>
        </w:rPr>
      </w:pPr>
    </w:p>
    <w:p>
      <w:pPr>
        <w:spacing w:after="0" w:line="398" w:lineRule="exact"/>
        <w:rPr>
          <w:sz w:val="20"/>
          <w:szCs w:val="20"/>
          <w:color w:val="auto"/>
        </w:rPr>
      </w:pPr>
    </w:p>
    <w:p>
      <w:pPr>
        <w:jc w:val="both"/>
        <w:ind w:left="260" w:firstLine="856"/>
        <w:spacing w:after="0" w:line="332" w:lineRule="auto"/>
        <w:rPr>
          <w:sz w:val="20"/>
          <w:szCs w:val="20"/>
          <w:color w:val="auto"/>
        </w:rPr>
      </w:pPr>
      <w:r>
        <w:rPr>
          <w:rFonts w:ascii="Arial" w:cs="Arial" w:eastAsia="Arial" w:hAnsi="Arial"/>
          <w:sz w:val="23"/>
          <w:szCs w:val="23"/>
          <w:color w:val="auto"/>
        </w:rPr>
        <w:t>A abordagem em torno da evolução visa analisar o comportamento ao longo do tempo, através de análises quantitativas e qualitativas, enquanto a ótica da estrutura busca identificar e analisar os componentes de resultado envolvendo receitas, despe-sas e provisões. Na abordagem sobre os determinantes é vislumbrado identificar as variáveis que explicam as variações do indicador ao longo dos períodos (LEAL, 2006).</w:t>
      </w:r>
    </w:p>
    <w:p>
      <w:pPr>
        <w:spacing w:after="0" w:line="83" w:lineRule="exact"/>
        <w:rPr>
          <w:sz w:val="20"/>
          <w:szCs w:val="20"/>
          <w:color w:val="auto"/>
        </w:rPr>
      </w:pPr>
    </w:p>
    <w:p>
      <w:pPr>
        <w:jc w:val="both"/>
        <w:ind w:left="260" w:right="20" w:firstLine="850"/>
        <w:spacing w:after="0" w:line="317" w:lineRule="auto"/>
        <w:rPr>
          <w:sz w:val="20"/>
          <w:szCs w:val="20"/>
          <w:color w:val="auto"/>
        </w:rPr>
      </w:pPr>
      <w:r>
        <w:rPr>
          <w:rFonts w:ascii="Arial" w:cs="Arial" w:eastAsia="Arial" w:hAnsi="Arial"/>
          <w:sz w:val="24"/>
          <w:szCs w:val="24"/>
          <w:color w:val="auto"/>
        </w:rPr>
        <w:t>Vem se tornando relevantes os estudos em torno da decomposição do spread bancário. Entre os componentes explícitos estão a inadimplência, despesas administra-tivas, impostos diretos e indiretos e margem de lucro dos bancos conforme ilustrado abaixo (BACEN, 2000).</w:t>
      </w:r>
    </w:p>
    <w:p>
      <w:pPr>
        <w:spacing w:after="0" w:line="200" w:lineRule="exact"/>
        <w:rPr>
          <w:sz w:val="20"/>
          <w:szCs w:val="20"/>
          <w:color w:val="auto"/>
        </w:rPr>
      </w:pPr>
    </w:p>
    <w:p>
      <w:pPr>
        <w:spacing w:after="0" w:line="211"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Sprd</w:t>
      </w:r>
      <w:r>
        <w:rPr>
          <w:rFonts w:ascii="Arial" w:cs="Arial" w:eastAsia="Arial" w:hAnsi="Arial"/>
          <w:sz w:val="24"/>
          <w:szCs w:val="24"/>
          <w:color w:val="auto"/>
        </w:rPr>
        <w:t xml:space="preserve"> =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Ind, DA, II, M L, CP</w:t>
      </w:r>
      <w:r>
        <w:rPr>
          <w:rFonts w:ascii="Arial" w:cs="Arial" w:eastAsia="Arial" w:hAnsi="Arial"/>
          <w:sz w:val="24"/>
          <w:szCs w:val="24"/>
          <w:color w:val="auto"/>
        </w:rPr>
        <w:t xml:space="preserve"> )</w:t>
      </w:r>
    </w:p>
    <w:p>
      <w:pPr>
        <w:spacing w:after="0" w:line="200" w:lineRule="exact"/>
        <w:rPr>
          <w:sz w:val="20"/>
          <w:szCs w:val="20"/>
          <w:color w:val="auto"/>
        </w:rPr>
      </w:pPr>
    </w:p>
    <w:p>
      <w:pPr>
        <w:spacing w:after="0" w:line="295" w:lineRule="exact"/>
        <w:rPr>
          <w:sz w:val="20"/>
          <w:szCs w:val="20"/>
          <w:color w:val="auto"/>
        </w:rPr>
      </w:pPr>
    </w:p>
    <w:p>
      <w:pPr>
        <w:ind w:left="840" w:hanging="196"/>
        <w:spacing w:after="0"/>
        <w:tabs>
          <w:tab w:leader="none" w:pos="840" w:val="left"/>
        </w:tabs>
        <w:numPr>
          <w:ilvl w:val="0"/>
          <w:numId w:val="13"/>
        </w:numPr>
        <w:rPr>
          <w:rFonts w:ascii="Arial" w:cs="Arial" w:eastAsia="Arial" w:hAnsi="Arial"/>
          <w:sz w:val="24"/>
          <w:szCs w:val="24"/>
          <w:color w:val="auto"/>
        </w:rPr>
      </w:pPr>
      <w:r>
        <w:rPr>
          <w:rFonts w:ascii="Arial" w:cs="Arial" w:eastAsia="Arial" w:hAnsi="Arial"/>
          <w:sz w:val="24"/>
          <w:szCs w:val="24"/>
          <w:color w:val="auto"/>
        </w:rPr>
        <w:t>Sprd = Spread</w:t>
      </w:r>
    </w:p>
    <w:p>
      <w:pPr>
        <w:spacing w:after="0" w:line="82" w:lineRule="exact"/>
        <w:rPr>
          <w:rFonts w:ascii="Arial" w:cs="Arial" w:eastAsia="Arial" w:hAnsi="Arial"/>
          <w:sz w:val="24"/>
          <w:szCs w:val="24"/>
          <w:color w:val="auto"/>
        </w:rPr>
      </w:pPr>
    </w:p>
    <w:p>
      <w:pPr>
        <w:ind w:left="840" w:hanging="196"/>
        <w:spacing w:after="0"/>
        <w:tabs>
          <w:tab w:leader="none" w:pos="840" w:val="left"/>
        </w:tabs>
        <w:numPr>
          <w:ilvl w:val="0"/>
          <w:numId w:val="13"/>
        </w:numPr>
        <w:rPr>
          <w:rFonts w:ascii="Arial" w:cs="Arial" w:eastAsia="Arial" w:hAnsi="Arial"/>
          <w:sz w:val="24"/>
          <w:szCs w:val="24"/>
          <w:color w:val="auto"/>
        </w:rPr>
      </w:pPr>
      <w:r>
        <w:rPr>
          <w:rFonts w:ascii="Arial" w:cs="Arial" w:eastAsia="Arial" w:hAnsi="Arial"/>
          <w:sz w:val="24"/>
          <w:szCs w:val="24"/>
          <w:color w:val="auto"/>
        </w:rPr>
        <w:t>Ind = Inadimplência</w:t>
      </w:r>
    </w:p>
    <w:p>
      <w:pPr>
        <w:spacing w:after="0" w:line="82" w:lineRule="exact"/>
        <w:rPr>
          <w:rFonts w:ascii="Arial" w:cs="Arial" w:eastAsia="Arial" w:hAnsi="Arial"/>
          <w:sz w:val="24"/>
          <w:szCs w:val="24"/>
          <w:color w:val="auto"/>
        </w:rPr>
      </w:pPr>
    </w:p>
    <w:p>
      <w:pPr>
        <w:ind w:left="840" w:hanging="196"/>
        <w:spacing w:after="0"/>
        <w:tabs>
          <w:tab w:leader="none" w:pos="840" w:val="left"/>
        </w:tabs>
        <w:numPr>
          <w:ilvl w:val="0"/>
          <w:numId w:val="13"/>
        </w:numPr>
        <w:rPr>
          <w:rFonts w:ascii="Arial" w:cs="Arial" w:eastAsia="Arial" w:hAnsi="Arial"/>
          <w:sz w:val="24"/>
          <w:szCs w:val="24"/>
          <w:color w:val="auto"/>
        </w:rPr>
      </w:pPr>
      <w:r>
        <w:rPr>
          <w:rFonts w:ascii="Arial" w:cs="Arial" w:eastAsia="Arial" w:hAnsi="Arial"/>
          <w:sz w:val="24"/>
          <w:szCs w:val="24"/>
          <w:color w:val="auto"/>
        </w:rPr>
        <w:t>DA = Despesas Administrativas</w:t>
      </w:r>
    </w:p>
    <w:p>
      <w:pPr>
        <w:spacing w:after="0" w:line="82" w:lineRule="exact"/>
        <w:rPr>
          <w:rFonts w:ascii="Arial" w:cs="Arial" w:eastAsia="Arial" w:hAnsi="Arial"/>
          <w:sz w:val="24"/>
          <w:szCs w:val="24"/>
          <w:color w:val="auto"/>
        </w:rPr>
      </w:pPr>
    </w:p>
    <w:p>
      <w:pPr>
        <w:ind w:left="840" w:hanging="196"/>
        <w:spacing w:after="0"/>
        <w:tabs>
          <w:tab w:leader="none" w:pos="840" w:val="left"/>
        </w:tabs>
        <w:numPr>
          <w:ilvl w:val="0"/>
          <w:numId w:val="13"/>
        </w:numPr>
        <w:rPr>
          <w:rFonts w:ascii="Arial" w:cs="Arial" w:eastAsia="Arial" w:hAnsi="Arial"/>
          <w:sz w:val="24"/>
          <w:szCs w:val="24"/>
          <w:color w:val="auto"/>
        </w:rPr>
      </w:pPr>
      <w:r>
        <w:rPr>
          <w:rFonts w:ascii="Arial" w:cs="Arial" w:eastAsia="Arial" w:hAnsi="Arial"/>
          <w:sz w:val="24"/>
          <w:szCs w:val="24"/>
          <w:color w:val="auto"/>
        </w:rPr>
        <w:t>II = Impostos Indiretos</w:t>
      </w:r>
    </w:p>
    <w:p>
      <w:pPr>
        <w:spacing w:after="0" w:line="82" w:lineRule="exact"/>
        <w:rPr>
          <w:rFonts w:ascii="Arial" w:cs="Arial" w:eastAsia="Arial" w:hAnsi="Arial"/>
          <w:sz w:val="24"/>
          <w:szCs w:val="24"/>
          <w:color w:val="auto"/>
        </w:rPr>
      </w:pPr>
    </w:p>
    <w:p>
      <w:pPr>
        <w:ind w:left="840" w:hanging="196"/>
        <w:spacing w:after="0"/>
        <w:tabs>
          <w:tab w:leader="none" w:pos="840" w:val="left"/>
        </w:tabs>
        <w:numPr>
          <w:ilvl w:val="0"/>
          <w:numId w:val="13"/>
        </w:numPr>
        <w:rPr>
          <w:rFonts w:ascii="Arial" w:cs="Arial" w:eastAsia="Arial" w:hAnsi="Arial"/>
          <w:sz w:val="24"/>
          <w:szCs w:val="24"/>
          <w:color w:val="auto"/>
        </w:rPr>
      </w:pPr>
      <w:r>
        <w:rPr>
          <w:rFonts w:ascii="Arial" w:cs="Arial" w:eastAsia="Arial" w:hAnsi="Arial"/>
          <w:sz w:val="24"/>
          <w:szCs w:val="24"/>
          <w:color w:val="auto"/>
        </w:rPr>
        <w:t>ML = Margem de Lucro</w:t>
      </w:r>
    </w:p>
    <w:p>
      <w:pPr>
        <w:spacing w:after="0" w:line="82" w:lineRule="exact"/>
        <w:rPr>
          <w:rFonts w:ascii="Arial" w:cs="Arial" w:eastAsia="Arial" w:hAnsi="Arial"/>
          <w:sz w:val="24"/>
          <w:szCs w:val="24"/>
          <w:color w:val="auto"/>
        </w:rPr>
      </w:pPr>
    </w:p>
    <w:p>
      <w:pPr>
        <w:ind w:left="840" w:hanging="196"/>
        <w:spacing w:after="0"/>
        <w:tabs>
          <w:tab w:leader="none" w:pos="840" w:val="left"/>
        </w:tabs>
        <w:numPr>
          <w:ilvl w:val="0"/>
          <w:numId w:val="13"/>
        </w:numPr>
        <w:rPr>
          <w:rFonts w:ascii="Arial" w:cs="Arial" w:eastAsia="Arial" w:hAnsi="Arial"/>
          <w:sz w:val="24"/>
          <w:szCs w:val="24"/>
          <w:color w:val="auto"/>
        </w:rPr>
      </w:pPr>
      <w:r>
        <w:rPr>
          <w:rFonts w:ascii="Arial" w:cs="Arial" w:eastAsia="Arial" w:hAnsi="Arial"/>
          <w:sz w:val="24"/>
          <w:szCs w:val="24"/>
          <w:color w:val="auto"/>
        </w:rPr>
        <w:t>CP = Custo de Captação</w:t>
      </w:r>
    </w:p>
    <w:p>
      <w:pPr>
        <w:spacing w:after="0" w:line="200" w:lineRule="exact"/>
        <w:rPr>
          <w:sz w:val="20"/>
          <w:szCs w:val="20"/>
          <w:color w:val="auto"/>
        </w:rPr>
      </w:pPr>
    </w:p>
    <w:p>
      <w:pPr>
        <w:spacing w:after="0" w:line="253" w:lineRule="exact"/>
        <w:rPr>
          <w:sz w:val="20"/>
          <w:szCs w:val="20"/>
          <w:color w:val="auto"/>
        </w:rPr>
      </w:pPr>
    </w:p>
    <w:p>
      <w:pPr>
        <w:jc w:val="both"/>
        <w:ind w:left="260" w:right="20" w:firstLine="850"/>
        <w:spacing w:after="0" w:line="338" w:lineRule="auto"/>
        <w:rPr>
          <w:sz w:val="20"/>
          <w:szCs w:val="20"/>
          <w:color w:val="auto"/>
        </w:rPr>
      </w:pPr>
      <w:r>
        <w:rPr>
          <w:rFonts w:ascii="Arial" w:cs="Arial" w:eastAsia="Arial" w:hAnsi="Arial"/>
          <w:sz w:val="23"/>
          <w:szCs w:val="23"/>
          <w:color w:val="auto"/>
        </w:rPr>
        <w:t>Esta configuração dos componentes, contemplando a margem de lucro, despe-sas e riscos envolvidos nas operações de crédito vem desmistificar a comum aborda-gem do spread como o rendimento auferido pelos bancos (COSTA; NAKANE, 2004)</w:t>
      </w:r>
    </w:p>
    <w:p>
      <w:pPr>
        <w:sectPr>
          <w:pgSz w:w="11900" w:h="16838" w:orient="portrait"/>
          <w:cols w:equalWidth="0" w:num="1">
            <w:col w:w="9380"/>
          </w:cols>
          <w:pgMar w:left="1440" w:top="991" w:right="1086" w:bottom="462" w:gutter="0" w:footer="0" w:header="0"/>
          <w:type w:val="continuous"/>
        </w:sectPr>
      </w:pPr>
    </w:p>
    <w:p>
      <w:pPr>
        <w:ind w:left="9060"/>
        <w:spacing w:after="0"/>
        <w:rPr>
          <w:sz w:val="20"/>
          <w:szCs w:val="20"/>
          <w:color w:val="auto"/>
        </w:rPr>
      </w:pPr>
      <w:r>
        <w:rPr>
          <w:rFonts w:ascii="Arial" w:cs="Arial" w:eastAsia="Arial" w:hAnsi="Arial"/>
          <w:sz w:val="24"/>
          <w:szCs w:val="24"/>
          <w:color w:val="auto"/>
        </w:rPr>
        <w:t>25</w:t>
      </w:r>
    </w:p>
    <w:p>
      <w:pPr>
        <w:spacing w:after="0" w:line="200" w:lineRule="exact"/>
        <w:rPr>
          <w:sz w:val="20"/>
          <w:szCs w:val="20"/>
          <w:color w:val="auto"/>
        </w:rPr>
      </w:pPr>
    </w:p>
    <w:p>
      <w:pPr>
        <w:spacing w:after="0" w:line="246" w:lineRule="exact"/>
        <w:rPr>
          <w:sz w:val="20"/>
          <w:szCs w:val="20"/>
          <w:color w:val="auto"/>
        </w:rPr>
      </w:pPr>
    </w:p>
    <w:p>
      <w:pPr>
        <w:jc w:val="both"/>
        <w:ind w:left="260"/>
        <w:spacing w:after="0" w:line="319" w:lineRule="auto"/>
        <w:rPr>
          <w:sz w:val="20"/>
          <w:szCs w:val="20"/>
          <w:color w:val="auto"/>
        </w:rPr>
      </w:pPr>
      <w:r>
        <w:rPr>
          <w:rFonts w:ascii="Arial" w:cs="Arial" w:eastAsia="Arial" w:hAnsi="Arial"/>
          <w:sz w:val="24"/>
          <w:szCs w:val="24"/>
          <w:color w:val="auto"/>
        </w:rPr>
        <w:t>Souza (2007) apud (DANTAS, 2012). Desta forma se configurando como a diferença en-tre o custos operacionais na ótica de precificação, que após descontados das receitas, remontam o lucro do banco (BACEN, 2016).</w:t>
      </w:r>
    </w:p>
    <w:p>
      <w:pPr>
        <w:spacing w:after="0" w:line="95" w:lineRule="exact"/>
        <w:rPr>
          <w:sz w:val="20"/>
          <w:szCs w:val="20"/>
          <w:color w:val="auto"/>
        </w:rPr>
      </w:pPr>
    </w:p>
    <w:p>
      <w:pPr>
        <w:jc w:val="both"/>
        <w:ind w:left="260" w:firstLine="850"/>
        <w:spacing w:after="0" w:line="319" w:lineRule="auto"/>
        <w:rPr>
          <w:sz w:val="20"/>
          <w:szCs w:val="20"/>
          <w:color w:val="auto"/>
        </w:rPr>
      </w:pPr>
      <w:r>
        <w:rPr>
          <w:rFonts w:ascii="Arial" w:cs="Arial" w:eastAsia="Arial" w:hAnsi="Arial"/>
          <w:sz w:val="24"/>
          <w:szCs w:val="24"/>
          <w:color w:val="auto"/>
        </w:rPr>
        <w:t>Além da avaliação de seus componentes, o spread pode ser analisado con-juntamente por três características: enquanto a abrangência da amostra, conteúdo e origem da informação (LEAL, 2006).</w:t>
      </w:r>
    </w:p>
    <w:p>
      <w:pPr>
        <w:spacing w:after="0" w:line="95" w:lineRule="exact"/>
        <w:rPr>
          <w:sz w:val="20"/>
          <w:szCs w:val="20"/>
          <w:color w:val="auto"/>
        </w:rPr>
      </w:pPr>
    </w:p>
    <w:p>
      <w:pPr>
        <w:jc w:val="both"/>
        <w:ind w:left="260" w:firstLine="850"/>
        <w:spacing w:after="0" w:line="332" w:lineRule="auto"/>
        <w:rPr>
          <w:sz w:val="20"/>
          <w:szCs w:val="20"/>
          <w:color w:val="auto"/>
        </w:rPr>
      </w:pPr>
      <w:r>
        <w:rPr>
          <w:rFonts w:ascii="Arial" w:cs="Arial" w:eastAsia="Arial" w:hAnsi="Arial"/>
          <w:sz w:val="23"/>
          <w:szCs w:val="23"/>
          <w:color w:val="auto"/>
        </w:rPr>
        <w:t>A abrangência da amostra consiste nas especificidades das operações de crédito das instituições e seu nível de agregação e granularidade (COSTA; NAKANE, 2004). Uma análise agregada dessa característica pode ser dificultada pela existência de heterogeneidade do setor, ressaltando a importância de realizar análises do spread bancário em diferentes características e óticas (BROCK; ROJAS SUAREZ, 2000).</w:t>
      </w:r>
    </w:p>
    <w:p>
      <w:pPr>
        <w:spacing w:after="0" w:line="83" w:lineRule="exact"/>
        <w:rPr>
          <w:sz w:val="20"/>
          <w:szCs w:val="20"/>
          <w:color w:val="auto"/>
        </w:rPr>
      </w:pPr>
    </w:p>
    <w:p>
      <w:pPr>
        <w:jc w:val="both"/>
        <w:ind w:left="260" w:firstLine="850"/>
        <w:spacing w:after="0" w:line="317" w:lineRule="auto"/>
        <w:rPr>
          <w:sz w:val="20"/>
          <w:szCs w:val="20"/>
          <w:color w:val="auto"/>
        </w:rPr>
      </w:pPr>
      <w:r>
        <w:rPr>
          <w:rFonts w:ascii="Arial" w:cs="Arial" w:eastAsia="Arial" w:hAnsi="Arial"/>
          <w:sz w:val="24"/>
          <w:szCs w:val="24"/>
          <w:color w:val="auto"/>
        </w:rPr>
        <w:t>A abordagem em torno do conteúdo está relacionada com os subcomponentes que envolvem a receita e as despesas das intermediações financeiras, podendo englo-bar, ou não, as tarifas e comissões sobre as taxas de captações e aplicação (BROCK; ROJAS SUAREZ, 2000).</w:t>
      </w:r>
    </w:p>
    <w:p>
      <w:pPr>
        <w:spacing w:after="0" w:line="96" w:lineRule="exact"/>
        <w:rPr>
          <w:sz w:val="20"/>
          <w:szCs w:val="20"/>
          <w:color w:val="auto"/>
        </w:rPr>
      </w:pPr>
    </w:p>
    <w:p>
      <w:pPr>
        <w:jc w:val="both"/>
        <w:ind w:left="260" w:right="40" w:firstLine="858"/>
        <w:spacing w:after="0" w:line="315" w:lineRule="auto"/>
        <w:rPr>
          <w:sz w:val="20"/>
          <w:szCs w:val="20"/>
          <w:color w:val="auto"/>
        </w:rPr>
      </w:pPr>
      <w:r>
        <w:rPr>
          <w:rFonts w:ascii="Arial" w:cs="Arial" w:eastAsia="Arial" w:hAnsi="Arial"/>
          <w:sz w:val="24"/>
          <w:szCs w:val="24"/>
          <w:color w:val="auto"/>
        </w:rPr>
        <w:t>A origem da informação é analisada em dois cenários: ex-ante e ex-post (DEMIRGÜÇ-KUNT; HUIZINGAGA, 1999; LEVINE, 1997). A perspectiva ex-ante se refere as expectativas das instituições bancárias em relação ao mercado de crédito e os riscos envolvidos, obtido por método de precificação envolvendo as taxas de captação e empréstimo (DURIGAN et al., 2018; LEAL, 2006; DANTAS, 2012).</w:t>
      </w:r>
    </w:p>
    <w:p>
      <w:pPr>
        <w:spacing w:after="0" w:line="101" w:lineRule="exact"/>
        <w:rPr>
          <w:sz w:val="20"/>
          <w:szCs w:val="20"/>
          <w:color w:val="auto"/>
        </w:rPr>
      </w:pPr>
    </w:p>
    <w:p>
      <w:pPr>
        <w:jc w:val="both"/>
        <w:ind w:left="260" w:right="20" w:firstLine="850"/>
        <w:spacing w:after="0" w:line="315" w:lineRule="auto"/>
        <w:rPr>
          <w:sz w:val="20"/>
          <w:szCs w:val="20"/>
          <w:color w:val="auto"/>
        </w:rPr>
      </w:pPr>
      <w:r>
        <w:rPr>
          <w:rFonts w:ascii="Arial" w:cs="Arial" w:eastAsia="Arial" w:hAnsi="Arial"/>
          <w:sz w:val="24"/>
          <w:szCs w:val="24"/>
          <w:color w:val="auto"/>
        </w:rPr>
        <w:t>O spread ex-ante, por se tratar de um indicador de planejamento, refletindo as expectativas das instituições bancárias em relação ao mercado, finda demonstrando-se mais volátil, não representando as taxas efetivas realizadas. As informações ex-ante são repassadas ao Banco Central que as divulgam (DURIGAN et al., 2018; LEAL, 2006; DANTAS, 2012).</w:t>
      </w:r>
    </w:p>
    <w:p>
      <w:pPr>
        <w:spacing w:after="0" w:line="101" w:lineRule="exact"/>
        <w:rPr>
          <w:sz w:val="20"/>
          <w:szCs w:val="20"/>
          <w:color w:val="auto"/>
        </w:rPr>
      </w:pPr>
    </w:p>
    <w:p>
      <w:pPr>
        <w:jc w:val="both"/>
        <w:ind w:left="260" w:firstLine="858"/>
        <w:spacing w:after="0" w:line="314" w:lineRule="auto"/>
        <w:rPr>
          <w:sz w:val="20"/>
          <w:szCs w:val="20"/>
          <w:color w:val="auto"/>
        </w:rPr>
      </w:pPr>
      <w:r>
        <w:rPr>
          <w:rFonts w:ascii="Arial" w:cs="Arial" w:eastAsia="Arial" w:hAnsi="Arial"/>
          <w:sz w:val="24"/>
          <w:szCs w:val="24"/>
          <w:color w:val="auto"/>
        </w:rPr>
        <w:t>No spread ex-post as margens são obtidas mediante a apuração dos resultados contábeis, através dos demonstrativos, considerando as receitas e custos efetivos, im-plicando nas taxas de intermediação e carteira realizadas pelas instituições financeiras (DEMIRGÜÇ-KUNT; HUIZINGAGA, 1999; DURIGAN et al., 2018). Nesse sentido, em termos médios, as taxas ex-post se demonstram mais estáveis (LEAL, 2006; DANTAS, 2012).</w:t>
      </w:r>
    </w:p>
    <w:p>
      <w:pPr>
        <w:spacing w:after="0" w:line="104" w:lineRule="exact"/>
        <w:rPr>
          <w:sz w:val="20"/>
          <w:szCs w:val="20"/>
          <w:color w:val="auto"/>
        </w:rPr>
      </w:pPr>
    </w:p>
    <w:p>
      <w:pPr>
        <w:jc w:val="both"/>
        <w:ind w:left="260" w:firstLine="857"/>
        <w:spacing w:after="0" w:line="314" w:lineRule="auto"/>
        <w:rPr>
          <w:sz w:val="20"/>
          <w:szCs w:val="20"/>
          <w:color w:val="auto"/>
        </w:rPr>
      </w:pPr>
      <w:r>
        <w:rPr>
          <w:rFonts w:ascii="Arial" w:cs="Arial" w:eastAsia="Arial" w:hAnsi="Arial"/>
          <w:sz w:val="24"/>
          <w:szCs w:val="24"/>
          <w:color w:val="auto"/>
        </w:rPr>
        <w:t>O spread ex-post, sendo resultante da diferença entre as taxas de empréstimos e de captação realizadas pelas instituições, é obtida por meio das contas 71100001, 16000001, 81100008 e 41000007 — das demonstrações contábeis padronizadas —. O que vem configurar o spread ex-post como a efetiva margem auferida pela instituição, diante seus resultados contabilizados, em contrapartida da medida ex-ante (DANTAS, 2012).</w:t>
      </w:r>
    </w:p>
    <w:p>
      <w:pPr>
        <w:sectPr>
          <w:pgSz w:w="11900" w:h="16838" w:orient="portrait"/>
          <w:cols w:equalWidth="0" w:num="1">
            <w:col w:w="9360"/>
          </w:cols>
          <w:pgMar w:left="1440" w:top="991" w:right="1106" w:bottom="441" w:gutter="0" w:footer="0" w:header="0"/>
        </w:sectPr>
      </w:pPr>
    </w:p>
    <w:p>
      <w:pPr>
        <w:ind w:left="9060"/>
        <w:spacing w:after="0"/>
        <w:rPr>
          <w:sz w:val="20"/>
          <w:szCs w:val="20"/>
          <w:color w:val="auto"/>
        </w:rPr>
      </w:pPr>
      <w:r>
        <w:rPr>
          <w:rFonts w:ascii="Arial" w:cs="Arial" w:eastAsia="Arial" w:hAnsi="Arial"/>
          <w:sz w:val="24"/>
          <w:szCs w:val="24"/>
          <w:color w:val="auto"/>
        </w:rPr>
        <w:t>26</w:t>
      </w:r>
    </w:p>
    <w:p>
      <w:pPr>
        <w:spacing w:after="0" w:line="200" w:lineRule="exact"/>
        <w:rPr>
          <w:sz w:val="20"/>
          <w:szCs w:val="20"/>
          <w:color w:val="auto"/>
        </w:rPr>
      </w:pPr>
    </w:p>
    <w:p>
      <w:pPr>
        <w:spacing w:after="0" w:line="386" w:lineRule="exact"/>
        <w:rPr>
          <w:sz w:val="20"/>
          <w:szCs w:val="20"/>
          <w:color w:val="auto"/>
        </w:rPr>
      </w:pPr>
    </w:p>
    <w:tbl>
      <w:tblPr>
        <w:tblLayout w:type="fixed"/>
        <w:tblInd w:w="2840" w:type="dxa"/>
        <w:tblCellMar>
          <w:top w:w="0" w:type="dxa"/>
          <w:left w:w="0" w:type="dxa"/>
          <w:bottom w:w="0" w:type="dxa"/>
          <w:right w:w="0" w:type="dxa"/>
        </w:tblCellMar>
      </w:tblPr>
      <w:tr>
        <w:trPr>
          <w:trHeight w:val="356"/>
        </w:trPr>
        <w:tc>
          <w:tcPr>
            <w:tcW w:w="1080" w:type="dxa"/>
            <w:vAlign w:val="bottom"/>
            <w:vMerge w:val="restart"/>
          </w:tcPr>
          <w:p>
            <w:pPr>
              <w:spacing w:after="0"/>
              <w:rPr>
                <w:sz w:val="20"/>
                <w:szCs w:val="20"/>
                <w:color w:val="auto"/>
              </w:rPr>
            </w:pPr>
            <w:r>
              <w:rPr>
                <w:rFonts w:ascii="Arial" w:cs="Arial" w:eastAsia="Arial" w:hAnsi="Arial"/>
                <w:sz w:val="24"/>
                <w:szCs w:val="24"/>
                <w:i w:val="1"/>
                <w:iCs w:val="1"/>
                <w:color w:val="auto"/>
              </w:rPr>
              <w:t>SP R</w:t>
            </w:r>
            <w:r>
              <w:rPr>
                <w:rFonts w:ascii="Arial" w:cs="Arial" w:eastAsia="Arial" w:hAnsi="Arial"/>
                <w:sz w:val="31"/>
                <w:szCs w:val="31"/>
                <w:i w:val="1"/>
                <w:iCs w:val="1"/>
                <w:color w:val="auto"/>
                <w:vertAlign w:val="subscript"/>
              </w:rPr>
              <w:t>i</w:t>
            </w:r>
            <w:r>
              <w:rPr>
                <w:rFonts w:ascii="Arial" w:cs="Arial" w:eastAsia="Arial" w:hAnsi="Arial"/>
                <w:sz w:val="24"/>
                <w:szCs w:val="24"/>
                <w:i w:val="1"/>
                <w:iCs w:val="1"/>
                <w:color w:val="auto"/>
              </w:rPr>
              <w:t>t</w:t>
            </w:r>
            <w:r>
              <w:rPr>
                <w:rFonts w:ascii="Arial" w:cs="Arial" w:eastAsia="Arial" w:hAnsi="Arial"/>
                <w:sz w:val="24"/>
                <w:szCs w:val="24"/>
                <w:color w:val="auto"/>
              </w:rPr>
              <w:t xml:space="preserve"> = [</w:t>
            </w:r>
          </w:p>
        </w:tc>
        <w:tc>
          <w:tcPr>
            <w:tcW w:w="20" w:type="dxa"/>
            <w:vAlign w:val="bottom"/>
          </w:tcPr>
          <w:p>
            <w:pPr>
              <w:spacing w:after="0"/>
              <w:rPr>
                <w:sz w:val="24"/>
                <w:szCs w:val="24"/>
                <w:color w:val="auto"/>
              </w:rPr>
            </w:pPr>
          </w:p>
        </w:tc>
        <w:tc>
          <w:tcPr>
            <w:tcW w:w="1100" w:type="dxa"/>
            <w:vAlign w:val="bottom"/>
            <w:gridSpan w:val="2"/>
          </w:tcPr>
          <w:p>
            <w:pPr>
              <w:jc w:val="center"/>
              <w:ind w:right="20"/>
              <w:spacing w:after="0"/>
              <w:rPr>
                <w:sz w:val="20"/>
                <w:szCs w:val="20"/>
                <w:color w:val="auto"/>
              </w:rPr>
            </w:pPr>
            <w:r>
              <w:rPr>
                <w:rFonts w:ascii="Arial" w:cs="Arial" w:eastAsia="Arial" w:hAnsi="Arial"/>
                <w:sz w:val="24"/>
                <w:szCs w:val="24"/>
                <w:i w:val="1"/>
                <w:iCs w:val="1"/>
                <w:color w:val="auto"/>
              </w:rPr>
              <w:t>ROP</w:t>
            </w:r>
            <w:r>
              <w:rPr>
                <w:rFonts w:ascii="Arial" w:cs="Arial" w:eastAsia="Arial" w:hAnsi="Arial"/>
                <w:sz w:val="31"/>
                <w:szCs w:val="31"/>
                <w:i w:val="1"/>
                <w:iCs w:val="1"/>
                <w:color w:val="auto"/>
                <w:vertAlign w:val="subscript"/>
              </w:rPr>
              <w:t>i</w:t>
            </w:r>
            <w:r>
              <w:rPr>
                <w:rFonts w:ascii="Arial" w:cs="Arial" w:eastAsia="Arial" w:hAnsi="Arial"/>
                <w:sz w:val="24"/>
                <w:szCs w:val="24"/>
                <w:i w:val="1"/>
                <w:iCs w:val="1"/>
                <w:color w:val="auto"/>
              </w:rPr>
              <w:t>t</w:t>
            </w:r>
          </w:p>
        </w:tc>
        <w:tc>
          <w:tcPr>
            <w:tcW w:w="480" w:type="dxa"/>
            <w:vAlign w:val="bottom"/>
            <w:vMerge w:val="restart"/>
          </w:tcPr>
          <w:p>
            <w:pPr>
              <w:ind w:left="20"/>
              <w:spacing w:after="0"/>
              <w:rPr>
                <w:sz w:val="20"/>
                <w:szCs w:val="20"/>
                <w:color w:val="auto"/>
              </w:rPr>
            </w:pPr>
            <w:r>
              <w:rPr>
                <w:rFonts w:ascii="Arial" w:cs="Arial" w:eastAsia="Arial" w:hAnsi="Arial"/>
                <w:sz w:val="24"/>
                <w:szCs w:val="24"/>
                <w:color w:val="auto"/>
              </w:rPr>
              <w:t>] − [</w:t>
            </w:r>
          </w:p>
        </w:tc>
        <w:tc>
          <w:tcPr>
            <w:tcW w:w="20" w:type="dxa"/>
            <w:vAlign w:val="bottom"/>
          </w:tcPr>
          <w:p>
            <w:pPr>
              <w:spacing w:after="0"/>
              <w:rPr>
                <w:sz w:val="24"/>
                <w:szCs w:val="24"/>
                <w:color w:val="auto"/>
              </w:rPr>
            </w:pPr>
          </w:p>
        </w:tc>
        <w:tc>
          <w:tcPr>
            <w:tcW w:w="1120" w:type="dxa"/>
            <w:vAlign w:val="bottom"/>
            <w:gridSpan w:val="2"/>
          </w:tcPr>
          <w:p>
            <w:pPr>
              <w:jc w:val="center"/>
              <w:ind w:right="40"/>
              <w:spacing w:after="0"/>
              <w:rPr>
                <w:sz w:val="20"/>
                <w:szCs w:val="20"/>
                <w:color w:val="auto"/>
              </w:rPr>
            </w:pPr>
            <w:r>
              <w:rPr>
                <w:rFonts w:ascii="Arial" w:cs="Arial" w:eastAsia="Arial" w:hAnsi="Arial"/>
                <w:sz w:val="24"/>
                <w:szCs w:val="24"/>
                <w:i w:val="1"/>
                <w:iCs w:val="1"/>
                <w:color w:val="auto"/>
              </w:rPr>
              <w:t>DOP</w:t>
            </w:r>
            <w:r>
              <w:rPr>
                <w:rFonts w:ascii="Arial" w:cs="Arial" w:eastAsia="Arial" w:hAnsi="Arial"/>
                <w:sz w:val="31"/>
                <w:szCs w:val="31"/>
                <w:i w:val="1"/>
                <w:iCs w:val="1"/>
                <w:color w:val="auto"/>
                <w:vertAlign w:val="subscript"/>
              </w:rPr>
              <w:t>i</w:t>
            </w:r>
            <w:r>
              <w:rPr>
                <w:rFonts w:ascii="Arial" w:cs="Arial" w:eastAsia="Arial" w:hAnsi="Arial"/>
                <w:sz w:val="24"/>
                <w:szCs w:val="24"/>
                <w:i w:val="1"/>
                <w:iCs w:val="1"/>
                <w:color w:val="auto"/>
              </w:rPr>
              <w:t>t</w:t>
            </w:r>
          </w:p>
        </w:tc>
        <w:tc>
          <w:tcPr>
            <w:tcW w:w="100" w:type="dxa"/>
            <w:vAlign w:val="bottom"/>
            <w:vMerge w:val="restart"/>
          </w:tcPr>
          <w:p>
            <w:pPr>
              <w:jc w:val="right"/>
              <w:spacing w:after="0"/>
              <w:rPr>
                <w:sz w:val="20"/>
                <w:szCs w:val="20"/>
                <w:color w:val="auto"/>
              </w:rPr>
            </w:pPr>
            <w:r>
              <w:rPr>
                <w:rFonts w:ascii="Arial" w:cs="Arial" w:eastAsia="Arial" w:hAnsi="Arial"/>
                <w:sz w:val="24"/>
                <w:szCs w:val="24"/>
                <w:color w:val="auto"/>
                <w:w w:val="89"/>
              </w:rPr>
              <w:t>]</w:t>
            </w:r>
          </w:p>
        </w:tc>
        <w:tc>
          <w:tcPr>
            <w:tcW w:w="0" w:type="dxa"/>
            <w:vAlign w:val="bottom"/>
          </w:tcPr>
          <w:p>
            <w:pPr>
              <w:spacing w:after="0"/>
              <w:rPr>
                <w:sz w:val="1"/>
                <w:szCs w:val="1"/>
                <w:color w:val="auto"/>
              </w:rPr>
            </w:pPr>
          </w:p>
        </w:tc>
      </w:tr>
      <w:tr>
        <w:trPr>
          <w:trHeight w:val="24"/>
        </w:trPr>
        <w:tc>
          <w:tcPr>
            <w:tcW w:w="1080" w:type="dxa"/>
            <w:vAlign w:val="bottom"/>
            <w:vMerge w:val="continue"/>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08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80" w:type="dxa"/>
            <w:vAlign w:val="bottom"/>
            <w:vMerge w:val="continue"/>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10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153"/>
        </w:trPr>
        <w:tc>
          <w:tcPr>
            <w:tcW w:w="1080" w:type="dxa"/>
            <w:vAlign w:val="bottom"/>
            <w:vMerge w:val="continue"/>
          </w:tcPr>
          <w:p>
            <w:pPr>
              <w:spacing w:after="0"/>
              <w:rPr>
                <w:sz w:val="13"/>
                <w:szCs w:val="13"/>
                <w:color w:val="auto"/>
              </w:rPr>
            </w:pPr>
          </w:p>
        </w:tc>
        <w:tc>
          <w:tcPr>
            <w:tcW w:w="1120" w:type="dxa"/>
            <w:vAlign w:val="bottom"/>
            <w:gridSpan w:val="3"/>
          </w:tcPr>
          <w:p>
            <w:pPr>
              <w:jc w:val="center"/>
              <w:spacing w:after="0" w:line="153" w:lineRule="exact"/>
              <w:rPr>
                <w:sz w:val="20"/>
                <w:szCs w:val="20"/>
                <w:color w:val="auto"/>
              </w:rPr>
            </w:pPr>
            <w:r>
              <w:rPr>
                <w:rFonts w:ascii="Arial" w:cs="Arial" w:eastAsia="Arial" w:hAnsi="Arial"/>
                <w:sz w:val="12"/>
                <w:szCs w:val="12"/>
                <w:i w:val="1"/>
                <w:iCs w:val="1"/>
                <w:color w:val="auto"/>
              </w:rPr>
              <w:t>OP</w:t>
            </w:r>
            <w:r>
              <w:rPr>
                <w:rFonts w:ascii="Arial" w:cs="Arial" w:eastAsia="Arial" w:hAnsi="Arial"/>
                <w:sz w:val="17"/>
                <w:szCs w:val="17"/>
                <w:i w:val="1"/>
                <w:iCs w:val="1"/>
                <w:color w:val="auto"/>
                <w:vertAlign w:val="subscript"/>
              </w:rPr>
              <w:t>i</w:t>
            </w:r>
            <w:r>
              <w:rPr>
                <w:rFonts w:ascii="Arial" w:cs="Arial" w:eastAsia="Arial" w:hAnsi="Arial"/>
                <w:sz w:val="12"/>
                <w:szCs w:val="12"/>
                <w:i w:val="1"/>
                <w:iCs w:val="1"/>
                <w:color w:val="auto"/>
              </w:rPr>
              <w:t>t</w:t>
            </w:r>
            <w:r>
              <w:rPr>
                <w:rFonts w:ascii="Arial" w:cs="Arial" w:eastAsia="Arial" w:hAnsi="Arial"/>
                <w:sz w:val="12"/>
                <w:szCs w:val="12"/>
                <w:color w:val="auto"/>
              </w:rPr>
              <w:t>+</w:t>
            </w:r>
            <w:r>
              <w:rPr>
                <w:rFonts w:ascii="Arial" w:cs="Arial" w:eastAsia="Arial" w:hAnsi="Arial"/>
                <w:sz w:val="12"/>
                <w:szCs w:val="12"/>
                <w:i w:val="1"/>
                <w:iCs w:val="1"/>
                <w:color w:val="auto"/>
              </w:rPr>
              <w:t>OP</w:t>
            </w:r>
            <w:r>
              <w:rPr>
                <w:rFonts w:ascii="Arial" w:cs="Arial" w:eastAsia="Arial" w:hAnsi="Arial"/>
                <w:sz w:val="17"/>
                <w:szCs w:val="17"/>
                <w:i w:val="1"/>
                <w:iCs w:val="1"/>
                <w:color w:val="auto"/>
                <w:vertAlign w:val="subscript"/>
              </w:rPr>
              <w:t>i</w:t>
            </w:r>
            <w:r>
              <w:rPr>
                <w:rFonts w:ascii="Arial" w:cs="Arial" w:eastAsia="Arial" w:hAnsi="Arial"/>
                <w:sz w:val="12"/>
                <w:szCs w:val="12"/>
                <w:i w:val="1"/>
                <w:iCs w:val="1"/>
                <w:color w:val="auto"/>
              </w:rPr>
              <w:t>t</w:t>
            </w:r>
            <w:r>
              <w:rPr>
                <w:rFonts w:ascii="Arial" w:cs="Arial" w:eastAsia="Arial" w:hAnsi="Arial"/>
                <w:sz w:val="12"/>
                <w:szCs w:val="12"/>
                <w:color w:val="auto"/>
              </w:rPr>
              <w:t>−1</w:t>
            </w:r>
          </w:p>
        </w:tc>
        <w:tc>
          <w:tcPr>
            <w:tcW w:w="480" w:type="dxa"/>
            <w:vAlign w:val="bottom"/>
            <w:vMerge w:val="continue"/>
          </w:tcPr>
          <w:p>
            <w:pPr>
              <w:spacing w:after="0"/>
              <w:rPr>
                <w:sz w:val="13"/>
                <w:szCs w:val="13"/>
                <w:color w:val="auto"/>
              </w:rPr>
            </w:pPr>
          </w:p>
        </w:tc>
        <w:tc>
          <w:tcPr>
            <w:tcW w:w="1140" w:type="dxa"/>
            <w:vAlign w:val="bottom"/>
            <w:gridSpan w:val="3"/>
          </w:tcPr>
          <w:p>
            <w:pPr>
              <w:jc w:val="center"/>
              <w:spacing w:after="0" w:line="153" w:lineRule="exact"/>
              <w:rPr>
                <w:sz w:val="20"/>
                <w:szCs w:val="20"/>
                <w:color w:val="auto"/>
              </w:rPr>
            </w:pPr>
            <w:r>
              <w:rPr>
                <w:rFonts w:ascii="Arial" w:cs="Arial" w:eastAsia="Arial" w:hAnsi="Arial"/>
                <w:sz w:val="12"/>
                <w:szCs w:val="12"/>
                <w:i w:val="1"/>
                <w:iCs w:val="1"/>
                <w:color w:val="auto"/>
              </w:rPr>
              <w:t>DP</w:t>
            </w:r>
            <w:r>
              <w:rPr>
                <w:rFonts w:ascii="Arial" w:cs="Arial" w:eastAsia="Arial" w:hAnsi="Arial"/>
                <w:sz w:val="17"/>
                <w:szCs w:val="17"/>
                <w:i w:val="1"/>
                <w:iCs w:val="1"/>
                <w:color w:val="auto"/>
                <w:vertAlign w:val="subscript"/>
              </w:rPr>
              <w:t>i</w:t>
            </w:r>
            <w:r>
              <w:rPr>
                <w:rFonts w:ascii="Arial" w:cs="Arial" w:eastAsia="Arial" w:hAnsi="Arial"/>
                <w:sz w:val="12"/>
                <w:szCs w:val="12"/>
                <w:i w:val="1"/>
                <w:iCs w:val="1"/>
                <w:color w:val="auto"/>
              </w:rPr>
              <w:t>t</w:t>
            </w:r>
            <w:r>
              <w:rPr>
                <w:rFonts w:ascii="Arial" w:cs="Arial" w:eastAsia="Arial" w:hAnsi="Arial"/>
                <w:sz w:val="12"/>
                <w:szCs w:val="12"/>
                <w:color w:val="auto"/>
              </w:rPr>
              <w:t>+</w:t>
            </w:r>
            <w:r>
              <w:rPr>
                <w:rFonts w:ascii="Arial" w:cs="Arial" w:eastAsia="Arial" w:hAnsi="Arial"/>
                <w:sz w:val="12"/>
                <w:szCs w:val="12"/>
                <w:i w:val="1"/>
                <w:iCs w:val="1"/>
                <w:color w:val="auto"/>
              </w:rPr>
              <w:t>DP</w:t>
            </w:r>
            <w:r>
              <w:rPr>
                <w:rFonts w:ascii="Arial" w:cs="Arial" w:eastAsia="Arial" w:hAnsi="Arial"/>
                <w:sz w:val="17"/>
                <w:szCs w:val="17"/>
                <w:i w:val="1"/>
                <w:iCs w:val="1"/>
                <w:color w:val="auto"/>
                <w:vertAlign w:val="subscript"/>
              </w:rPr>
              <w:t>i</w:t>
            </w:r>
            <w:r>
              <w:rPr>
                <w:rFonts w:ascii="Arial" w:cs="Arial" w:eastAsia="Arial" w:hAnsi="Arial"/>
                <w:sz w:val="12"/>
                <w:szCs w:val="12"/>
                <w:i w:val="1"/>
                <w:iCs w:val="1"/>
                <w:color w:val="auto"/>
              </w:rPr>
              <w:t>t</w:t>
            </w:r>
            <w:r>
              <w:rPr>
                <w:rFonts w:ascii="Arial" w:cs="Arial" w:eastAsia="Arial" w:hAnsi="Arial"/>
                <w:sz w:val="12"/>
                <w:szCs w:val="12"/>
                <w:color w:val="auto"/>
              </w:rPr>
              <w:t>−1</w:t>
            </w:r>
          </w:p>
        </w:tc>
        <w:tc>
          <w:tcPr>
            <w:tcW w:w="1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12"/>
        </w:trPr>
        <w:tc>
          <w:tcPr>
            <w:tcW w:w="10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80" w:type="dxa"/>
            <w:vAlign w:val="bottom"/>
            <w:tcBorders>
              <w:top w:val="single" w:sz="8" w:color="auto"/>
            </w:tcBorders>
          </w:tcPr>
          <w:p>
            <w:pPr>
              <w:jc w:val="center"/>
              <w:spacing w:after="0"/>
              <w:rPr>
                <w:sz w:val="20"/>
                <w:szCs w:val="20"/>
                <w:color w:val="auto"/>
              </w:rPr>
            </w:pPr>
            <w:r>
              <w:rPr>
                <w:rFonts w:ascii="Arial" w:cs="Arial" w:eastAsia="Arial" w:hAnsi="Arial"/>
                <w:sz w:val="16"/>
                <w:szCs w:val="16"/>
                <w:color w:val="auto"/>
                <w:w w:val="89"/>
              </w:rPr>
              <w:t>2</w:t>
            </w:r>
          </w:p>
        </w:tc>
        <w:tc>
          <w:tcPr>
            <w:tcW w:w="20" w:type="dxa"/>
            <w:vAlign w:val="bottom"/>
          </w:tcPr>
          <w:p>
            <w:pPr>
              <w:spacing w:after="0"/>
              <w:rPr>
                <w:sz w:val="18"/>
                <w:szCs w:val="18"/>
                <w:color w:val="auto"/>
              </w:rPr>
            </w:pPr>
          </w:p>
        </w:tc>
        <w:tc>
          <w:tcPr>
            <w:tcW w:w="4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100" w:type="dxa"/>
            <w:vAlign w:val="bottom"/>
            <w:tcBorders>
              <w:top w:val="single" w:sz="8" w:color="auto"/>
            </w:tcBorders>
          </w:tcPr>
          <w:p>
            <w:pPr>
              <w:jc w:val="center"/>
              <w:spacing w:after="0"/>
              <w:rPr>
                <w:sz w:val="20"/>
                <w:szCs w:val="20"/>
                <w:color w:val="auto"/>
              </w:rPr>
            </w:pPr>
            <w:r>
              <w:rPr>
                <w:rFonts w:ascii="Arial" w:cs="Arial" w:eastAsia="Arial" w:hAnsi="Arial"/>
                <w:sz w:val="16"/>
                <w:szCs w:val="16"/>
                <w:color w:val="auto"/>
                <w:w w:val="89"/>
              </w:rPr>
              <w:t>2</w:t>
            </w: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bl>
    <w:p>
      <w:pPr>
        <w:spacing w:after="0" w:line="13" w:lineRule="exact"/>
        <w:rPr>
          <w:sz w:val="20"/>
          <w:szCs w:val="20"/>
          <w:color w:val="auto"/>
        </w:rPr>
      </w:pPr>
    </w:p>
    <w:p>
      <w:pPr>
        <w:jc w:val="both"/>
        <w:ind w:left="260" w:right="40"/>
        <w:spacing w:after="0" w:line="352" w:lineRule="auto"/>
        <w:rPr>
          <w:sz w:val="20"/>
          <w:szCs w:val="20"/>
          <w:color w:val="auto"/>
        </w:rPr>
      </w:pPr>
      <w:r>
        <w:rPr>
          <w:rFonts w:ascii="Arial" w:cs="Arial" w:eastAsia="Arial" w:hAnsi="Arial"/>
          <w:sz w:val="23"/>
          <w:szCs w:val="23"/>
          <w:color w:val="auto"/>
        </w:rPr>
        <w:t>SPR = Spread ex-post ROP = Receitas das Operações de Crédito OP = Operações de Crédito Média DOC = Despesas das Operações de captação DP = Depósitos médio</w:t>
      </w:r>
    </w:p>
    <w:p>
      <w:pPr>
        <w:spacing w:after="0" w:line="61" w:lineRule="exact"/>
        <w:rPr>
          <w:sz w:val="20"/>
          <w:szCs w:val="20"/>
          <w:color w:val="auto"/>
        </w:rPr>
      </w:pPr>
    </w:p>
    <w:p>
      <w:pPr>
        <w:jc w:val="both"/>
        <w:ind w:left="260" w:right="40" w:firstLine="858"/>
        <w:spacing w:after="0" w:line="314" w:lineRule="auto"/>
        <w:rPr>
          <w:sz w:val="20"/>
          <w:szCs w:val="20"/>
          <w:color w:val="auto"/>
        </w:rPr>
      </w:pPr>
      <w:r>
        <w:rPr>
          <w:rFonts w:ascii="Arial" w:cs="Arial" w:eastAsia="Arial" w:hAnsi="Arial"/>
          <w:sz w:val="24"/>
          <w:szCs w:val="24"/>
          <w:color w:val="auto"/>
        </w:rPr>
        <w:t>Reduções no spread ex-post não necessariamente significam aumento da eficiência da intermediação financeira, pois podem estar associadas a uma redução da inadimplência (DEMIRGÜÇ-KUNT; HUIZINGAGA, 1999). Como observado em Klein (1971) e Ho e Saunders (1981) o spread bancário é determinado de acordo com as características e os riscos envolvidos nas intermediações financeiras inerentes em cada estrutura de mercado.</w:t>
      </w:r>
    </w:p>
    <w:p>
      <w:pPr>
        <w:spacing w:after="0" w:line="319"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2.2.2</w:t>
        <w:tab/>
        <w:t>SPREAD BANCÁRIO NO BRASIL</w:t>
      </w:r>
    </w:p>
    <w:p>
      <w:pPr>
        <w:spacing w:after="0" w:line="237" w:lineRule="exact"/>
        <w:rPr>
          <w:sz w:val="20"/>
          <w:szCs w:val="20"/>
          <w:color w:val="auto"/>
        </w:rPr>
      </w:pPr>
    </w:p>
    <w:p>
      <w:pPr>
        <w:jc w:val="both"/>
        <w:ind w:left="260" w:firstLine="850"/>
        <w:spacing w:after="0" w:line="317" w:lineRule="auto"/>
        <w:rPr>
          <w:sz w:val="20"/>
          <w:szCs w:val="20"/>
          <w:color w:val="auto"/>
        </w:rPr>
      </w:pPr>
      <w:r>
        <w:rPr>
          <w:rFonts w:ascii="Arial" w:cs="Arial" w:eastAsia="Arial" w:hAnsi="Arial"/>
          <w:sz w:val="24"/>
          <w:szCs w:val="24"/>
          <w:color w:val="auto"/>
        </w:rPr>
        <w:t>No Brasil, a taxa de aplicação para crédito de recursos livres é pactuado entre instituição e tomador. Somente as operações de crédito envolvendo recursos direciona-dos são sujeitas à limites, não podendo exceder 12%a.a. mais a taxa referencial de juros (BACEN, 2016).</w:t>
      </w:r>
    </w:p>
    <w:p>
      <w:pPr>
        <w:spacing w:after="0" w:line="96" w:lineRule="exact"/>
        <w:rPr>
          <w:sz w:val="20"/>
          <w:szCs w:val="20"/>
          <w:color w:val="auto"/>
        </w:rPr>
      </w:pPr>
    </w:p>
    <w:p>
      <w:pPr>
        <w:jc w:val="both"/>
        <w:ind w:left="260" w:firstLine="850"/>
        <w:spacing w:after="0" w:line="317" w:lineRule="auto"/>
        <w:rPr>
          <w:sz w:val="20"/>
          <w:szCs w:val="20"/>
          <w:color w:val="auto"/>
        </w:rPr>
      </w:pPr>
      <w:r>
        <w:rPr>
          <w:rFonts w:ascii="Arial" w:cs="Arial" w:eastAsia="Arial" w:hAnsi="Arial"/>
          <w:sz w:val="24"/>
          <w:szCs w:val="24"/>
          <w:color w:val="auto"/>
        </w:rPr>
        <w:t>No mercado bancário brasileiro, o modelo consolidado de mensuração do spread, conforme Tabela 4, leva em consideração o saldo médio de capital emprestado, e a diferença entre as receitas de aplicação e despesas de captação, ocorrendo a classificação em spread bruto, direto e líquido (FIPECAFI, 2005)</w:t>
      </w:r>
    </w:p>
    <w:p>
      <w:pPr>
        <w:spacing w:after="0" w:line="96" w:lineRule="exact"/>
        <w:rPr>
          <w:sz w:val="20"/>
          <w:szCs w:val="20"/>
          <w:color w:val="auto"/>
        </w:rPr>
      </w:pPr>
    </w:p>
    <w:p>
      <w:pPr>
        <w:jc w:val="both"/>
        <w:ind w:left="260" w:right="40" w:firstLine="850"/>
        <w:spacing w:after="0" w:line="349" w:lineRule="auto"/>
        <w:rPr>
          <w:sz w:val="20"/>
          <w:szCs w:val="20"/>
          <w:color w:val="auto"/>
        </w:rPr>
      </w:pPr>
      <w:r>
        <w:rPr>
          <w:rFonts w:ascii="Arial" w:cs="Arial" w:eastAsia="Arial" w:hAnsi="Arial"/>
          <w:sz w:val="22"/>
          <w:szCs w:val="22"/>
          <w:color w:val="auto"/>
        </w:rPr>
        <w:t>O Banco Central, em 1999, iniciou uma série de estudos e medidas com objetivo de reduzir a taxa de juros e o spread realizados no setor bancário Brasileiro, atuando na identificação e ajustes em variáveis econômicas influentes. Entre as primeiras medidas estavam a redução da taxa de compulsório para depósitos à vista e até a extinção para depósitos à prazo, redução do IOF e a redução da Selic (BACEN, 2000).</w:t>
      </w:r>
    </w:p>
    <w:p>
      <w:pPr>
        <w:spacing w:after="0" w:line="73" w:lineRule="exact"/>
        <w:rPr>
          <w:sz w:val="20"/>
          <w:szCs w:val="20"/>
          <w:color w:val="auto"/>
        </w:rPr>
      </w:pPr>
    </w:p>
    <w:p>
      <w:pPr>
        <w:jc w:val="both"/>
        <w:ind w:left="260" w:right="40" w:firstLine="850"/>
        <w:spacing w:after="0" w:line="327" w:lineRule="auto"/>
        <w:rPr>
          <w:sz w:val="20"/>
          <w:szCs w:val="20"/>
          <w:color w:val="auto"/>
        </w:rPr>
      </w:pPr>
      <w:r>
        <w:rPr>
          <w:rFonts w:ascii="Arial" w:cs="Arial" w:eastAsia="Arial" w:hAnsi="Arial"/>
          <w:sz w:val="24"/>
          <w:szCs w:val="24"/>
          <w:color w:val="auto"/>
        </w:rPr>
        <w:t>A Figura 8 mostra a evolução do spread bancário brasileiro médio entre os anos de 1994 e 2012, chegando a atingir 146.44%, com significativa queda ao longo</w:t>
      </w:r>
    </w:p>
    <w:p>
      <w:pPr>
        <w:spacing w:after="0" w:line="267" w:lineRule="exact"/>
        <w:rPr>
          <w:sz w:val="20"/>
          <w:szCs w:val="20"/>
          <w:color w:val="auto"/>
        </w:rPr>
      </w:pPr>
    </w:p>
    <w:p>
      <w:pPr>
        <w:ind w:left="1340"/>
        <w:spacing w:after="0"/>
        <w:rPr>
          <w:sz w:val="20"/>
          <w:szCs w:val="20"/>
          <w:color w:val="auto"/>
        </w:rPr>
      </w:pPr>
      <w:r>
        <w:rPr>
          <w:rFonts w:ascii="Arial" w:cs="Arial" w:eastAsia="Arial" w:hAnsi="Arial"/>
          <w:sz w:val="22"/>
          <w:szCs w:val="22"/>
          <w:color w:val="auto"/>
        </w:rPr>
        <w:t>Tabela 4 – Esquema de obtenção do spread mais adotado no mercado</w:t>
      </w:r>
    </w:p>
    <w:p>
      <w:pPr>
        <w:spacing w:after="0" w:line="215" w:lineRule="exact"/>
        <w:rPr>
          <w:sz w:val="20"/>
          <w:szCs w:val="20"/>
          <w:color w:val="auto"/>
        </w:rPr>
      </w:pPr>
    </w:p>
    <w:tbl>
      <w:tblPr>
        <w:tblLayout w:type="fixed"/>
        <w:tblInd w:w="1220" w:type="dxa"/>
        <w:tblCellMar>
          <w:top w:w="0" w:type="dxa"/>
          <w:left w:w="0" w:type="dxa"/>
          <w:bottom w:w="0" w:type="dxa"/>
          <w:right w:w="0" w:type="dxa"/>
        </w:tblCellMar>
      </w:tblPr>
      <w:tr>
        <w:trPr>
          <w:trHeight w:val="297"/>
        </w:trPr>
        <w:tc>
          <w:tcPr>
            <w:tcW w:w="4220" w:type="dxa"/>
            <w:vAlign w:val="bottom"/>
            <w:tcBorders>
              <w:top w:val="single" w:sz="8" w:color="auto"/>
              <w:bottom w:val="single" w:sz="8" w:color="auto"/>
              <w:right w:val="single" w:sz="8" w:color="auto"/>
            </w:tcBorders>
          </w:tcPr>
          <w:p>
            <w:pPr>
              <w:spacing w:after="0"/>
              <w:rPr>
                <w:sz w:val="24"/>
                <w:szCs w:val="24"/>
                <w:color w:val="auto"/>
              </w:rPr>
            </w:pPr>
          </w:p>
        </w:tc>
        <w:tc>
          <w:tcPr>
            <w:tcW w:w="980" w:type="dxa"/>
            <w:vAlign w:val="bottom"/>
            <w:tcBorders>
              <w:top w:val="single" w:sz="8" w:color="auto"/>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color w:val="auto"/>
              </w:rPr>
              <w:t>PJ</w:t>
            </w:r>
          </w:p>
        </w:tc>
        <w:tc>
          <w:tcPr>
            <w:tcW w:w="980" w:type="dxa"/>
            <w:vAlign w:val="bottom"/>
            <w:tcBorders>
              <w:top w:val="single" w:sz="8" w:color="auto"/>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color w:val="auto"/>
              </w:rPr>
              <w:t>PF</w:t>
            </w:r>
          </w:p>
        </w:tc>
        <w:tc>
          <w:tcPr>
            <w:tcW w:w="98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24"/>
                <w:szCs w:val="24"/>
                <w:color w:val="auto"/>
              </w:rPr>
              <w:t>Total</w:t>
            </w:r>
          </w:p>
        </w:tc>
      </w:tr>
      <w:tr>
        <w:trPr>
          <w:trHeight w:val="253"/>
        </w:trPr>
        <w:tc>
          <w:tcPr>
            <w:tcW w:w="4220" w:type="dxa"/>
            <w:vAlign w:val="bottom"/>
            <w:tcBorders>
              <w:right w:val="single" w:sz="8" w:color="auto"/>
            </w:tcBorders>
          </w:tcPr>
          <w:p>
            <w:pPr>
              <w:ind w:left="120"/>
              <w:spacing w:after="0" w:line="252" w:lineRule="exact"/>
              <w:rPr>
                <w:sz w:val="20"/>
                <w:szCs w:val="20"/>
                <w:color w:val="auto"/>
              </w:rPr>
            </w:pPr>
            <w:r>
              <w:rPr>
                <w:rFonts w:ascii="Arial" w:cs="Arial" w:eastAsia="Arial" w:hAnsi="Arial"/>
                <w:sz w:val="24"/>
                <w:szCs w:val="24"/>
                <w:color w:val="auto"/>
              </w:rPr>
              <w:t>Saldo Médio do Capital Emprestado</w:t>
            </w:r>
          </w:p>
        </w:tc>
        <w:tc>
          <w:tcPr>
            <w:tcW w:w="980" w:type="dxa"/>
            <w:vAlign w:val="bottom"/>
            <w:tcBorders>
              <w:right w:val="single" w:sz="8" w:color="auto"/>
            </w:tcBorders>
          </w:tcPr>
          <w:p>
            <w:pPr>
              <w:jc w:val="right"/>
              <w:ind w:right="20"/>
              <w:spacing w:after="0" w:line="252" w:lineRule="exact"/>
              <w:rPr>
                <w:sz w:val="20"/>
                <w:szCs w:val="20"/>
                <w:color w:val="auto"/>
              </w:rPr>
            </w:pPr>
            <w:r>
              <w:rPr>
                <w:rFonts w:ascii="Arial" w:cs="Arial" w:eastAsia="Arial" w:hAnsi="Arial"/>
                <w:sz w:val="24"/>
                <w:szCs w:val="24"/>
                <w:color w:val="auto"/>
              </w:rPr>
              <w:t>100.00</w:t>
            </w:r>
          </w:p>
        </w:tc>
        <w:tc>
          <w:tcPr>
            <w:tcW w:w="980" w:type="dxa"/>
            <w:vAlign w:val="bottom"/>
            <w:tcBorders>
              <w:right w:val="single" w:sz="8" w:color="auto"/>
            </w:tcBorders>
          </w:tcPr>
          <w:p>
            <w:pPr>
              <w:jc w:val="right"/>
              <w:ind w:right="20"/>
              <w:spacing w:after="0" w:line="252" w:lineRule="exact"/>
              <w:rPr>
                <w:sz w:val="20"/>
                <w:szCs w:val="20"/>
                <w:color w:val="auto"/>
              </w:rPr>
            </w:pPr>
            <w:r>
              <w:rPr>
                <w:rFonts w:ascii="Arial" w:cs="Arial" w:eastAsia="Arial" w:hAnsi="Arial"/>
                <w:sz w:val="24"/>
                <w:szCs w:val="24"/>
                <w:color w:val="auto"/>
              </w:rPr>
              <w:t>100.00</w:t>
            </w:r>
          </w:p>
        </w:tc>
        <w:tc>
          <w:tcPr>
            <w:tcW w:w="980" w:type="dxa"/>
            <w:vAlign w:val="bottom"/>
          </w:tcPr>
          <w:p>
            <w:pPr>
              <w:jc w:val="right"/>
              <w:spacing w:after="0" w:line="252" w:lineRule="exact"/>
              <w:rPr>
                <w:sz w:val="20"/>
                <w:szCs w:val="20"/>
                <w:color w:val="auto"/>
              </w:rPr>
            </w:pPr>
            <w:r>
              <w:rPr>
                <w:rFonts w:ascii="Arial" w:cs="Arial" w:eastAsia="Arial" w:hAnsi="Arial"/>
                <w:sz w:val="24"/>
                <w:szCs w:val="24"/>
                <w:color w:val="auto"/>
              </w:rPr>
              <w:t>100.00</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A — Receita de Aplicação Financeira</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9.4</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16.5</w:t>
            </w:r>
          </w:p>
        </w:tc>
        <w:tc>
          <w:tcPr>
            <w:tcW w:w="980" w:type="dxa"/>
            <w:vAlign w:val="bottom"/>
          </w:tcPr>
          <w:p>
            <w:pPr>
              <w:jc w:val="right"/>
              <w:spacing w:after="0"/>
              <w:rPr>
                <w:sz w:val="20"/>
                <w:szCs w:val="20"/>
                <w:color w:val="auto"/>
              </w:rPr>
            </w:pPr>
            <w:r>
              <w:rPr>
                <w:rFonts w:ascii="Arial" w:cs="Arial" w:eastAsia="Arial" w:hAnsi="Arial"/>
                <w:sz w:val="24"/>
                <w:szCs w:val="24"/>
                <w:color w:val="auto"/>
              </w:rPr>
              <w:t>12,7</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B — Despesas de Captação</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(4.8)</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(4.9)</w:t>
            </w:r>
          </w:p>
        </w:tc>
        <w:tc>
          <w:tcPr>
            <w:tcW w:w="980" w:type="dxa"/>
            <w:vAlign w:val="bottom"/>
          </w:tcPr>
          <w:p>
            <w:pPr>
              <w:jc w:val="right"/>
              <w:spacing w:after="0"/>
              <w:rPr>
                <w:sz w:val="20"/>
                <w:szCs w:val="20"/>
                <w:color w:val="auto"/>
              </w:rPr>
            </w:pPr>
            <w:r>
              <w:rPr>
                <w:rFonts w:ascii="Arial" w:cs="Arial" w:eastAsia="Arial" w:hAnsi="Arial"/>
                <w:sz w:val="24"/>
                <w:szCs w:val="24"/>
                <w:color w:val="auto"/>
              </w:rPr>
              <w:t>(4.8)</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Spread Bruto</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4.6</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11.6</w:t>
            </w:r>
          </w:p>
        </w:tc>
        <w:tc>
          <w:tcPr>
            <w:tcW w:w="980" w:type="dxa"/>
            <w:vAlign w:val="bottom"/>
          </w:tcPr>
          <w:p>
            <w:pPr>
              <w:jc w:val="right"/>
              <w:spacing w:after="0"/>
              <w:rPr>
                <w:sz w:val="20"/>
                <w:szCs w:val="20"/>
                <w:color w:val="auto"/>
              </w:rPr>
            </w:pPr>
            <w:r>
              <w:rPr>
                <w:rFonts w:ascii="Arial" w:cs="Arial" w:eastAsia="Arial" w:hAnsi="Arial"/>
                <w:sz w:val="24"/>
                <w:szCs w:val="24"/>
                <w:color w:val="auto"/>
              </w:rPr>
              <w:t>7.9</w:t>
            </w:r>
          </w:p>
        </w:tc>
      </w:tr>
      <w:tr>
        <w:trPr>
          <w:trHeight w:val="289"/>
        </w:trPr>
        <w:tc>
          <w:tcPr>
            <w:tcW w:w="4220" w:type="dxa"/>
            <w:vAlign w:val="bottom"/>
            <w:tcBorders>
              <w:right w:val="single" w:sz="8" w:color="auto"/>
            </w:tcBorders>
          </w:tcPr>
          <w:p>
            <w:pPr>
              <w:ind w:left="120"/>
              <w:spacing w:after="0"/>
              <w:rPr>
                <w:sz w:val="20"/>
                <w:szCs w:val="20"/>
                <w:color w:val="auto"/>
              </w:rPr>
            </w:pPr>
            <w:r>
              <w:rPr>
                <w:rFonts w:ascii="Arial" w:cs="Arial" w:eastAsia="Arial" w:hAnsi="Arial"/>
                <w:sz w:val="24"/>
                <w:szCs w:val="24"/>
                <w:color w:val="auto"/>
              </w:rPr>
              <w:t>Spread Direto</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3.2</w:t>
            </w:r>
          </w:p>
        </w:tc>
        <w:tc>
          <w:tcPr>
            <w:tcW w:w="980" w:type="dxa"/>
            <w:vAlign w:val="bottom"/>
            <w:tcBorders>
              <w:right w:val="single" w:sz="8" w:color="auto"/>
            </w:tcBorders>
          </w:tcPr>
          <w:p>
            <w:pPr>
              <w:jc w:val="right"/>
              <w:ind w:right="20"/>
              <w:spacing w:after="0"/>
              <w:rPr>
                <w:sz w:val="20"/>
                <w:szCs w:val="20"/>
                <w:color w:val="auto"/>
              </w:rPr>
            </w:pPr>
            <w:r>
              <w:rPr>
                <w:rFonts w:ascii="Arial" w:cs="Arial" w:eastAsia="Arial" w:hAnsi="Arial"/>
                <w:sz w:val="24"/>
                <w:szCs w:val="24"/>
                <w:color w:val="auto"/>
              </w:rPr>
              <w:t>7.6</w:t>
            </w:r>
          </w:p>
        </w:tc>
        <w:tc>
          <w:tcPr>
            <w:tcW w:w="980" w:type="dxa"/>
            <w:vAlign w:val="bottom"/>
          </w:tcPr>
          <w:p>
            <w:pPr>
              <w:jc w:val="right"/>
              <w:spacing w:after="0"/>
              <w:rPr>
                <w:sz w:val="20"/>
                <w:szCs w:val="20"/>
                <w:color w:val="auto"/>
              </w:rPr>
            </w:pPr>
            <w:r>
              <w:rPr>
                <w:rFonts w:ascii="Arial" w:cs="Arial" w:eastAsia="Arial" w:hAnsi="Arial"/>
                <w:sz w:val="24"/>
                <w:szCs w:val="24"/>
                <w:color w:val="auto"/>
              </w:rPr>
              <w:t>5.3</w:t>
            </w:r>
          </w:p>
        </w:tc>
      </w:tr>
      <w:tr>
        <w:trPr>
          <w:trHeight w:val="304"/>
        </w:trPr>
        <w:tc>
          <w:tcPr>
            <w:tcW w:w="4220" w:type="dxa"/>
            <w:vAlign w:val="bottom"/>
            <w:tcBorders>
              <w:bottom w:val="single" w:sz="8" w:color="auto"/>
              <w:right w:val="single" w:sz="8" w:color="auto"/>
            </w:tcBorders>
          </w:tcPr>
          <w:p>
            <w:pPr>
              <w:ind w:left="120"/>
              <w:spacing w:after="0"/>
              <w:rPr>
                <w:sz w:val="20"/>
                <w:szCs w:val="20"/>
                <w:color w:val="auto"/>
              </w:rPr>
            </w:pPr>
            <w:r>
              <w:rPr>
                <w:rFonts w:ascii="Arial" w:cs="Arial" w:eastAsia="Arial" w:hAnsi="Arial"/>
                <w:sz w:val="24"/>
                <w:szCs w:val="24"/>
                <w:color w:val="auto"/>
              </w:rPr>
              <w:t>Spread Líquido</w:t>
            </w:r>
          </w:p>
        </w:tc>
        <w:tc>
          <w:tcPr>
            <w:tcW w:w="980" w:type="dxa"/>
            <w:vAlign w:val="bottom"/>
            <w:tcBorders>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color w:val="auto"/>
              </w:rPr>
              <w:t>0.5</w:t>
            </w:r>
          </w:p>
        </w:tc>
        <w:tc>
          <w:tcPr>
            <w:tcW w:w="980" w:type="dxa"/>
            <w:vAlign w:val="bottom"/>
            <w:tcBorders>
              <w:bottom w:val="single" w:sz="8" w:color="auto"/>
              <w:right w:val="single" w:sz="8" w:color="auto"/>
            </w:tcBorders>
          </w:tcPr>
          <w:p>
            <w:pPr>
              <w:jc w:val="right"/>
              <w:ind w:right="20"/>
              <w:spacing w:after="0"/>
              <w:rPr>
                <w:sz w:val="20"/>
                <w:szCs w:val="20"/>
                <w:color w:val="auto"/>
              </w:rPr>
            </w:pPr>
            <w:r>
              <w:rPr>
                <w:rFonts w:ascii="Arial" w:cs="Arial" w:eastAsia="Arial" w:hAnsi="Arial"/>
                <w:sz w:val="24"/>
                <w:szCs w:val="24"/>
                <w:color w:val="auto"/>
              </w:rPr>
              <w:t>1.6</w:t>
            </w:r>
          </w:p>
        </w:tc>
        <w:tc>
          <w:tcPr>
            <w:tcW w:w="980" w:type="dxa"/>
            <w:vAlign w:val="bottom"/>
            <w:tcBorders>
              <w:bottom w:val="single" w:sz="8" w:color="auto"/>
            </w:tcBorders>
          </w:tcPr>
          <w:p>
            <w:pPr>
              <w:jc w:val="right"/>
              <w:spacing w:after="0"/>
              <w:rPr>
                <w:sz w:val="20"/>
                <w:szCs w:val="20"/>
                <w:color w:val="auto"/>
              </w:rPr>
            </w:pPr>
            <w:r>
              <w:rPr>
                <w:rFonts w:ascii="Arial" w:cs="Arial" w:eastAsia="Arial" w:hAnsi="Arial"/>
                <w:sz w:val="24"/>
                <w:szCs w:val="24"/>
                <w:color w:val="auto"/>
              </w:rPr>
              <w:t>1.0</w:t>
            </w:r>
          </w:p>
        </w:tc>
      </w:tr>
    </w:tbl>
    <w:p>
      <w:pPr>
        <w:spacing w:after="0" w:line="2" w:lineRule="exact"/>
        <w:rPr>
          <w:sz w:val="20"/>
          <w:szCs w:val="20"/>
          <w:color w:val="auto"/>
        </w:rPr>
      </w:pPr>
    </w:p>
    <w:p>
      <w:pPr>
        <w:sectPr>
          <w:pgSz w:w="11900" w:h="16838" w:orient="portrait"/>
          <w:cols w:equalWidth="0" w:num="1">
            <w:col w:w="9360"/>
          </w:cols>
          <w:pgMar w:left="1440" w:top="991" w:right="1106" w:bottom="980" w:gutter="0" w:footer="0" w:header="0"/>
        </w:sectPr>
      </w:pPr>
    </w:p>
    <w:p>
      <w:pPr>
        <w:jc w:val="center"/>
        <w:ind w:right="-219"/>
        <w:spacing w:after="0"/>
        <w:rPr>
          <w:sz w:val="20"/>
          <w:szCs w:val="20"/>
          <w:color w:val="auto"/>
        </w:rPr>
      </w:pPr>
      <w:r>
        <w:rPr>
          <w:rFonts w:ascii="Arial" w:cs="Arial" w:eastAsia="Arial" w:hAnsi="Arial"/>
          <w:sz w:val="19"/>
          <w:szCs w:val="19"/>
          <w:color w:val="auto"/>
        </w:rPr>
        <w:t>Fonte:</w:t>
      </w:r>
      <w:r>
        <w:rPr>
          <w:rFonts w:ascii="Arial" w:cs="Arial" w:eastAsia="Arial" w:hAnsi="Arial"/>
          <w:sz w:val="20"/>
          <w:szCs w:val="20"/>
          <w:color w:val="auto"/>
        </w:rPr>
        <w:t xml:space="preserve"> :</w:t>
      </w:r>
      <w:r>
        <w:rPr>
          <w:rFonts w:ascii="Arial" w:cs="Arial" w:eastAsia="Arial" w:hAnsi="Arial"/>
          <w:sz w:val="19"/>
          <w:szCs w:val="19"/>
          <w:color w:val="auto"/>
        </w:rPr>
        <w:t xml:space="preserve"> in (FIPECAFI, 2005)</w:t>
      </w:r>
    </w:p>
    <w:p>
      <w:pPr>
        <w:sectPr>
          <w:pgSz w:w="11900" w:h="16838" w:orient="portrait"/>
          <w:cols w:equalWidth="0" w:num="1">
            <w:col w:w="9360"/>
          </w:cols>
          <w:pgMar w:left="1440" w:top="991" w:right="1106" w:bottom="980" w:gutter="0" w:footer="0" w:header="0"/>
          <w:type w:val="continuous"/>
        </w:sectPr>
      </w:pPr>
    </w:p>
    <w:tbl>
      <w:tblPr>
        <w:tblLayout w:type="fixed"/>
        <w:tblInd w:w="260" w:type="dxa"/>
        <w:tblCellMar>
          <w:top w:w="0" w:type="dxa"/>
          <w:left w:w="0" w:type="dxa"/>
          <w:bottom w:w="0" w:type="dxa"/>
          <w:right w:w="0" w:type="dxa"/>
        </w:tblCellMar>
      </w:tblPr>
      <w:tr>
        <w:trPr>
          <w:trHeight w:val="294"/>
        </w:trPr>
        <w:tc>
          <w:tcPr>
            <w:tcW w:w="156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1920" w:type="dxa"/>
            <w:vAlign w:val="bottom"/>
          </w:tcPr>
          <w:p>
            <w:pPr>
              <w:jc w:val="right"/>
              <w:spacing w:after="0"/>
              <w:rPr>
                <w:sz w:val="20"/>
                <w:szCs w:val="20"/>
                <w:color w:val="auto"/>
              </w:rPr>
            </w:pPr>
            <w:r>
              <w:rPr>
                <w:rFonts w:ascii="Arial" w:cs="Arial" w:eastAsia="Arial" w:hAnsi="Arial"/>
                <w:sz w:val="24"/>
                <w:szCs w:val="24"/>
                <w:color w:val="auto"/>
              </w:rPr>
              <w:t>27</w:t>
            </w:r>
          </w:p>
        </w:tc>
      </w:tr>
      <w:tr>
        <w:trPr>
          <w:trHeight w:val="666"/>
        </w:trPr>
        <w:tc>
          <w:tcPr>
            <w:tcW w:w="1560" w:type="dxa"/>
            <w:vAlign w:val="bottom"/>
          </w:tcPr>
          <w:p>
            <w:pPr>
              <w:spacing w:after="0"/>
              <w:rPr>
                <w:sz w:val="24"/>
                <w:szCs w:val="24"/>
                <w:color w:val="auto"/>
              </w:rPr>
            </w:pPr>
          </w:p>
        </w:tc>
        <w:tc>
          <w:tcPr>
            <w:tcW w:w="7500" w:type="dxa"/>
            <w:vAlign w:val="bottom"/>
            <w:gridSpan w:val="3"/>
          </w:tcPr>
          <w:p>
            <w:pPr>
              <w:jc w:val="center"/>
              <w:ind w:right="1436"/>
              <w:spacing w:after="0"/>
              <w:rPr>
                <w:sz w:val="20"/>
                <w:szCs w:val="20"/>
                <w:color w:val="auto"/>
              </w:rPr>
            </w:pPr>
            <w:r>
              <w:rPr>
                <w:rFonts w:ascii="Arial" w:cs="Arial" w:eastAsia="Arial" w:hAnsi="Arial"/>
                <w:sz w:val="22"/>
                <w:szCs w:val="22"/>
                <w:color w:val="auto"/>
                <w:w w:val="99"/>
              </w:rPr>
              <w:t>Figura 8 – Evolução do spread bancário Brasileiro até 2011</w:t>
            </w:r>
          </w:p>
        </w:tc>
      </w:tr>
      <w:tr>
        <w:trPr>
          <w:trHeight w:val="709"/>
        </w:trPr>
        <w:tc>
          <w:tcPr>
            <w:tcW w:w="1560" w:type="dxa"/>
            <w:vAlign w:val="bottom"/>
          </w:tcPr>
          <w:p>
            <w:pPr>
              <w:jc w:val="right"/>
              <w:ind w:right="907"/>
              <w:spacing w:after="0"/>
              <w:rPr>
                <w:sz w:val="20"/>
                <w:szCs w:val="20"/>
                <w:color w:val="auto"/>
              </w:rPr>
            </w:pPr>
            <w:r>
              <w:rPr>
                <w:rFonts w:ascii="Helvetica" w:cs="Helvetica" w:eastAsia="Helvetica" w:hAnsi="Helvetica"/>
                <w:sz w:val="18"/>
                <w:szCs w:val="18"/>
                <w:color w:val="4D4D4D"/>
              </w:rPr>
              <w:t>150</w:t>
            </w:r>
          </w:p>
        </w:tc>
        <w:tc>
          <w:tcPr>
            <w:tcW w:w="280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1920" w:type="dxa"/>
            <w:vAlign w:val="bottom"/>
          </w:tcPr>
          <w:p>
            <w:pPr>
              <w:spacing w:after="0"/>
              <w:rPr>
                <w:sz w:val="24"/>
                <w:szCs w:val="24"/>
                <w:color w:val="auto"/>
              </w:rPr>
            </w:pPr>
          </w:p>
        </w:tc>
      </w:tr>
      <w:tr>
        <w:trPr>
          <w:trHeight w:val="2118"/>
        </w:trPr>
        <w:tc>
          <w:tcPr>
            <w:tcW w:w="1560" w:type="dxa"/>
            <w:vAlign w:val="bottom"/>
          </w:tcPr>
          <w:p>
            <w:pPr>
              <w:jc w:val="right"/>
              <w:ind w:right="907"/>
              <w:spacing w:after="0"/>
              <w:rPr>
                <w:sz w:val="20"/>
                <w:szCs w:val="20"/>
                <w:color w:val="auto"/>
              </w:rPr>
            </w:pPr>
            <w:r>
              <w:rPr>
                <w:rFonts w:ascii="Helvetica" w:cs="Helvetica" w:eastAsia="Helvetica" w:hAnsi="Helvetica"/>
                <w:sz w:val="18"/>
                <w:szCs w:val="18"/>
                <w:color w:val="4D4D4D"/>
              </w:rPr>
              <w:t>100</w:t>
            </w:r>
          </w:p>
        </w:tc>
        <w:tc>
          <w:tcPr>
            <w:tcW w:w="280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1920" w:type="dxa"/>
            <w:vAlign w:val="bottom"/>
          </w:tcPr>
          <w:p>
            <w:pPr>
              <w:spacing w:after="0"/>
              <w:rPr>
                <w:sz w:val="24"/>
                <w:szCs w:val="24"/>
                <w:color w:val="auto"/>
              </w:rPr>
            </w:pPr>
          </w:p>
        </w:tc>
      </w:tr>
      <w:tr>
        <w:trPr>
          <w:trHeight w:val="859"/>
        </w:trPr>
        <w:tc>
          <w:tcPr>
            <w:tcW w:w="1560" w:type="dxa"/>
            <w:vAlign w:val="bottom"/>
            <w:textDirection w:val="btLr"/>
          </w:tcPr>
          <w:p>
            <w:pPr>
              <w:ind w:right="1214"/>
              <w:spacing w:after="0"/>
              <w:rPr>
                <w:sz w:val="20"/>
                <w:szCs w:val="20"/>
                <w:color w:val="auto"/>
              </w:rPr>
            </w:pPr>
            <w:r>
              <w:rPr>
                <w:rFonts w:ascii="Helvetica" w:cs="Helvetica" w:eastAsia="Helvetica" w:hAnsi="Helvetica"/>
                <w:sz w:val="22"/>
                <w:szCs w:val="22"/>
                <w:color w:val="auto"/>
                <w:w w:val="98"/>
              </w:rPr>
              <w:t>Spread</w:t>
            </w:r>
          </w:p>
        </w:tc>
        <w:tc>
          <w:tcPr>
            <w:tcW w:w="280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1920" w:type="dxa"/>
            <w:vAlign w:val="bottom"/>
          </w:tcPr>
          <w:p>
            <w:pPr>
              <w:spacing w:after="0"/>
              <w:rPr>
                <w:sz w:val="24"/>
                <w:szCs w:val="24"/>
                <w:color w:val="auto"/>
              </w:rPr>
            </w:pPr>
          </w:p>
        </w:tc>
      </w:tr>
      <w:tr>
        <w:trPr>
          <w:trHeight w:val="1260"/>
        </w:trPr>
        <w:tc>
          <w:tcPr>
            <w:tcW w:w="1560" w:type="dxa"/>
            <w:vAlign w:val="bottom"/>
          </w:tcPr>
          <w:p>
            <w:pPr>
              <w:jc w:val="right"/>
              <w:ind w:right="907"/>
              <w:spacing w:after="0"/>
              <w:rPr>
                <w:sz w:val="20"/>
                <w:szCs w:val="20"/>
                <w:color w:val="auto"/>
              </w:rPr>
            </w:pPr>
            <w:r>
              <w:rPr>
                <w:rFonts w:ascii="Helvetica" w:cs="Helvetica" w:eastAsia="Helvetica" w:hAnsi="Helvetica"/>
                <w:sz w:val="18"/>
                <w:szCs w:val="18"/>
                <w:color w:val="4D4D4D"/>
              </w:rPr>
              <w:t>50</w:t>
            </w:r>
          </w:p>
        </w:tc>
        <w:tc>
          <w:tcPr>
            <w:tcW w:w="280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1920" w:type="dxa"/>
            <w:vAlign w:val="bottom"/>
          </w:tcPr>
          <w:p>
            <w:pPr>
              <w:spacing w:after="0"/>
              <w:rPr>
                <w:sz w:val="24"/>
                <w:szCs w:val="24"/>
                <w:color w:val="auto"/>
              </w:rPr>
            </w:pPr>
          </w:p>
        </w:tc>
      </w:tr>
      <w:tr>
        <w:trPr>
          <w:trHeight w:val="1492"/>
        </w:trPr>
        <w:tc>
          <w:tcPr>
            <w:tcW w:w="1560" w:type="dxa"/>
            <w:vAlign w:val="bottom"/>
          </w:tcPr>
          <w:p>
            <w:pPr>
              <w:jc w:val="right"/>
              <w:ind w:right="7"/>
              <w:spacing w:after="0"/>
              <w:rPr>
                <w:sz w:val="20"/>
                <w:szCs w:val="20"/>
                <w:color w:val="auto"/>
              </w:rPr>
            </w:pPr>
            <w:r>
              <w:rPr>
                <w:rFonts w:ascii="Helvetica" w:cs="Helvetica" w:eastAsia="Helvetica" w:hAnsi="Helvetica"/>
                <w:sz w:val="18"/>
                <w:szCs w:val="18"/>
                <w:color w:val="4D4D4D"/>
              </w:rPr>
              <w:t>1995</w:t>
            </w:r>
          </w:p>
        </w:tc>
        <w:tc>
          <w:tcPr>
            <w:tcW w:w="2800" w:type="dxa"/>
            <w:vAlign w:val="bottom"/>
          </w:tcPr>
          <w:p>
            <w:pPr>
              <w:jc w:val="right"/>
              <w:ind w:right="741"/>
              <w:spacing w:after="0"/>
              <w:rPr>
                <w:sz w:val="20"/>
                <w:szCs w:val="20"/>
                <w:color w:val="auto"/>
              </w:rPr>
            </w:pPr>
            <w:r>
              <w:rPr>
                <w:rFonts w:ascii="Helvetica" w:cs="Helvetica" w:eastAsia="Helvetica" w:hAnsi="Helvetica"/>
                <w:sz w:val="18"/>
                <w:szCs w:val="18"/>
                <w:color w:val="4D4D4D"/>
              </w:rPr>
              <w:t>2000</w:t>
            </w:r>
          </w:p>
        </w:tc>
        <w:tc>
          <w:tcPr>
            <w:tcW w:w="2800" w:type="dxa"/>
            <w:vAlign w:val="bottom"/>
          </w:tcPr>
          <w:p>
            <w:pPr>
              <w:jc w:val="right"/>
              <w:ind w:right="1471"/>
              <w:spacing w:after="0"/>
              <w:rPr>
                <w:sz w:val="20"/>
                <w:szCs w:val="20"/>
                <w:color w:val="auto"/>
              </w:rPr>
            </w:pPr>
            <w:r>
              <w:rPr>
                <w:rFonts w:ascii="Helvetica" w:cs="Helvetica" w:eastAsia="Helvetica" w:hAnsi="Helvetica"/>
                <w:sz w:val="18"/>
                <w:szCs w:val="18"/>
                <w:color w:val="4D4D4D"/>
              </w:rPr>
              <w:t>2005</w:t>
            </w:r>
          </w:p>
        </w:tc>
        <w:tc>
          <w:tcPr>
            <w:tcW w:w="1920" w:type="dxa"/>
            <w:vAlign w:val="bottom"/>
          </w:tcPr>
          <w:p>
            <w:pPr>
              <w:jc w:val="right"/>
              <w:ind w:right="1296"/>
              <w:spacing w:after="0"/>
              <w:rPr>
                <w:sz w:val="20"/>
                <w:szCs w:val="20"/>
                <w:color w:val="auto"/>
              </w:rPr>
            </w:pPr>
            <w:r>
              <w:rPr>
                <w:rFonts w:ascii="Helvetica" w:cs="Helvetica" w:eastAsia="Helvetica" w:hAnsi="Helvetica"/>
                <w:sz w:val="18"/>
                <w:szCs w:val="18"/>
                <w:color w:val="4D4D4D"/>
              </w:rPr>
              <w:t>2010</w:t>
            </w:r>
          </w:p>
        </w:tc>
      </w:tr>
      <w:tr>
        <w:trPr>
          <w:trHeight w:val="522"/>
        </w:trPr>
        <w:tc>
          <w:tcPr>
            <w:tcW w:w="1560" w:type="dxa"/>
            <w:vAlign w:val="bottom"/>
          </w:tcPr>
          <w:p>
            <w:pPr>
              <w:spacing w:after="0"/>
              <w:rPr>
                <w:sz w:val="24"/>
                <w:szCs w:val="24"/>
                <w:color w:val="auto"/>
              </w:rPr>
            </w:pPr>
          </w:p>
        </w:tc>
        <w:tc>
          <w:tcPr>
            <w:tcW w:w="5600" w:type="dxa"/>
            <w:vAlign w:val="bottom"/>
            <w:gridSpan w:val="2"/>
          </w:tcPr>
          <w:p>
            <w:pPr>
              <w:jc w:val="center"/>
              <w:ind w:left="241"/>
              <w:spacing w:after="0"/>
              <w:rPr>
                <w:sz w:val="20"/>
                <w:szCs w:val="20"/>
                <w:color w:val="auto"/>
              </w:rPr>
            </w:pPr>
            <w:r>
              <w:rPr>
                <w:rFonts w:ascii="Arial" w:cs="Arial" w:eastAsia="Arial" w:hAnsi="Arial"/>
                <w:sz w:val="20"/>
                <w:szCs w:val="20"/>
                <w:color w:val="auto"/>
                <w:w w:val="99"/>
              </w:rPr>
              <w:t>Fonte:</w:t>
            </w:r>
            <w:r>
              <w:rPr>
                <w:rFonts w:ascii="Arial" w:cs="Arial" w:eastAsia="Arial" w:hAnsi="Arial"/>
                <w:sz w:val="21"/>
                <w:szCs w:val="21"/>
                <w:color w:val="auto"/>
                <w:w w:val="99"/>
              </w:rPr>
              <w:t xml:space="preserve"> :</w:t>
            </w:r>
            <w:r>
              <w:rPr>
                <w:rFonts w:ascii="Arial" w:cs="Arial" w:eastAsia="Arial" w:hAnsi="Arial"/>
                <w:sz w:val="20"/>
                <w:szCs w:val="20"/>
                <w:color w:val="auto"/>
                <w:w w:val="99"/>
              </w:rPr>
              <w:t xml:space="preserve"> Desenvolvido a partir de dados do Banco Central</w:t>
            </w:r>
          </w:p>
        </w:tc>
        <w:tc>
          <w:tcPr>
            <w:tcW w:w="192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551180</wp:posOffset>
            </wp:positionH>
            <wp:positionV relativeFrom="paragraph">
              <wp:posOffset>-4102100</wp:posOffset>
            </wp:positionV>
            <wp:extent cx="5364480" cy="363728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3">
                      <a:extLst>
                        <a:ext uri="{28A0092B-C50C-407E-A947-70E740481C1C}"/>
                      </a:extLst>
                    </a:blip>
                    <a:srcRect/>
                    <a:stretch>
                      <a:fillRect/>
                    </a:stretch>
                  </pic:blipFill>
                  <pic:spPr bwMode="auto">
                    <a:xfrm>
                      <a:off x="0" y="0"/>
                      <a:ext cx="5364480" cy="3637280"/>
                    </a:xfrm>
                    <a:prstGeom prst="rect">
                      <a:avLst/>
                    </a:prstGeom>
                    <a:noFill/>
                  </pic:spPr>
                </pic:pic>
              </a:graphicData>
            </a:graphic>
          </wp:anchor>
        </w:drawing>
      </w:r>
    </w:p>
    <w:p>
      <w:pPr>
        <w:spacing w:after="0" w:line="200" w:lineRule="exact"/>
        <w:rPr>
          <w:sz w:val="20"/>
          <w:szCs w:val="20"/>
          <w:color w:val="auto"/>
        </w:rPr>
      </w:pPr>
    </w:p>
    <w:p>
      <w:pPr>
        <w:spacing w:after="0" w:line="400" w:lineRule="exact"/>
        <w:rPr>
          <w:sz w:val="20"/>
          <w:szCs w:val="20"/>
          <w:color w:val="auto"/>
        </w:rPr>
      </w:pPr>
    </w:p>
    <w:p>
      <w:pPr>
        <w:jc w:val="both"/>
        <w:ind w:left="260"/>
        <w:spacing w:after="0" w:line="293" w:lineRule="auto"/>
        <w:rPr>
          <w:sz w:val="20"/>
          <w:szCs w:val="20"/>
          <w:color w:val="auto"/>
        </w:rPr>
      </w:pPr>
      <w:r>
        <w:rPr>
          <w:rFonts w:ascii="Arial" w:cs="Arial" w:eastAsia="Arial" w:hAnsi="Arial"/>
          <w:sz w:val="24"/>
          <w:szCs w:val="24"/>
          <w:color w:val="auto"/>
        </w:rPr>
        <w:t>desse período, atingindo 24.69% ao final do período. Esta série foi descontinuada em 2012, passando a ser utilizada nova metodologia de cálculo</w:t>
      </w:r>
      <w:r>
        <w:rPr>
          <w:rFonts w:ascii="Arial" w:cs="Arial" w:eastAsia="Arial" w:hAnsi="Arial"/>
          <w:sz w:val="31"/>
          <w:szCs w:val="31"/>
          <w:color w:val="auto"/>
        </w:rPr>
        <w:t xml:space="preserve"> </w:t>
      </w:r>
      <w:r>
        <w:rPr>
          <w:rFonts w:ascii="Arial" w:cs="Arial" w:eastAsia="Arial" w:hAnsi="Arial"/>
          <w:sz w:val="31"/>
          <w:szCs w:val="31"/>
          <w:color w:val="auto"/>
          <w:vertAlign w:val="superscript"/>
        </w:rPr>
        <w:t>6</w:t>
      </w:r>
      <w:r>
        <w:rPr>
          <w:rFonts w:ascii="Arial" w:cs="Arial" w:eastAsia="Arial" w:hAnsi="Arial"/>
          <w:sz w:val="24"/>
          <w:szCs w:val="24"/>
          <w:color w:val="auto"/>
        </w:rPr>
        <w:t>.</w:t>
      </w:r>
    </w:p>
    <w:p>
      <w:pPr>
        <w:spacing w:after="0" w:line="65"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O Banco Central, até 2007 utilizava metodologia para avaliação do spread bancário contemplando somente os recursos livres, o que não vinha a proporcionar uma avaliação mais aprofundada. Em 2008 houve uma modificação na metodologia de decomposição do spread, alterando o cálculo do custo médio de captação e detalhando classificações do crédito (DANTAS, 2012)</w:t>
      </w:r>
    </w:p>
    <w:p>
      <w:pPr>
        <w:spacing w:after="0" w:line="101" w:lineRule="exact"/>
        <w:rPr>
          <w:sz w:val="20"/>
          <w:szCs w:val="20"/>
          <w:color w:val="auto"/>
        </w:rPr>
      </w:pPr>
    </w:p>
    <w:p>
      <w:pPr>
        <w:jc w:val="both"/>
        <w:ind w:left="260" w:firstLine="850"/>
        <w:spacing w:after="0" w:line="317" w:lineRule="auto"/>
        <w:rPr>
          <w:sz w:val="20"/>
          <w:szCs w:val="20"/>
          <w:color w:val="auto"/>
        </w:rPr>
      </w:pPr>
      <w:r>
        <w:rPr>
          <w:rFonts w:ascii="Arial" w:cs="Arial" w:eastAsia="Arial" w:hAnsi="Arial"/>
          <w:sz w:val="24"/>
          <w:szCs w:val="24"/>
          <w:color w:val="auto"/>
        </w:rPr>
        <w:t>Para o custo médio de captação passou a se utilizar a taxa média ponderada entre as taxas dos depósitos à prazo (CDB), em caderneta de poupança e à vista, a participação dos custos efetivos dos recolhimentos compulsórios em detrimento do custo de oportunidade (DANTAS, 2012)</w:t>
      </w:r>
    </w:p>
    <w:p>
      <w:pPr>
        <w:spacing w:after="0" w:line="96" w:lineRule="exact"/>
        <w:rPr>
          <w:sz w:val="20"/>
          <w:szCs w:val="20"/>
          <w:color w:val="auto"/>
        </w:rPr>
      </w:pPr>
    </w:p>
    <w:p>
      <w:pPr>
        <w:jc w:val="both"/>
        <w:ind w:left="260" w:firstLine="850"/>
        <w:spacing w:after="0" w:line="352" w:lineRule="auto"/>
        <w:rPr>
          <w:sz w:val="20"/>
          <w:szCs w:val="20"/>
          <w:color w:val="auto"/>
        </w:rPr>
      </w:pPr>
      <w:r>
        <w:rPr>
          <w:rFonts w:ascii="Arial" w:cs="Arial" w:eastAsia="Arial" w:hAnsi="Arial"/>
          <w:sz w:val="23"/>
          <w:szCs w:val="23"/>
          <w:color w:val="auto"/>
        </w:rPr>
        <w:t>O BACEN mantém atualmente duas séries para o indicador: spread médio das operações de crédito (MOC) e Spread do Indicador de Custo de Crédito (ICC). 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203200</wp:posOffset>
                </wp:positionV>
                <wp:extent cx="230251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6pt" to="194.25pt,16pt" o:allowincell="f" strokecolor="#000000" strokeweight="0.398pt"/>
            </w:pict>
          </mc:Fallback>
        </mc:AlternateContent>
      </w:r>
    </w:p>
    <w:p>
      <w:pPr>
        <w:sectPr>
          <w:pgSz w:w="11900" w:h="16838" w:orient="portrait"/>
          <w:cols w:equalWidth="0" w:num="1">
            <w:col w:w="9320"/>
          </w:cols>
          <w:pgMar w:left="1440" w:top="991" w:right="1146" w:bottom="1059" w:gutter="0" w:footer="0" w:header="0"/>
        </w:sectPr>
      </w:pPr>
    </w:p>
    <w:p>
      <w:pPr>
        <w:spacing w:after="0" w:line="293" w:lineRule="exact"/>
        <w:rPr>
          <w:sz w:val="20"/>
          <w:szCs w:val="20"/>
          <w:color w:val="auto"/>
        </w:rPr>
      </w:pPr>
    </w:p>
    <w:p>
      <w:pPr>
        <w:ind w:left="540" w:hanging="281"/>
        <w:spacing w:after="0"/>
        <w:tabs>
          <w:tab w:leader="none" w:pos="540" w:val="left"/>
        </w:tabs>
        <w:numPr>
          <w:ilvl w:val="0"/>
          <w:numId w:val="14"/>
        </w:numPr>
        <w:rPr>
          <w:rFonts w:ascii="Arial" w:cs="Arial" w:eastAsia="Arial" w:hAnsi="Arial"/>
          <w:sz w:val="27"/>
          <w:szCs w:val="27"/>
          <w:color w:val="auto"/>
          <w:vertAlign w:val="superscript"/>
        </w:rPr>
      </w:pPr>
      <w:r>
        <w:rPr>
          <w:rFonts w:ascii="Arial" w:cs="Arial" w:eastAsia="Arial" w:hAnsi="Arial"/>
          <w:sz w:val="19"/>
          <w:szCs w:val="19"/>
          <w:color w:val="FF0000"/>
        </w:rPr>
        <w:t>comentar sobre a nova metodologia</w:t>
      </w:r>
    </w:p>
    <w:p>
      <w:pPr>
        <w:sectPr>
          <w:pgSz w:w="11900" w:h="16838" w:orient="portrait"/>
          <w:cols w:equalWidth="0" w:num="1">
            <w:col w:w="9320"/>
          </w:cols>
          <w:pgMar w:left="1440" w:top="991" w:right="1146" w:bottom="1059" w:gutter="0" w:footer="0" w:header="0"/>
          <w:type w:val="continuous"/>
        </w:sectPr>
      </w:pPr>
    </w:p>
    <w:p>
      <w:pPr>
        <w:jc w:val="right"/>
        <w:ind w:right="40"/>
        <w:spacing w:after="0"/>
        <w:rPr>
          <w:sz w:val="20"/>
          <w:szCs w:val="20"/>
          <w:color w:val="auto"/>
        </w:rPr>
      </w:pPr>
      <w:r>
        <w:rPr>
          <w:rFonts w:ascii="Arial" w:cs="Arial" w:eastAsia="Arial" w:hAnsi="Arial"/>
          <w:sz w:val="24"/>
          <w:szCs w:val="24"/>
          <w:color w:val="auto"/>
        </w:rPr>
        <w:t>28</w:t>
      </w:r>
    </w:p>
    <w:p>
      <w:pPr>
        <w:spacing w:after="0" w:line="200" w:lineRule="exact"/>
        <w:rPr>
          <w:sz w:val="20"/>
          <w:szCs w:val="20"/>
          <w:color w:val="auto"/>
        </w:rPr>
      </w:pPr>
    </w:p>
    <w:p>
      <w:pPr>
        <w:spacing w:after="0" w:line="246" w:lineRule="exact"/>
        <w:rPr>
          <w:sz w:val="20"/>
          <w:szCs w:val="20"/>
          <w:color w:val="auto"/>
        </w:rPr>
      </w:pPr>
    </w:p>
    <w:p>
      <w:pPr>
        <w:jc w:val="both"/>
        <w:ind w:left="260" w:right="40"/>
        <w:spacing w:after="0" w:line="327" w:lineRule="auto"/>
        <w:rPr>
          <w:sz w:val="20"/>
          <w:szCs w:val="20"/>
          <w:color w:val="auto"/>
        </w:rPr>
      </w:pPr>
      <w:r>
        <w:rPr>
          <w:rFonts w:ascii="Arial" w:cs="Arial" w:eastAsia="Arial" w:hAnsi="Arial"/>
          <w:sz w:val="24"/>
          <w:szCs w:val="24"/>
          <w:color w:val="auto"/>
        </w:rPr>
        <w:t>séries são disponibilizadas em termos totais e nas subdivisões de tipo de recursos, tipo de crédito e tomador.</w:t>
      </w:r>
    </w:p>
    <w:p>
      <w:pPr>
        <w:spacing w:after="0" w:line="85"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Estas séries estatísticas representam estimativas baseadas nas informações repassadas pelas instituições bancárias das taxas de juros das operações de crédito e indicadores do mercado financeiro do custo médio do dinheiro para o custo médio de captação (BACEN, 2016).</w:t>
      </w:r>
    </w:p>
    <w:p>
      <w:pPr>
        <w:spacing w:after="0" w:line="96"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A série do Spread médio das operações de crédito é calculada a partir da diferença entre a taxa média de juros de novas operações de crédito no SFN e o custo de captação referencial médio de operações de crédito livre, direcionado e não rotativo podendo ser observados por tomador.</w:t>
      </w:r>
    </w:p>
    <w:p>
      <w:pPr>
        <w:sectPr>
          <w:pgSz w:w="11900" w:h="16838" w:orient="portrait"/>
          <w:cols w:equalWidth="0" w:num="1">
            <w:col w:w="9360"/>
          </w:cols>
          <w:pgMar w:left="1440" w:top="991" w:right="1106" w:bottom="7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tbl>
      <w:tblPr>
        <w:tblLayout w:type="fixed"/>
        <w:tblInd w:w="221" w:type="dxa"/>
        <w:tblCellMar>
          <w:top w:w="0" w:type="dxa"/>
          <w:left w:w="0" w:type="dxa"/>
          <w:bottom w:w="0" w:type="dxa"/>
          <w:right w:w="0" w:type="dxa"/>
        </w:tblCellMar>
      </w:tblPr>
      <w:tr>
        <w:trPr>
          <w:trHeight w:val="820"/>
        </w:trPr>
        <w:tc>
          <w:tcPr>
            <w:tcW w:w="253" w:type="dxa"/>
            <w:vAlign w:val="bottom"/>
            <w:textDirection w:val="btLr"/>
          </w:tcPr>
          <w:p>
            <w:pPr>
              <w:spacing w:after="0"/>
              <w:rPr>
                <w:sz w:val="20"/>
                <w:szCs w:val="20"/>
                <w:color w:val="auto"/>
              </w:rPr>
            </w:pPr>
            <w:r>
              <w:rPr>
                <w:rFonts w:ascii="Helvetica" w:cs="Helvetica" w:eastAsia="Helvetica" w:hAnsi="Helvetica"/>
                <w:sz w:val="22"/>
                <w:szCs w:val="22"/>
                <w:color w:val="auto"/>
              </w:rPr>
              <w:t>Spreads</w:t>
            </w:r>
          </w:p>
        </w:tc>
      </w:tr>
    </w:tbl>
    <w:p>
      <w:pPr>
        <w:spacing w:after="0" w:line="20" w:lineRule="exact"/>
        <w:rPr>
          <w:sz w:val="20"/>
          <w:szCs w:val="20"/>
          <w:color w:val="auto"/>
        </w:rPr>
      </w:pPr>
      <w:r>
        <w:rPr>
          <w:sz w:val="20"/>
          <w:szCs w:val="20"/>
          <w:color w:val="auto"/>
        </w:rPr>
        <w:br w:type="column"/>
      </w:r>
    </w:p>
    <w:p>
      <w:pPr>
        <w:spacing w:after="0" w:line="13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69"/>
        </w:trPr>
        <w:tc>
          <w:tcPr>
            <w:tcW w:w="8060" w:type="dxa"/>
            <w:vAlign w:val="bottom"/>
            <w:gridSpan w:val="5"/>
          </w:tcPr>
          <w:p>
            <w:pPr>
              <w:jc w:val="center"/>
              <w:ind w:left="408"/>
              <w:spacing w:after="0"/>
              <w:rPr>
                <w:sz w:val="20"/>
                <w:szCs w:val="20"/>
                <w:color w:val="auto"/>
              </w:rPr>
            </w:pPr>
            <w:r>
              <w:rPr>
                <w:rFonts w:ascii="Arial" w:cs="Arial" w:eastAsia="Arial" w:hAnsi="Arial"/>
                <w:sz w:val="22"/>
                <w:szCs w:val="22"/>
                <w:color w:val="auto"/>
                <w:w w:val="98"/>
              </w:rPr>
              <w:t>Figura 9 – Evolução do Spread médio das operações de crédito</w:t>
            </w:r>
          </w:p>
        </w:tc>
      </w:tr>
      <w:tr>
        <w:trPr>
          <w:trHeight w:val="1022"/>
        </w:trPr>
        <w:tc>
          <w:tcPr>
            <w:tcW w:w="2800" w:type="dxa"/>
            <w:vAlign w:val="bottom"/>
          </w:tcPr>
          <w:p>
            <w:pPr>
              <w:jc w:val="right"/>
              <w:ind w:right="2508"/>
              <w:spacing w:after="0"/>
              <w:rPr>
                <w:sz w:val="20"/>
                <w:szCs w:val="20"/>
                <w:color w:val="auto"/>
              </w:rPr>
            </w:pPr>
            <w:r>
              <w:rPr>
                <w:rFonts w:ascii="Helvetica" w:cs="Helvetica" w:eastAsia="Helvetica" w:hAnsi="Helvetica"/>
                <w:sz w:val="18"/>
                <w:szCs w:val="18"/>
                <w:color w:val="4D4D4D"/>
                <w:w w:val="89"/>
              </w:rPr>
              <w:t>40</w:t>
            </w:r>
          </w:p>
        </w:tc>
        <w:tc>
          <w:tcPr>
            <w:tcW w:w="11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740" w:type="dxa"/>
            <w:vAlign w:val="bottom"/>
          </w:tcPr>
          <w:p>
            <w:pPr>
              <w:spacing w:after="0"/>
              <w:rPr>
                <w:sz w:val="24"/>
                <w:szCs w:val="24"/>
                <w:color w:val="auto"/>
              </w:rPr>
            </w:pPr>
          </w:p>
        </w:tc>
      </w:tr>
      <w:tr>
        <w:trPr>
          <w:trHeight w:val="1196"/>
        </w:trPr>
        <w:tc>
          <w:tcPr>
            <w:tcW w:w="2800" w:type="dxa"/>
            <w:vAlign w:val="bottom"/>
          </w:tcPr>
          <w:p>
            <w:pPr>
              <w:jc w:val="right"/>
              <w:ind w:right="2508"/>
              <w:spacing w:after="0"/>
              <w:rPr>
                <w:sz w:val="20"/>
                <w:szCs w:val="20"/>
                <w:color w:val="auto"/>
              </w:rPr>
            </w:pPr>
            <w:r>
              <w:rPr>
                <w:rFonts w:ascii="Helvetica" w:cs="Helvetica" w:eastAsia="Helvetica" w:hAnsi="Helvetica"/>
                <w:sz w:val="18"/>
                <w:szCs w:val="18"/>
                <w:color w:val="4D4D4D"/>
                <w:w w:val="89"/>
              </w:rPr>
              <w:t>30</w:t>
            </w:r>
          </w:p>
        </w:tc>
        <w:tc>
          <w:tcPr>
            <w:tcW w:w="11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740" w:type="dxa"/>
            <w:vAlign w:val="bottom"/>
          </w:tcPr>
          <w:p>
            <w:pPr>
              <w:spacing w:after="0"/>
              <w:rPr>
                <w:sz w:val="24"/>
                <w:szCs w:val="24"/>
                <w:color w:val="auto"/>
              </w:rPr>
            </w:pPr>
          </w:p>
        </w:tc>
      </w:tr>
      <w:tr>
        <w:trPr>
          <w:trHeight w:val="1196"/>
        </w:trPr>
        <w:tc>
          <w:tcPr>
            <w:tcW w:w="2800" w:type="dxa"/>
            <w:vAlign w:val="bottom"/>
          </w:tcPr>
          <w:p>
            <w:pPr>
              <w:jc w:val="right"/>
              <w:ind w:right="2508"/>
              <w:spacing w:after="0"/>
              <w:rPr>
                <w:sz w:val="20"/>
                <w:szCs w:val="20"/>
                <w:color w:val="auto"/>
              </w:rPr>
            </w:pPr>
            <w:r>
              <w:rPr>
                <w:rFonts w:ascii="Helvetica" w:cs="Helvetica" w:eastAsia="Helvetica" w:hAnsi="Helvetica"/>
                <w:sz w:val="18"/>
                <w:szCs w:val="18"/>
                <w:color w:val="4D4D4D"/>
                <w:w w:val="89"/>
              </w:rPr>
              <w:t>20</w:t>
            </w:r>
          </w:p>
        </w:tc>
        <w:tc>
          <w:tcPr>
            <w:tcW w:w="11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740" w:type="dxa"/>
            <w:vAlign w:val="bottom"/>
          </w:tcPr>
          <w:p>
            <w:pPr>
              <w:spacing w:after="0"/>
              <w:rPr>
                <w:sz w:val="24"/>
                <w:szCs w:val="24"/>
                <w:color w:val="auto"/>
              </w:rPr>
            </w:pPr>
          </w:p>
        </w:tc>
      </w:tr>
      <w:tr>
        <w:trPr>
          <w:trHeight w:val="1196"/>
        </w:trPr>
        <w:tc>
          <w:tcPr>
            <w:tcW w:w="2800" w:type="dxa"/>
            <w:vAlign w:val="bottom"/>
          </w:tcPr>
          <w:p>
            <w:pPr>
              <w:jc w:val="right"/>
              <w:ind w:right="2508"/>
              <w:spacing w:after="0"/>
              <w:rPr>
                <w:sz w:val="20"/>
                <w:szCs w:val="20"/>
                <w:color w:val="auto"/>
              </w:rPr>
            </w:pPr>
            <w:r>
              <w:rPr>
                <w:rFonts w:ascii="Helvetica" w:cs="Helvetica" w:eastAsia="Helvetica" w:hAnsi="Helvetica"/>
                <w:sz w:val="18"/>
                <w:szCs w:val="18"/>
                <w:color w:val="4D4D4D"/>
                <w:w w:val="89"/>
              </w:rPr>
              <w:t>10</w:t>
            </w:r>
          </w:p>
        </w:tc>
        <w:tc>
          <w:tcPr>
            <w:tcW w:w="1140" w:type="dxa"/>
            <w:vAlign w:val="bottom"/>
          </w:tcPr>
          <w:p>
            <w:pPr>
              <w:spacing w:after="0"/>
              <w:rPr>
                <w:sz w:val="24"/>
                <w:szCs w:val="24"/>
                <w:color w:val="auto"/>
              </w:rPr>
            </w:pPr>
          </w:p>
        </w:tc>
        <w:tc>
          <w:tcPr>
            <w:tcW w:w="86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740" w:type="dxa"/>
            <w:vAlign w:val="bottom"/>
          </w:tcPr>
          <w:p>
            <w:pPr>
              <w:spacing w:after="0"/>
              <w:rPr>
                <w:sz w:val="24"/>
                <w:szCs w:val="24"/>
                <w:color w:val="auto"/>
              </w:rPr>
            </w:pPr>
          </w:p>
        </w:tc>
      </w:tr>
      <w:tr>
        <w:trPr>
          <w:trHeight w:val="1311"/>
        </w:trPr>
        <w:tc>
          <w:tcPr>
            <w:tcW w:w="2800" w:type="dxa"/>
            <w:vAlign w:val="bottom"/>
          </w:tcPr>
          <w:p>
            <w:pPr>
              <w:jc w:val="right"/>
              <w:ind w:right="828"/>
              <w:spacing w:after="0"/>
              <w:rPr>
                <w:sz w:val="20"/>
                <w:szCs w:val="20"/>
                <w:color w:val="auto"/>
              </w:rPr>
            </w:pPr>
            <w:r>
              <w:rPr>
                <w:rFonts w:ascii="Helvetica" w:cs="Helvetica" w:eastAsia="Helvetica" w:hAnsi="Helvetica"/>
                <w:sz w:val="18"/>
                <w:szCs w:val="18"/>
                <w:color w:val="4D4D4D"/>
              </w:rPr>
              <w:t>2014</w:t>
            </w:r>
          </w:p>
        </w:tc>
        <w:tc>
          <w:tcPr>
            <w:tcW w:w="1140" w:type="dxa"/>
            <w:vAlign w:val="bottom"/>
          </w:tcPr>
          <w:p>
            <w:pPr>
              <w:jc w:val="right"/>
              <w:ind w:right="11"/>
              <w:spacing w:after="0"/>
              <w:rPr>
                <w:sz w:val="20"/>
                <w:szCs w:val="20"/>
                <w:color w:val="auto"/>
              </w:rPr>
            </w:pPr>
            <w:r>
              <w:rPr>
                <w:rFonts w:ascii="Helvetica" w:cs="Helvetica" w:eastAsia="Helvetica" w:hAnsi="Helvetica"/>
                <w:sz w:val="18"/>
                <w:szCs w:val="18"/>
                <w:color w:val="4D4D4D"/>
              </w:rPr>
              <w:t>2016</w:t>
            </w:r>
          </w:p>
        </w:tc>
        <w:tc>
          <w:tcPr>
            <w:tcW w:w="860" w:type="dxa"/>
            <w:vAlign w:val="bottom"/>
          </w:tcPr>
          <w:p>
            <w:pPr>
              <w:spacing w:after="0"/>
              <w:rPr>
                <w:sz w:val="24"/>
                <w:szCs w:val="24"/>
                <w:color w:val="auto"/>
              </w:rPr>
            </w:pPr>
          </w:p>
        </w:tc>
        <w:tc>
          <w:tcPr>
            <w:tcW w:w="1540" w:type="dxa"/>
            <w:vAlign w:val="bottom"/>
          </w:tcPr>
          <w:p>
            <w:pPr>
              <w:jc w:val="right"/>
              <w:ind w:right="431"/>
              <w:spacing w:after="0"/>
              <w:rPr>
                <w:sz w:val="20"/>
                <w:szCs w:val="20"/>
                <w:color w:val="auto"/>
              </w:rPr>
            </w:pPr>
            <w:r>
              <w:rPr>
                <w:rFonts w:ascii="Helvetica" w:cs="Helvetica" w:eastAsia="Helvetica" w:hAnsi="Helvetica"/>
                <w:sz w:val="18"/>
                <w:szCs w:val="18"/>
                <w:color w:val="4D4D4D"/>
              </w:rPr>
              <w:t>2018</w:t>
            </w:r>
          </w:p>
        </w:tc>
        <w:tc>
          <w:tcPr>
            <w:tcW w:w="1740" w:type="dxa"/>
            <w:vAlign w:val="bottom"/>
          </w:tcPr>
          <w:p>
            <w:pPr>
              <w:jc w:val="right"/>
              <w:ind w:right="191"/>
              <w:spacing w:after="0"/>
              <w:rPr>
                <w:sz w:val="20"/>
                <w:szCs w:val="20"/>
                <w:color w:val="auto"/>
              </w:rPr>
            </w:pPr>
            <w:r>
              <w:rPr>
                <w:rFonts w:ascii="Helvetica" w:cs="Helvetica" w:eastAsia="Helvetica" w:hAnsi="Helvetica"/>
                <w:sz w:val="18"/>
                <w:szCs w:val="18"/>
                <w:color w:val="4D4D4D"/>
              </w:rPr>
              <w:t>2020</w:t>
            </w:r>
          </w:p>
        </w:tc>
      </w:tr>
      <w:tr>
        <w:trPr>
          <w:trHeight w:val="600"/>
        </w:trPr>
        <w:tc>
          <w:tcPr>
            <w:tcW w:w="2800" w:type="dxa"/>
            <w:vAlign w:val="bottom"/>
          </w:tcPr>
          <w:p>
            <w:pPr>
              <w:jc w:val="right"/>
              <w:ind w:right="188"/>
              <w:spacing w:after="0"/>
              <w:rPr>
                <w:sz w:val="20"/>
                <w:szCs w:val="20"/>
                <w:color w:val="auto"/>
              </w:rPr>
            </w:pPr>
            <w:r>
              <w:rPr>
                <w:rFonts w:ascii="Helvetica" w:cs="Helvetica" w:eastAsia="Helvetica" w:hAnsi="Helvetica"/>
                <w:sz w:val="18"/>
                <w:szCs w:val="18"/>
                <w:color w:val="auto"/>
              </w:rPr>
              <w:t>Direcionado</w:t>
            </w:r>
          </w:p>
        </w:tc>
        <w:tc>
          <w:tcPr>
            <w:tcW w:w="1140" w:type="dxa"/>
            <w:vAlign w:val="bottom"/>
          </w:tcPr>
          <w:p>
            <w:pPr>
              <w:jc w:val="right"/>
              <w:ind w:right="391"/>
              <w:spacing w:after="0"/>
              <w:rPr>
                <w:sz w:val="20"/>
                <w:szCs w:val="20"/>
                <w:color w:val="auto"/>
              </w:rPr>
            </w:pPr>
            <w:r>
              <w:rPr>
                <w:rFonts w:ascii="Helvetica" w:cs="Helvetica" w:eastAsia="Helvetica" w:hAnsi="Helvetica"/>
                <w:sz w:val="18"/>
                <w:szCs w:val="18"/>
                <w:color w:val="auto"/>
              </w:rPr>
              <w:t>Livre</w:t>
            </w:r>
          </w:p>
        </w:tc>
        <w:tc>
          <w:tcPr>
            <w:tcW w:w="860" w:type="dxa"/>
            <w:vAlign w:val="bottom"/>
          </w:tcPr>
          <w:p>
            <w:pPr>
              <w:jc w:val="center"/>
              <w:ind w:right="111"/>
              <w:spacing w:after="0"/>
              <w:rPr>
                <w:sz w:val="20"/>
                <w:szCs w:val="20"/>
                <w:color w:val="auto"/>
              </w:rPr>
            </w:pPr>
            <w:r>
              <w:rPr>
                <w:rFonts w:ascii="Helvetica" w:cs="Helvetica" w:eastAsia="Helvetica" w:hAnsi="Helvetica"/>
                <w:sz w:val="18"/>
                <w:szCs w:val="18"/>
                <w:color w:val="auto"/>
              </w:rPr>
              <w:t>Médio</w:t>
            </w:r>
          </w:p>
        </w:tc>
        <w:tc>
          <w:tcPr>
            <w:tcW w:w="1540" w:type="dxa"/>
            <w:vAlign w:val="bottom"/>
          </w:tcPr>
          <w:p>
            <w:pPr>
              <w:jc w:val="right"/>
              <w:ind w:right="211"/>
              <w:spacing w:after="0"/>
              <w:rPr>
                <w:sz w:val="20"/>
                <w:szCs w:val="20"/>
                <w:color w:val="auto"/>
              </w:rPr>
            </w:pPr>
            <w:r>
              <w:rPr>
                <w:rFonts w:ascii="Helvetica" w:cs="Helvetica" w:eastAsia="Helvetica" w:hAnsi="Helvetica"/>
                <w:sz w:val="18"/>
                <w:szCs w:val="18"/>
                <w:color w:val="auto"/>
              </w:rPr>
              <w:t>Não.Rotativo</w:t>
            </w:r>
          </w:p>
        </w:tc>
        <w:tc>
          <w:tcPr>
            <w:tcW w:w="1740" w:type="dxa"/>
            <w:vAlign w:val="bottom"/>
          </w:tcPr>
          <w:p>
            <w:pPr>
              <w:jc w:val="right"/>
              <w:spacing w:after="0"/>
              <w:rPr>
                <w:sz w:val="20"/>
                <w:szCs w:val="20"/>
                <w:color w:val="auto"/>
              </w:rPr>
            </w:pPr>
            <w:r>
              <w:rPr>
                <w:rFonts w:ascii="Helvetica" w:cs="Helvetica" w:eastAsia="Helvetica" w:hAnsi="Helvetica"/>
                <w:sz w:val="18"/>
                <w:szCs w:val="18"/>
                <w:color w:val="auto"/>
              </w:rPr>
              <w:t>Não.Rotativo.Livre</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-3822700</wp:posOffset>
            </wp:positionV>
            <wp:extent cx="5427345" cy="386588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4">
                      <a:extLst>
                        <a:ext uri="{28A0092B-C50C-407E-A947-70E740481C1C}"/>
                      </a:extLst>
                    </a:blip>
                    <a:srcRect/>
                    <a:stretch>
                      <a:fillRect/>
                    </a:stretch>
                  </pic:blipFill>
                  <pic:spPr bwMode="auto">
                    <a:xfrm>
                      <a:off x="0" y="0"/>
                      <a:ext cx="5427345" cy="3865880"/>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474" w:space="46"/>
            <w:col w:w="8840"/>
          </w:cols>
          <w:pgMar w:left="1440" w:top="991" w:right="1106" w:bottom="748" w:gutter="0" w:footer="0" w:header="0"/>
          <w:type w:val="continuous"/>
        </w:sectPr>
      </w:pPr>
    </w:p>
    <w:p>
      <w:pPr>
        <w:spacing w:after="0" w:line="168" w:lineRule="exact"/>
        <w:rPr>
          <w:sz w:val="20"/>
          <w:szCs w:val="20"/>
          <w:color w:val="auto"/>
        </w:rPr>
      </w:pPr>
    </w:p>
    <w:p>
      <w:pPr>
        <w:ind w:left="38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 do Brasil — Departamento de Estatísticas</w:t>
      </w:r>
    </w:p>
    <w:p>
      <w:pPr>
        <w:spacing w:after="0" w:line="200" w:lineRule="exact"/>
        <w:rPr>
          <w:sz w:val="20"/>
          <w:szCs w:val="20"/>
          <w:color w:val="auto"/>
        </w:rPr>
      </w:pPr>
    </w:p>
    <w:p>
      <w:pPr>
        <w:spacing w:after="0" w:line="398"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A Figura 9 mostra a visualização da evolução mensal do spread médio das novas operações de crédito contratadas entre janeiro de 2013 e julho de 2020. No período entre 2014 e 2017 se visualiza uma elevação de 10 p.p no spread total, recuando 8 p.p a patamar próximo ao início do período. É possível notar a grande disparidade entre os spread de recursos livres e direcionados.</w:t>
      </w:r>
    </w:p>
    <w:p>
      <w:pPr>
        <w:sectPr>
          <w:pgSz w:w="11900" w:h="16838" w:orient="portrait"/>
          <w:cols w:equalWidth="0" w:num="1">
            <w:col w:w="9360"/>
          </w:cols>
          <w:pgMar w:left="1440" w:top="991" w:right="1106" w:bottom="748" w:gutter="0" w:footer="0" w:header="0"/>
          <w:type w:val="continuous"/>
        </w:sectPr>
      </w:pPr>
    </w:p>
    <w:p>
      <w:pPr>
        <w:ind w:left="9060"/>
        <w:spacing w:after="0"/>
        <w:rPr>
          <w:sz w:val="20"/>
          <w:szCs w:val="20"/>
          <w:color w:val="auto"/>
        </w:rPr>
      </w:pPr>
      <w:r>
        <w:rPr>
          <w:rFonts w:ascii="Arial" w:cs="Arial" w:eastAsia="Arial" w:hAnsi="Arial"/>
          <w:sz w:val="23"/>
          <w:szCs w:val="23"/>
          <w:color w:val="auto"/>
        </w:rPr>
        <w:t>29</w:t>
      </w:r>
    </w:p>
    <w:p>
      <w:pPr>
        <w:spacing w:after="0" w:line="200" w:lineRule="exact"/>
        <w:rPr>
          <w:sz w:val="20"/>
          <w:szCs w:val="20"/>
          <w:color w:val="auto"/>
        </w:rPr>
      </w:pPr>
    </w:p>
    <w:p>
      <w:pPr>
        <w:spacing w:after="0" w:line="257" w:lineRule="exact"/>
        <w:rPr>
          <w:sz w:val="20"/>
          <w:szCs w:val="20"/>
          <w:color w:val="auto"/>
        </w:rPr>
      </w:pPr>
    </w:p>
    <w:p>
      <w:pPr>
        <w:jc w:val="both"/>
        <w:ind w:left="260" w:firstLine="850"/>
        <w:spacing w:after="0" w:line="334" w:lineRule="auto"/>
        <w:rPr>
          <w:sz w:val="20"/>
          <w:szCs w:val="20"/>
          <w:color w:val="auto"/>
        </w:rPr>
      </w:pPr>
      <w:r>
        <w:rPr>
          <w:rFonts w:ascii="Arial" w:cs="Arial" w:eastAsia="Arial" w:hAnsi="Arial"/>
          <w:sz w:val="23"/>
          <w:szCs w:val="23"/>
          <w:color w:val="auto"/>
        </w:rPr>
        <w:t>A série do Spread do ICC, considera a diferença entre o Índice de Custo de Crédito — equivalente ao custo médio de juros das operações ativas da carteira do SFN — e o custo de captação médio ponderado, levando em consideração operações de crédito livre, direcionado e não rotativo, dividido em pessoa física e jurídica.</w:t>
      </w:r>
    </w:p>
    <w:p>
      <w:pPr>
        <w:spacing w:after="0" w:line="156" w:lineRule="exact"/>
        <w:rPr>
          <w:sz w:val="20"/>
          <w:szCs w:val="20"/>
          <w:color w:val="auto"/>
        </w:rPr>
      </w:pPr>
    </w:p>
    <w:p>
      <w:pPr>
        <w:ind w:left="1760"/>
        <w:spacing w:after="0"/>
        <w:rPr>
          <w:sz w:val="20"/>
          <w:szCs w:val="20"/>
          <w:color w:val="auto"/>
        </w:rPr>
      </w:pPr>
      <w:r>
        <w:rPr>
          <w:rFonts w:ascii="Arial" w:cs="Arial" w:eastAsia="Arial" w:hAnsi="Arial"/>
          <w:sz w:val="22"/>
          <w:szCs w:val="22"/>
          <w:color w:val="auto"/>
        </w:rPr>
        <w:t>Figura 10 – Evolução do Spread do Índice do Custo de Crédito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522605</wp:posOffset>
            </wp:positionH>
            <wp:positionV relativeFrom="paragraph">
              <wp:posOffset>327025</wp:posOffset>
            </wp:positionV>
            <wp:extent cx="5393055" cy="327406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5">
                      <a:extLst>
                        <a:ext uri="{28A0092B-C50C-407E-A947-70E740481C1C}"/>
                      </a:extLst>
                    </a:blip>
                    <a:srcRect/>
                    <a:stretch>
                      <a:fillRect/>
                    </a:stretch>
                  </pic:blipFill>
                  <pic:spPr bwMode="auto">
                    <a:xfrm>
                      <a:off x="0" y="0"/>
                      <a:ext cx="5393055" cy="32740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tbl>
      <w:tblPr>
        <w:tblLayout w:type="fixed"/>
        <w:tblInd w:w="260" w:type="dxa"/>
        <w:tblCellMar>
          <w:top w:w="0" w:type="dxa"/>
          <w:left w:w="0" w:type="dxa"/>
          <w:bottom w:w="0" w:type="dxa"/>
          <w:right w:w="0" w:type="dxa"/>
        </w:tblCellMar>
      </w:tblPr>
      <w:tr>
        <w:trPr>
          <w:trHeight w:val="207"/>
        </w:trPr>
        <w:tc>
          <w:tcPr>
            <w:tcW w:w="2820" w:type="dxa"/>
            <w:vAlign w:val="bottom"/>
          </w:tcPr>
          <w:p>
            <w:pPr>
              <w:jc w:val="right"/>
              <w:ind w:right="2267"/>
              <w:spacing w:after="0"/>
              <w:rPr>
                <w:sz w:val="20"/>
                <w:szCs w:val="20"/>
                <w:color w:val="auto"/>
              </w:rPr>
            </w:pPr>
            <w:r>
              <w:rPr>
                <w:rFonts w:ascii="Helvetica" w:cs="Helvetica" w:eastAsia="Helvetica" w:hAnsi="Helvetica"/>
                <w:sz w:val="18"/>
                <w:szCs w:val="18"/>
                <w:color w:val="4D4D4D"/>
              </w:rPr>
              <w:t>20</w:t>
            </w:r>
          </w:p>
        </w:tc>
        <w:tc>
          <w:tcPr>
            <w:tcW w:w="1520" w:type="dxa"/>
            <w:vAlign w:val="bottom"/>
          </w:tcPr>
          <w:p>
            <w:pPr>
              <w:spacing w:after="0"/>
              <w:rPr>
                <w:sz w:val="17"/>
                <w:szCs w:val="17"/>
                <w:color w:val="auto"/>
              </w:rPr>
            </w:pPr>
          </w:p>
        </w:tc>
        <w:tc>
          <w:tcPr>
            <w:tcW w:w="1020" w:type="dxa"/>
            <w:vAlign w:val="bottom"/>
          </w:tcPr>
          <w:p>
            <w:pPr>
              <w:spacing w:after="0"/>
              <w:rPr>
                <w:sz w:val="17"/>
                <w:szCs w:val="17"/>
                <w:color w:val="auto"/>
              </w:rPr>
            </w:pPr>
          </w:p>
        </w:tc>
        <w:tc>
          <w:tcPr>
            <w:tcW w:w="1560" w:type="dxa"/>
            <w:vAlign w:val="bottom"/>
          </w:tcPr>
          <w:p>
            <w:pPr>
              <w:spacing w:after="0"/>
              <w:rPr>
                <w:sz w:val="17"/>
                <w:szCs w:val="17"/>
                <w:color w:val="auto"/>
              </w:rPr>
            </w:pPr>
          </w:p>
        </w:tc>
        <w:tc>
          <w:tcPr>
            <w:tcW w:w="1720" w:type="dxa"/>
            <w:vAlign w:val="bottom"/>
          </w:tcPr>
          <w:p>
            <w:pPr>
              <w:spacing w:after="0"/>
              <w:rPr>
                <w:sz w:val="17"/>
                <w:szCs w:val="17"/>
                <w:color w:val="auto"/>
              </w:rPr>
            </w:pPr>
          </w:p>
        </w:tc>
      </w:tr>
      <w:tr>
        <w:trPr>
          <w:trHeight w:val="1184"/>
        </w:trPr>
        <w:tc>
          <w:tcPr>
            <w:tcW w:w="2820" w:type="dxa"/>
            <w:vAlign w:val="bottom"/>
            <w:textDirection w:val="btLr"/>
          </w:tcPr>
          <w:p>
            <w:pPr>
              <w:ind w:right="2474"/>
              <w:spacing w:after="0"/>
              <w:rPr>
                <w:sz w:val="20"/>
                <w:szCs w:val="20"/>
                <w:color w:val="auto"/>
              </w:rPr>
            </w:pPr>
            <w:r>
              <w:rPr>
                <w:rFonts w:ascii="Helvetica" w:cs="Helvetica" w:eastAsia="Helvetica" w:hAnsi="Helvetica"/>
                <w:sz w:val="22"/>
                <w:szCs w:val="22"/>
                <w:color w:val="auto"/>
              </w:rPr>
              <w:t>Spreads</w:t>
            </w:r>
          </w:p>
        </w:tc>
        <w:tc>
          <w:tcPr>
            <w:tcW w:w="15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1720" w:type="dxa"/>
            <w:vAlign w:val="bottom"/>
          </w:tcPr>
          <w:p>
            <w:pPr>
              <w:spacing w:after="0"/>
              <w:rPr>
                <w:sz w:val="24"/>
                <w:szCs w:val="24"/>
                <w:color w:val="auto"/>
              </w:rPr>
            </w:pPr>
          </w:p>
        </w:tc>
      </w:tr>
      <w:tr>
        <w:trPr>
          <w:trHeight w:val="694"/>
        </w:trPr>
        <w:tc>
          <w:tcPr>
            <w:tcW w:w="2820" w:type="dxa"/>
            <w:vAlign w:val="bottom"/>
          </w:tcPr>
          <w:p>
            <w:pPr>
              <w:jc w:val="right"/>
              <w:ind w:right="2267"/>
              <w:spacing w:after="0"/>
              <w:rPr>
                <w:sz w:val="20"/>
                <w:szCs w:val="20"/>
                <w:color w:val="auto"/>
              </w:rPr>
            </w:pPr>
            <w:r>
              <w:rPr>
                <w:rFonts w:ascii="Helvetica" w:cs="Helvetica" w:eastAsia="Helvetica" w:hAnsi="Helvetica"/>
                <w:sz w:val="18"/>
                <w:szCs w:val="18"/>
                <w:color w:val="4D4D4D"/>
              </w:rPr>
              <w:t>10</w:t>
            </w:r>
          </w:p>
        </w:tc>
        <w:tc>
          <w:tcPr>
            <w:tcW w:w="152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1560" w:type="dxa"/>
            <w:vAlign w:val="bottom"/>
          </w:tcPr>
          <w:p>
            <w:pPr>
              <w:spacing w:after="0"/>
              <w:rPr>
                <w:sz w:val="24"/>
                <w:szCs w:val="24"/>
                <w:color w:val="auto"/>
              </w:rPr>
            </w:pPr>
          </w:p>
        </w:tc>
        <w:tc>
          <w:tcPr>
            <w:tcW w:w="1720" w:type="dxa"/>
            <w:vAlign w:val="bottom"/>
          </w:tcPr>
          <w:p>
            <w:pPr>
              <w:spacing w:after="0"/>
              <w:rPr>
                <w:sz w:val="24"/>
                <w:szCs w:val="24"/>
                <w:color w:val="auto"/>
              </w:rPr>
            </w:pPr>
          </w:p>
        </w:tc>
      </w:tr>
      <w:tr>
        <w:trPr>
          <w:trHeight w:val="1744"/>
        </w:trPr>
        <w:tc>
          <w:tcPr>
            <w:tcW w:w="2820" w:type="dxa"/>
            <w:vAlign w:val="bottom"/>
          </w:tcPr>
          <w:p>
            <w:pPr>
              <w:jc w:val="right"/>
              <w:ind w:right="587"/>
              <w:spacing w:after="0"/>
              <w:rPr>
                <w:sz w:val="20"/>
                <w:szCs w:val="20"/>
                <w:color w:val="auto"/>
              </w:rPr>
            </w:pPr>
            <w:r>
              <w:rPr>
                <w:rFonts w:ascii="Helvetica" w:cs="Helvetica" w:eastAsia="Helvetica" w:hAnsi="Helvetica"/>
                <w:sz w:val="18"/>
                <w:szCs w:val="18"/>
                <w:color w:val="4D4D4D"/>
              </w:rPr>
              <w:t>2014</w:t>
            </w:r>
          </w:p>
        </w:tc>
        <w:tc>
          <w:tcPr>
            <w:tcW w:w="1520" w:type="dxa"/>
            <w:vAlign w:val="bottom"/>
          </w:tcPr>
          <w:p>
            <w:pPr>
              <w:jc w:val="right"/>
              <w:ind w:right="151"/>
              <w:spacing w:after="0"/>
              <w:rPr>
                <w:sz w:val="20"/>
                <w:szCs w:val="20"/>
                <w:color w:val="auto"/>
              </w:rPr>
            </w:pPr>
            <w:r>
              <w:rPr>
                <w:rFonts w:ascii="Helvetica" w:cs="Helvetica" w:eastAsia="Helvetica" w:hAnsi="Helvetica"/>
                <w:sz w:val="18"/>
                <w:szCs w:val="18"/>
                <w:color w:val="4D4D4D"/>
              </w:rPr>
              <w:t>2016</w:t>
            </w:r>
          </w:p>
        </w:tc>
        <w:tc>
          <w:tcPr>
            <w:tcW w:w="1020" w:type="dxa"/>
            <w:vAlign w:val="bottom"/>
          </w:tcPr>
          <w:p>
            <w:pPr>
              <w:spacing w:after="0"/>
              <w:rPr>
                <w:sz w:val="24"/>
                <w:szCs w:val="24"/>
                <w:color w:val="auto"/>
              </w:rPr>
            </w:pPr>
          </w:p>
        </w:tc>
        <w:tc>
          <w:tcPr>
            <w:tcW w:w="1560" w:type="dxa"/>
            <w:vAlign w:val="bottom"/>
          </w:tcPr>
          <w:p>
            <w:pPr>
              <w:jc w:val="right"/>
              <w:ind w:right="751"/>
              <w:spacing w:after="0"/>
              <w:rPr>
                <w:sz w:val="20"/>
                <w:szCs w:val="20"/>
                <w:color w:val="auto"/>
              </w:rPr>
            </w:pPr>
            <w:r>
              <w:rPr>
                <w:rFonts w:ascii="Helvetica" w:cs="Helvetica" w:eastAsia="Helvetica" w:hAnsi="Helvetica"/>
                <w:sz w:val="18"/>
                <w:szCs w:val="18"/>
                <w:color w:val="4D4D4D"/>
              </w:rPr>
              <w:t>2018</w:t>
            </w:r>
          </w:p>
        </w:tc>
        <w:tc>
          <w:tcPr>
            <w:tcW w:w="1720" w:type="dxa"/>
            <w:vAlign w:val="bottom"/>
          </w:tcPr>
          <w:p>
            <w:pPr>
              <w:jc w:val="right"/>
              <w:ind w:right="491"/>
              <w:spacing w:after="0"/>
              <w:rPr>
                <w:sz w:val="20"/>
                <w:szCs w:val="20"/>
                <w:color w:val="auto"/>
              </w:rPr>
            </w:pPr>
            <w:r>
              <w:rPr>
                <w:rFonts w:ascii="Helvetica" w:cs="Helvetica" w:eastAsia="Helvetica" w:hAnsi="Helvetica"/>
                <w:sz w:val="18"/>
                <w:szCs w:val="18"/>
                <w:color w:val="4D4D4D"/>
              </w:rPr>
              <w:t>2020</w:t>
            </w:r>
          </w:p>
        </w:tc>
      </w:tr>
      <w:tr>
        <w:trPr>
          <w:trHeight w:val="600"/>
        </w:trPr>
        <w:tc>
          <w:tcPr>
            <w:tcW w:w="2820" w:type="dxa"/>
            <w:vAlign w:val="bottom"/>
          </w:tcPr>
          <w:p>
            <w:pPr>
              <w:jc w:val="right"/>
              <w:ind w:right="187"/>
              <w:spacing w:after="0"/>
              <w:rPr>
                <w:sz w:val="20"/>
                <w:szCs w:val="20"/>
                <w:color w:val="auto"/>
              </w:rPr>
            </w:pPr>
            <w:r>
              <w:rPr>
                <w:rFonts w:ascii="Helvetica" w:cs="Helvetica" w:eastAsia="Helvetica" w:hAnsi="Helvetica"/>
                <w:sz w:val="18"/>
                <w:szCs w:val="18"/>
                <w:color w:val="auto"/>
              </w:rPr>
              <w:t>Crédito.Livre</w:t>
            </w:r>
          </w:p>
        </w:tc>
        <w:tc>
          <w:tcPr>
            <w:tcW w:w="1520" w:type="dxa"/>
            <w:vAlign w:val="bottom"/>
          </w:tcPr>
          <w:p>
            <w:pPr>
              <w:jc w:val="right"/>
              <w:ind w:right="211"/>
              <w:spacing w:after="0"/>
              <w:rPr>
                <w:sz w:val="20"/>
                <w:szCs w:val="20"/>
                <w:color w:val="auto"/>
              </w:rPr>
            </w:pPr>
            <w:r>
              <w:rPr>
                <w:rFonts w:ascii="Helvetica" w:cs="Helvetica" w:eastAsia="Helvetica" w:hAnsi="Helvetica"/>
                <w:sz w:val="18"/>
                <w:szCs w:val="18"/>
                <w:color w:val="auto"/>
              </w:rPr>
              <w:t>Direcionado</w:t>
            </w:r>
          </w:p>
        </w:tc>
        <w:tc>
          <w:tcPr>
            <w:tcW w:w="1020" w:type="dxa"/>
            <w:vAlign w:val="bottom"/>
          </w:tcPr>
          <w:p>
            <w:pPr>
              <w:ind w:left="260"/>
              <w:spacing w:after="0"/>
              <w:rPr>
                <w:sz w:val="20"/>
                <w:szCs w:val="20"/>
                <w:color w:val="auto"/>
              </w:rPr>
            </w:pPr>
            <w:r>
              <w:rPr>
                <w:rFonts w:ascii="Helvetica" w:cs="Helvetica" w:eastAsia="Helvetica" w:hAnsi="Helvetica"/>
                <w:sz w:val="18"/>
                <w:szCs w:val="18"/>
                <w:color w:val="auto"/>
              </w:rPr>
              <w:t>Médio</w:t>
            </w:r>
          </w:p>
        </w:tc>
        <w:tc>
          <w:tcPr>
            <w:tcW w:w="1560" w:type="dxa"/>
            <w:vAlign w:val="bottom"/>
          </w:tcPr>
          <w:p>
            <w:pPr>
              <w:jc w:val="right"/>
              <w:ind w:right="211"/>
              <w:spacing w:after="0"/>
              <w:rPr>
                <w:sz w:val="20"/>
                <w:szCs w:val="20"/>
                <w:color w:val="auto"/>
              </w:rPr>
            </w:pPr>
            <w:r>
              <w:rPr>
                <w:rFonts w:ascii="Helvetica" w:cs="Helvetica" w:eastAsia="Helvetica" w:hAnsi="Helvetica"/>
                <w:sz w:val="18"/>
                <w:szCs w:val="18"/>
                <w:color w:val="auto"/>
              </w:rPr>
              <w:t>Não.Rotativo</w:t>
            </w:r>
          </w:p>
        </w:tc>
        <w:tc>
          <w:tcPr>
            <w:tcW w:w="1720" w:type="dxa"/>
            <w:vAlign w:val="bottom"/>
          </w:tcPr>
          <w:p>
            <w:pPr>
              <w:jc w:val="right"/>
              <w:spacing w:after="0"/>
              <w:rPr>
                <w:sz w:val="20"/>
                <w:szCs w:val="20"/>
                <w:color w:val="auto"/>
              </w:rPr>
            </w:pPr>
            <w:r>
              <w:rPr>
                <w:rFonts w:ascii="Helvetica" w:cs="Helvetica" w:eastAsia="Helvetica" w:hAnsi="Helvetica"/>
                <w:sz w:val="18"/>
                <w:szCs w:val="18"/>
                <w:color w:val="auto"/>
              </w:rPr>
              <w:t>Não.Rotativo.Livre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487680</wp:posOffset>
                </wp:positionH>
                <wp:positionV relativeFrom="paragraph">
                  <wp:posOffset>-1553845</wp:posOffset>
                </wp:positionV>
                <wp:extent cx="3429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122.3499pt" to="41.1pt,-122.3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487680</wp:posOffset>
                </wp:positionH>
                <wp:positionV relativeFrom="paragraph">
                  <wp:posOffset>-2746375</wp:posOffset>
                </wp:positionV>
                <wp:extent cx="34290" cy="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pt,-216.2499pt" to="41.1pt,-216.2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1392555</wp:posOffset>
                </wp:positionH>
                <wp:positionV relativeFrom="paragraph">
                  <wp:posOffset>-549275</wp:posOffset>
                </wp:positionV>
                <wp:extent cx="0" cy="34925"/>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65pt,-43.2499pt" to="109.65pt,-40.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2643505</wp:posOffset>
                </wp:positionH>
                <wp:positionV relativeFrom="paragraph">
                  <wp:posOffset>-549275</wp:posOffset>
                </wp:positionV>
                <wp:extent cx="0" cy="3492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15pt,-43.2499pt" to="208.15pt,-40.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3896360</wp:posOffset>
                </wp:positionH>
                <wp:positionV relativeFrom="paragraph">
                  <wp:posOffset>-549275</wp:posOffset>
                </wp:positionV>
                <wp:extent cx="0" cy="34925"/>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6.8pt,-43.2499pt" to="306.8pt,-40.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5147310</wp:posOffset>
                </wp:positionH>
                <wp:positionV relativeFrom="paragraph">
                  <wp:posOffset>-549275</wp:posOffset>
                </wp:positionV>
                <wp:extent cx="0" cy="3492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3pt,-43.2499pt" to="405.3pt,-40.49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843915</wp:posOffset>
                </wp:positionH>
                <wp:positionV relativeFrom="paragraph">
                  <wp:posOffset>-173990</wp:posOffset>
                </wp:positionV>
                <wp:extent cx="217170" cy="216535"/>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216535"/>
                        </a:xfrm>
                        <a:prstGeom prst="rect">
                          <a:avLst/>
                        </a:prstGeom>
                        <a:solidFill>
                          <a:srgbClr val="F2F2F2"/>
                        </a:solidFill>
                      </wps:spPr>
                      <wps:bodyPr/>
                    </wps:wsp>
                  </a:graphicData>
                </a:graphic>
              </wp:anchor>
            </w:drawing>
          </mc:Choice>
          <mc:Fallback>
            <w:pict>
              <v:rect id="Shape 111" o:spid="_x0000_s1136" style="position:absolute;margin-left:66.45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864870</wp:posOffset>
                </wp:positionH>
                <wp:positionV relativeFrom="paragraph">
                  <wp:posOffset>-65405</wp:posOffset>
                </wp:positionV>
                <wp:extent cx="17399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990" cy="4763"/>
                        </a:xfrm>
                        <a:prstGeom prst="line">
                          <a:avLst/>
                        </a:prstGeom>
                        <a:solidFill>
                          <a:srgbClr val="FFFFFF"/>
                        </a:solidFill>
                        <a:ln w="13450">
                          <a:solidFill>
                            <a:srgbClr val="F8766D"/>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1pt,-5.1499pt" to="81.8pt,-5.1499pt" o:allowincell="f" strokecolor="#F8766D" strokeweight="1.0591pt"/>
            </w:pict>
          </mc:Fallback>
        </mc:AlternateContent>
        <mc:AlternateContent>
          <mc:Choice Requires="wps">
            <w:drawing>
              <wp:anchor simplePos="0" relativeHeight="251657728" behindDoc="1" locked="0" layoutInCell="0" allowOverlap="1">
                <wp:simplePos x="0" y="0"/>
                <wp:positionH relativeFrom="column">
                  <wp:posOffset>1835150</wp:posOffset>
                </wp:positionH>
                <wp:positionV relativeFrom="paragraph">
                  <wp:posOffset>-173990</wp:posOffset>
                </wp:positionV>
                <wp:extent cx="217805" cy="216535"/>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805" cy="216535"/>
                        </a:xfrm>
                        <a:prstGeom prst="rect">
                          <a:avLst/>
                        </a:prstGeom>
                        <a:solidFill>
                          <a:srgbClr val="F2F2F2"/>
                        </a:solidFill>
                      </wps:spPr>
                      <wps:bodyPr/>
                    </wps:wsp>
                  </a:graphicData>
                </a:graphic>
              </wp:anchor>
            </w:drawing>
          </mc:Choice>
          <mc:Fallback>
            <w:pict>
              <v:rect id="Shape 113" o:spid="_x0000_s1138" style="position:absolute;margin-left:144.5pt;margin-top:-13.6999pt;width:17.15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1856740</wp:posOffset>
                </wp:positionH>
                <wp:positionV relativeFrom="paragraph">
                  <wp:posOffset>-65405</wp:posOffset>
                </wp:positionV>
                <wp:extent cx="17399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990" cy="4763"/>
                        </a:xfrm>
                        <a:prstGeom prst="line">
                          <a:avLst/>
                        </a:prstGeom>
                        <a:solidFill>
                          <a:srgbClr val="FFFFFF"/>
                        </a:solidFill>
                        <a:ln w="13450">
                          <a:solidFill>
                            <a:srgbClr val="A3A500"/>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6.2pt,-5.1499pt" to="159.9pt,-5.1499pt" o:allowincell="f" strokecolor="#A3A500" strokeweight="1.0591pt"/>
            </w:pict>
          </mc:Fallback>
        </mc:AlternateContent>
        <mc:AlternateContent>
          <mc:Choice Requires="wps">
            <w:drawing>
              <wp:anchor simplePos="0" relativeHeight="251657728" behindDoc="1" locked="0" layoutInCell="0" allowOverlap="1">
                <wp:simplePos x="0" y="0"/>
                <wp:positionH relativeFrom="column">
                  <wp:posOffset>2794000</wp:posOffset>
                </wp:positionH>
                <wp:positionV relativeFrom="paragraph">
                  <wp:posOffset>-173990</wp:posOffset>
                </wp:positionV>
                <wp:extent cx="217170" cy="216535"/>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216535"/>
                        </a:xfrm>
                        <a:prstGeom prst="rect">
                          <a:avLst/>
                        </a:prstGeom>
                        <a:solidFill>
                          <a:srgbClr val="F2F2F2"/>
                        </a:solidFill>
                      </wps:spPr>
                      <wps:bodyPr/>
                    </wps:wsp>
                  </a:graphicData>
                </a:graphic>
              </wp:anchor>
            </w:drawing>
          </mc:Choice>
          <mc:Fallback>
            <w:pict>
              <v:rect id="Shape 115" o:spid="_x0000_s1140" style="position:absolute;margin-left:220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2815590</wp:posOffset>
                </wp:positionH>
                <wp:positionV relativeFrom="paragraph">
                  <wp:posOffset>-65405</wp:posOffset>
                </wp:positionV>
                <wp:extent cx="173355"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355" cy="4763"/>
                        </a:xfrm>
                        <a:prstGeom prst="line">
                          <a:avLst/>
                        </a:prstGeom>
                        <a:solidFill>
                          <a:srgbClr val="FFFFFF"/>
                        </a:solidFill>
                        <a:ln w="13450">
                          <a:solidFill>
                            <a:srgbClr val="00BF7D"/>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7pt,-5.1499pt" to="235.35pt,-5.1499pt" o:allowincell="f" strokecolor="#00BF7D" strokeweight="1.0591pt"/>
            </w:pict>
          </mc:Fallback>
        </mc:AlternateContent>
        <mc:AlternateContent>
          <mc:Choice Requires="wps">
            <w:drawing>
              <wp:anchor simplePos="0" relativeHeight="251657728" behindDoc="1" locked="0" layoutInCell="0" allowOverlap="1">
                <wp:simplePos x="0" y="0"/>
                <wp:positionH relativeFrom="column">
                  <wp:posOffset>3456940</wp:posOffset>
                </wp:positionH>
                <wp:positionV relativeFrom="paragraph">
                  <wp:posOffset>-173990</wp:posOffset>
                </wp:positionV>
                <wp:extent cx="217170" cy="216535"/>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216535"/>
                        </a:xfrm>
                        <a:prstGeom prst="rect">
                          <a:avLst/>
                        </a:prstGeom>
                        <a:solidFill>
                          <a:srgbClr val="F2F2F2"/>
                        </a:solidFill>
                      </wps:spPr>
                      <wps:bodyPr/>
                    </wps:wsp>
                  </a:graphicData>
                </a:graphic>
              </wp:anchor>
            </w:drawing>
          </mc:Choice>
          <mc:Fallback>
            <w:pict>
              <v:rect id="Shape 117" o:spid="_x0000_s1142" style="position:absolute;margin-left:272.2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3478530</wp:posOffset>
                </wp:positionH>
                <wp:positionV relativeFrom="paragraph">
                  <wp:posOffset>-65405</wp:posOffset>
                </wp:positionV>
                <wp:extent cx="173355"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355" cy="4763"/>
                        </a:xfrm>
                        <a:prstGeom prst="line">
                          <a:avLst/>
                        </a:prstGeom>
                        <a:solidFill>
                          <a:srgbClr val="FFFFFF"/>
                        </a:solidFill>
                        <a:ln w="13450">
                          <a:solidFill>
                            <a:srgbClr val="00B0F6"/>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9pt,-5.1499pt" to="287.55pt,-5.1499pt" o:allowincell="f" strokecolor="#00B0F6" strokeweight="1.0591pt"/>
            </w:pict>
          </mc:Fallback>
        </mc:AlternateContent>
        <mc:AlternateContent>
          <mc:Choice Requires="wps">
            <w:drawing>
              <wp:anchor simplePos="0" relativeHeight="251657728" behindDoc="1" locked="0" layoutInCell="0" allowOverlap="1">
                <wp:simplePos x="0" y="0"/>
                <wp:positionH relativeFrom="column">
                  <wp:posOffset>4458335</wp:posOffset>
                </wp:positionH>
                <wp:positionV relativeFrom="paragraph">
                  <wp:posOffset>-173990</wp:posOffset>
                </wp:positionV>
                <wp:extent cx="217170" cy="216535"/>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7170" cy="216535"/>
                        </a:xfrm>
                        <a:prstGeom prst="rect">
                          <a:avLst/>
                        </a:prstGeom>
                        <a:solidFill>
                          <a:srgbClr val="F2F2F2"/>
                        </a:solidFill>
                      </wps:spPr>
                      <wps:bodyPr/>
                    </wps:wsp>
                  </a:graphicData>
                </a:graphic>
              </wp:anchor>
            </w:drawing>
          </mc:Choice>
          <mc:Fallback>
            <w:pict>
              <v:rect id="Shape 119" o:spid="_x0000_s1144" style="position:absolute;margin-left:351.05pt;margin-top:-13.6999pt;width:17.1pt;height:17.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F2F2" stroked="f"/>
            </w:pict>
          </mc:Fallback>
        </mc:AlternateContent>
        <mc:AlternateContent>
          <mc:Choice Requires="wps">
            <w:drawing>
              <wp:anchor simplePos="0" relativeHeight="251657728" behindDoc="1" locked="0" layoutInCell="0" allowOverlap="1">
                <wp:simplePos x="0" y="0"/>
                <wp:positionH relativeFrom="column">
                  <wp:posOffset>4479925</wp:posOffset>
                </wp:positionH>
                <wp:positionV relativeFrom="paragraph">
                  <wp:posOffset>-65405</wp:posOffset>
                </wp:positionV>
                <wp:extent cx="17399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3990" cy="4763"/>
                        </a:xfrm>
                        <a:prstGeom prst="line">
                          <a:avLst/>
                        </a:prstGeom>
                        <a:solidFill>
                          <a:srgbClr val="FFFFFF"/>
                        </a:solidFill>
                        <a:ln w="13450">
                          <a:solidFill>
                            <a:srgbClr val="E76BF3"/>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75pt,-5.1499pt" to="366.45pt,-5.1499pt" o:allowincell="f" strokecolor="#E76BF3" strokeweight="1.0591pt"/>
            </w:pict>
          </mc:Fallback>
        </mc:AlternateContent>
      </w:r>
    </w:p>
    <w:p>
      <w:pPr>
        <w:spacing w:after="0" w:line="348" w:lineRule="exact"/>
        <w:rPr>
          <w:sz w:val="20"/>
          <w:szCs w:val="20"/>
          <w:color w:val="auto"/>
        </w:rPr>
      </w:pPr>
    </w:p>
    <w:p>
      <w:pPr>
        <w:ind w:left="44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 do Brasil - Departamento de Estatísticas</w:t>
      </w:r>
    </w:p>
    <w:p>
      <w:pPr>
        <w:spacing w:after="0" w:line="200" w:lineRule="exact"/>
        <w:rPr>
          <w:sz w:val="20"/>
          <w:szCs w:val="20"/>
          <w:color w:val="auto"/>
        </w:rPr>
      </w:pPr>
    </w:p>
    <w:p>
      <w:pPr>
        <w:spacing w:after="0" w:line="398" w:lineRule="exact"/>
        <w:rPr>
          <w:sz w:val="20"/>
          <w:szCs w:val="20"/>
          <w:color w:val="auto"/>
        </w:rPr>
      </w:pPr>
    </w:p>
    <w:p>
      <w:pPr>
        <w:jc w:val="both"/>
        <w:ind w:left="260" w:firstLine="850"/>
        <w:spacing w:after="0" w:line="334" w:lineRule="auto"/>
        <w:rPr>
          <w:sz w:val="20"/>
          <w:szCs w:val="20"/>
          <w:color w:val="auto"/>
        </w:rPr>
      </w:pPr>
      <w:r>
        <w:rPr>
          <w:rFonts w:ascii="Arial" w:cs="Arial" w:eastAsia="Arial" w:hAnsi="Arial"/>
          <w:sz w:val="23"/>
          <w:szCs w:val="23"/>
          <w:color w:val="auto"/>
        </w:rPr>
        <w:t>Na Figura 10 pode ser visualizada a evolução do spread do ICC, entre janeiro de 2013 e julho de 2020 com expressiva elevação entre 2014 e 2017, passando a decair até retormar a patamares similares ao início do período. Também pode ser notado a significativa diferença entre os spreads de recursos livres e direcionados.</w:t>
      </w:r>
    </w:p>
    <w:p>
      <w:pPr>
        <w:spacing w:after="0" w:line="81" w:lineRule="exact"/>
        <w:rPr>
          <w:sz w:val="20"/>
          <w:szCs w:val="20"/>
          <w:color w:val="auto"/>
        </w:rPr>
      </w:pPr>
    </w:p>
    <w:p>
      <w:pPr>
        <w:jc w:val="both"/>
        <w:ind w:left="260" w:firstLine="850"/>
        <w:spacing w:after="0" w:line="325" w:lineRule="auto"/>
        <w:rPr>
          <w:sz w:val="20"/>
          <w:szCs w:val="20"/>
          <w:color w:val="auto"/>
        </w:rPr>
      </w:pPr>
      <w:r>
        <w:rPr>
          <w:rFonts w:ascii="Arial" w:cs="Arial" w:eastAsia="Arial" w:hAnsi="Arial"/>
          <w:sz w:val="23"/>
          <w:szCs w:val="23"/>
          <w:color w:val="auto"/>
        </w:rPr>
        <w:t>O Indicador Custo de Crédito (ICC) consiste no custo médio de todas as operações de crédito abertas — independentes do período em que foram contratadas</w:t>
      </w:r>
    </w:p>
    <w:p>
      <w:pPr>
        <w:spacing w:after="0" w:line="1" w:lineRule="exact"/>
        <w:rPr>
          <w:sz w:val="20"/>
          <w:szCs w:val="20"/>
          <w:color w:val="auto"/>
        </w:rPr>
      </w:pPr>
    </w:p>
    <w:p>
      <w:pPr>
        <w:ind w:left="260" w:hanging="36"/>
        <w:spacing w:after="0" w:line="327" w:lineRule="auto"/>
        <w:rPr>
          <w:sz w:val="20"/>
          <w:szCs w:val="20"/>
          <w:color w:val="auto"/>
        </w:rPr>
      </w:pPr>
      <w:r>
        <w:rPr>
          <w:rFonts w:ascii="Arial" w:cs="Arial" w:eastAsia="Arial" w:hAnsi="Arial"/>
          <w:sz w:val="24"/>
          <w:szCs w:val="24"/>
          <w:color w:val="auto"/>
        </w:rPr>
        <w:t>— que compõem a carteira de empréstimos, financiamentos e arrendamento mercantil das instituições do Sistema Financeiro Nacional (SFN) (BACEN, 2000).</w:t>
      </w:r>
    </w:p>
    <w:p>
      <w:pPr>
        <w:spacing w:after="0" w:line="85" w:lineRule="exact"/>
        <w:rPr>
          <w:sz w:val="20"/>
          <w:szCs w:val="20"/>
          <w:color w:val="auto"/>
        </w:rPr>
      </w:pPr>
    </w:p>
    <w:p>
      <w:pPr>
        <w:jc w:val="both"/>
        <w:ind w:left="260" w:firstLine="850"/>
        <w:spacing w:after="0" w:line="338" w:lineRule="auto"/>
        <w:rPr>
          <w:sz w:val="20"/>
          <w:szCs w:val="20"/>
          <w:color w:val="auto"/>
        </w:rPr>
      </w:pPr>
      <w:r>
        <w:rPr>
          <w:rFonts w:ascii="Arial" w:cs="Arial" w:eastAsia="Arial" w:hAnsi="Arial"/>
          <w:sz w:val="23"/>
          <w:szCs w:val="23"/>
          <w:color w:val="auto"/>
        </w:rPr>
        <w:t>A Figura 11 traz a visualização da evolução do Índice de Custo de Crédito entre janeiro de 2013 e agosto de 2020, com máxima de 22.98% em 2017, demonstrando queda significativa a partir de 2020, chegando a atingir 16.91% em agosto de 2020.</w:t>
      </w:r>
    </w:p>
    <w:p>
      <w:pPr>
        <w:sectPr>
          <w:pgSz w:w="11900" w:h="16838" w:orient="portrait"/>
          <w:cols w:equalWidth="0" w:num="1">
            <w:col w:w="9320"/>
          </w:cols>
          <w:pgMar w:left="1440" w:top="991" w:right="1146" w:bottom="710" w:gutter="0" w:footer="0" w:header="0"/>
        </w:sectPr>
      </w:pPr>
    </w:p>
    <w:p>
      <w:pPr>
        <w:jc w:val="right"/>
        <w:ind w:right="40"/>
        <w:spacing w:after="0"/>
        <w:rPr>
          <w:sz w:val="20"/>
          <w:szCs w:val="20"/>
          <w:color w:val="auto"/>
        </w:rPr>
      </w:pPr>
      <w:r>
        <w:rPr>
          <w:rFonts w:ascii="Arial" w:cs="Arial" w:eastAsia="Arial" w:hAnsi="Arial"/>
          <w:sz w:val="24"/>
          <w:szCs w:val="24"/>
          <w:color w:val="auto"/>
        </w:rPr>
        <w:t>30</w:t>
      </w:r>
    </w:p>
    <w:p>
      <w:pPr>
        <w:spacing w:after="0" w:line="200" w:lineRule="exact"/>
        <w:rPr>
          <w:sz w:val="20"/>
          <w:szCs w:val="20"/>
          <w:color w:val="auto"/>
        </w:rPr>
      </w:pPr>
    </w:p>
    <w:p>
      <w:pPr>
        <w:spacing w:after="0" w:line="215" w:lineRule="exact"/>
        <w:rPr>
          <w:sz w:val="20"/>
          <w:szCs w:val="20"/>
          <w:color w:val="auto"/>
        </w:rPr>
      </w:pPr>
    </w:p>
    <w:p>
      <w:pPr>
        <w:ind w:left="1840"/>
        <w:spacing w:after="0"/>
        <w:rPr>
          <w:sz w:val="20"/>
          <w:szCs w:val="20"/>
          <w:color w:val="auto"/>
        </w:rPr>
      </w:pPr>
      <w:r>
        <w:rPr>
          <w:rFonts w:ascii="Arial" w:cs="Arial" w:eastAsia="Arial" w:hAnsi="Arial"/>
          <w:sz w:val="22"/>
          <w:szCs w:val="22"/>
          <w:color w:val="auto"/>
        </w:rPr>
        <w:t>Figura 11 – Evolução do Indicador de Custo de Crédito (ICC)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522605</wp:posOffset>
            </wp:positionH>
            <wp:positionV relativeFrom="paragraph">
              <wp:posOffset>327025</wp:posOffset>
            </wp:positionV>
            <wp:extent cx="5393055" cy="376682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6">
                      <a:extLst>
                        <a:ext uri="{28A0092B-C50C-407E-A947-70E740481C1C}"/>
                      </a:extLst>
                    </a:blip>
                    <a:srcRect/>
                    <a:stretch>
                      <a:fillRect/>
                    </a:stretch>
                  </pic:blipFill>
                  <pic:spPr bwMode="auto">
                    <a:xfrm>
                      <a:off x="0" y="0"/>
                      <a:ext cx="5393055" cy="3766820"/>
                    </a:xfrm>
                    <a:prstGeom prst="rect">
                      <a:avLst/>
                    </a:prstGeom>
                    <a:noFill/>
                  </pic:spPr>
                </pic:pic>
              </a:graphicData>
            </a:graphic>
          </wp:anchor>
        </w:drawing>
      </w:r>
    </w:p>
    <w:p>
      <w:pPr>
        <w:sectPr>
          <w:pgSz w:w="11900" w:h="16838" w:orient="portrait"/>
          <w:cols w:equalWidth="0" w:num="1">
            <w:col w:w="9360"/>
          </w:cols>
          <w:pgMar w:left="1440" w:top="991" w:right="1106" w:bottom="10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tbl>
      <w:tblPr>
        <w:tblLayout w:type="fixed"/>
        <w:tblInd w:w="241" w:type="dxa"/>
        <w:tblCellMar>
          <w:top w:w="0" w:type="dxa"/>
          <w:left w:w="0" w:type="dxa"/>
          <w:bottom w:w="0" w:type="dxa"/>
          <w:right w:w="0" w:type="dxa"/>
        </w:tblCellMar>
      </w:tblPr>
      <w:tr>
        <w:trPr>
          <w:trHeight w:val="360"/>
        </w:trPr>
        <w:tc>
          <w:tcPr>
            <w:tcW w:w="230" w:type="dxa"/>
            <w:vAlign w:val="bottom"/>
            <w:textDirection w:val="btLr"/>
          </w:tcPr>
          <w:p>
            <w:pPr>
              <w:spacing w:after="0"/>
              <w:rPr>
                <w:sz w:val="20"/>
                <w:szCs w:val="20"/>
                <w:color w:val="auto"/>
              </w:rPr>
            </w:pPr>
            <w:r>
              <w:rPr>
                <w:rFonts w:ascii="Helvetica" w:cs="Helvetica" w:eastAsia="Helvetica" w:hAnsi="Helvetica"/>
                <w:sz w:val="20"/>
                <w:szCs w:val="20"/>
                <w:color w:val="auto"/>
              </w:rPr>
              <w:t>ICC</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07"/>
        </w:trPr>
        <w:tc>
          <w:tcPr>
            <w:tcW w:w="2660" w:type="dxa"/>
            <w:vAlign w:val="bottom"/>
          </w:tcPr>
          <w:p>
            <w:pPr>
              <w:jc w:val="right"/>
              <w:ind w:right="2371"/>
              <w:spacing w:after="0"/>
              <w:rPr>
                <w:sz w:val="20"/>
                <w:szCs w:val="20"/>
                <w:color w:val="auto"/>
              </w:rPr>
            </w:pPr>
            <w:r>
              <w:rPr>
                <w:rFonts w:ascii="Helvetica" w:cs="Helvetica" w:eastAsia="Helvetica" w:hAnsi="Helvetica"/>
                <w:sz w:val="18"/>
                <w:szCs w:val="18"/>
                <w:color w:val="4D4D4D"/>
                <w:w w:val="89"/>
              </w:rPr>
              <w:t>22</w:t>
            </w:r>
          </w:p>
        </w:tc>
        <w:tc>
          <w:tcPr>
            <w:tcW w:w="1980" w:type="dxa"/>
            <w:vAlign w:val="bottom"/>
          </w:tcPr>
          <w:p>
            <w:pPr>
              <w:spacing w:after="0"/>
              <w:rPr>
                <w:sz w:val="17"/>
                <w:szCs w:val="17"/>
                <w:color w:val="auto"/>
              </w:rPr>
            </w:pPr>
          </w:p>
        </w:tc>
        <w:tc>
          <w:tcPr>
            <w:tcW w:w="1960" w:type="dxa"/>
            <w:vAlign w:val="bottom"/>
          </w:tcPr>
          <w:p>
            <w:pPr>
              <w:spacing w:after="0"/>
              <w:rPr>
                <w:sz w:val="17"/>
                <w:szCs w:val="17"/>
                <w:color w:val="auto"/>
              </w:rPr>
            </w:pPr>
          </w:p>
        </w:tc>
        <w:tc>
          <w:tcPr>
            <w:tcW w:w="1200" w:type="dxa"/>
            <w:vAlign w:val="bottom"/>
          </w:tcPr>
          <w:p>
            <w:pPr>
              <w:spacing w:after="0"/>
              <w:rPr>
                <w:sz w:val="17"/>
                <w:szCs w:val="17"/>
                <w:color w:val="auto"/>
              </w:rPr>
            </w:pPr>
          </w:p>
        </w:tc>
      </w:tr>
      <w:tr>
        <w:trPr>
          <w:trHeight w:val="1777"/>
        </w:trPr>
        <w:tc>
          <w:tcPr>
            <w:tcW w:w="2660" w:type="dxa"/>
            <w:vAlign w:val="bottom"/>
          </w:tcPr>
          <w:p>
            <w:pPr>
              <w:jc w:val="right"/>
              <w:ind w:right="2371"/>
              <w:spacing w:after="0"/>
              <w:rPr>
                <w:sz w:val="20"/>
                <w:szCs w:val="20"/>
                <w:color w:val="auto"/>
              </w:rPr>
            </w:pPr>
            <w:r>
              <w:rPr>
                <w:rFonts w:ascii="Helvetica" w:cs="Helvetica" w:eastAsia="Helvetica" w:hAnsi="Helvetica"/>
                <w:sz w:val="18"/>
                <w:szCs w:val="18"/>
                <w:color w:val="4D4D4D"/>
                <w:w w:val="89"/>
              </w:rPr>
              <w:t>20</w:t>
            </w:r>
          </w:p>
        </w:tc>
        <w:tc>
          <w:tcPr>
            <w:tcW w:w="198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1200" w:type="dxa"/>
            <w:vAlign w:val="bottom"/>
          </w:tcPr>
          <w:p>
            <w:pPr>
              <w:spacing w:after="0"/>
              <w:rPr>
                <w:sz w:val="24"/>
                <w:szCs w:val="24"/>
                <w:color w:val="auto"/>
              </w:rPr>
            </w:pPr>
          </w:p>
        </w:tc>
      </w:tr>
      <w:tr>
        <w:trPr>
          <w:trHeight w:val="1777"/>
        </w:trPr>
        <w:tc>
          <w:tcPr>
            <w:tcW w:w="2660" w:type="dxa"/>
            <w:vAlign w:val="bottom"/>
          </w:tcPr>
          <w:p>
            <w:pPr>
              <w:jc w:val="right"/>
              <w:ind w:right="2371"/>
              <w:spacing w:after="0"/>
              <w:rPr>
                <w:sz w:val="20"/>
                <w:szCs w:val="20"/>
                <w:color w:val="auto"/>
              </w:rPr>
            </w:pPr>
            <w:r>
              <w:rPr>
                <w:rFonts w:ascii="Helvetica" w:cs="Helvetica" w:eastAsia="Helvetica" w:hAnsi="Helvetica"/>
                <w:sz w:val="18"/>
                <w:szCs w:val="18"/>
                <w:color w:val="4D4D4D"/>
                <w:w w:val="89"/>
              </w:rPr>
              <w:t>18</w:t>
            </w:r>
          </w:p>
        </w:tc>
        <w:tc>
          <w:tcPr>
            <w:tcW w:w="1980" w:type="dxa"/>
            <w:vAlign w:val="bottom"/>
          </w:tcPr>
          <w:p>
            <w:pPr>
              <w:spacing w:after="0"/>
              <w:rPr>
                <w:sz w:val="24"/>
                <w:szCs w:val="24"/>
                <w:color w:val="auto"/>
              </w:rPr>
            </w:pPr>
          </w:p>
        </w:tc>
        <w:tc>
          <w:tcPr>
            <w:tcW w:w="1960" w:type="dxa"/>
            <w:vAlign w:val="bottom"/>
          </w:tcPr>
          <w:p>
            <w:pPr>
              <w:spacing w:after="0"/>
              <w:rPr>
                <w:sz w:val="24"/>
                <w:szCs w:val="24"/>
                <w:color w:val="auto"/>
              </w:rPr>
            </w:pPr>
          </w:p>
        </w:tc>
        <w:tc>
          <w:tcPr>
            <w:tcW w:w="1200" w:type="dxa"/>
            <w:vAlign w:val="bottom"/>
          </w:tcPr>
          <w:p>
            <w:pPr>
              <w:spacing w:after="0"/>
              <w:rPr>
                <w:sz w:val="24"/>
                <w:szCs w:val="24"/>
                <w:color w:val="auto"/>
              </w:rPr>
            </w:pPr>
          </w:p>
        </w:tc>
      </w:tr>
      <w:tr>
        <w:trPr>
          <w:trHeight w:val="1400"/>
        </w:trPr>
        <w:tc>
          <w:tcPr>
            <w:tcW w:w="2660" w:type="dxa"/>
            <w:vAlign w:val="bottom"/>
          </w:tcPr>
          <w:p>
            <w:pPr>
              <w:jc w:val="right"/>
              <w:ind w:right="691"/>
              <w:spacing w:after="0"/>
              <w:rPr>
                <w:sz w:val="20"/>
                <w:szCs w:val="20"/>
                <w:color w:val="auto"/>
              </w:rPr>
            </w:pPr>
            <w:r>
              <w:rPr>
                <w:rFonts w:ascii="Helvetica" w:cs="Helvetica" w:eastAsia="Helvetica" w:hAnsi="Helvetica"/>
                <w:sz w:val="18"/>
                <w:szCs w:val="18"/>
                <w:color w:val="4D4D4D"/>
              </w:rPr>
              <w:t>2014</w:t>
            </w:r>
          </w:p>
        </w:tc>
        <w:tc>
          <w:tcPr>
            <w:tcW w:w="1980" w:type="dxa"/>
            <w:vAlign w:val="bottom"/>
          </w:tcPr>
          <w:p>
            <w:pPr>
              <w:jc w:val="right"/>
              <w:ind w:right="711"/>
              <w:spacing w:after="0"/>
              <w:rPr>
                <w:sz w:val="20"/>
                <w:szCs w:val="20"/>
                <w:color w:val="auto"/>
              </w:rPr>
            </w:pPr>
            <w:r>
              <w:rPr>
                <w:rFonts w:ascii="Helvetica" w:cs="Helvetica" w:eastAsia="Helvetica" w:hAnsi="Helvetica"/>
                <w:sz w:val="18"/>
                <w:szCs w:val="18"/>
                <w:color w:val="4D4D4D"/>
              </w:rPr>
              <w:t>2016</w:t>
            </w:r>
          </w:p>
        </w:tc>
        <w:tc>
          <w:tcPr>
            <w:tcW w:w="1960" w:type="dxa"/>
            <w:vAlign w:val="bottom"/>
          </w:tcPr>
          <w:p>
            <w:pPr>
              <w:jc w:val="right"/>
              <w:ind w:right="691"/>
              <w:spacing w:after="0"/>
              <w:rPr>
                <w:sz w:val="20"/>
                <w:szCs w:val="20"/>
                <w:color w:val="auto"/>
              </w:rPr>
            </w:pPr>
            <w:r>
              <w:rPr>
                <w:rFonts w:ascii="Helvetica" w:cs="Helvetica" w:eastAsia="Helvetica" w:hAnsi="Helvetica"/>
                <w:sz w:val="18"/>
                <w:szCs w:val="18"/>
                <w:color w:val="4D4D4D"/>
              </w:rPr>
              <w:t>2018</w:t>
            </w:r>
          </w:p>
        </w:tc>
        <w:tc>
          <w:tcPr>
            <w:tcW w:w="1200" w:type="dxa"/>
            <w:vAlign w:val="bottom"/>
          </w:tcPr>
          <w:p>
            <w:pPr>
              <w:jc w:val="right"/>
              <w:spacing w:after="0"/>
              <w:rPr>
                <w:sz w:val="20"/>
                <w:szCs w:val="20"/>
                <w:color w:val="auto"/>
              </w:rPr>
            </w:pPr>
            <w:r>
              <w:rPr>
                <w:rFonts w:ascii="Helvetica" w:cs="Helvetica" w:eastAsia="Helvetica" w:hAnsi="Helvetica"/>
                <w:sz w:val="18"/>
                <w:szCs w:val="18"/>
                <w:color w:val="4D4D4D"/>
              </w:rPr>
              <w:t>2020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157480</wp:posOffset>
                </wp:positionH>
                <wp:positionV relativeFrom="paragraph">
                  <wp:posOffset>-954405</wp:posOffset>
                </wp:positionV>
                <wp:extent cx="3429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75.1499pt" to="15.1pt,-75.1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157480</wp:posOffset>
                </wp:positionH>
                <wp:positionV relativeFrom="paragraph">
                  <wp:posOffset>-2082800</wp:posOffset>
                </wp:positionV>
                <wp:extent cx="3429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164pt" to="15.1pt,-164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157480</wp:posOffset>
                </wp:positionH>
                <wp:positionV relativeFrom="paragraph">
                  <wp:posOffset>-3211195</wp:posOffset>
                </wp:positionV>
                <wp:extent cx="3429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pt,-252.8499pt" to="15.1pt,-252.8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1062355</wp:posOffset>
                </wp:positionH>
                <wp:positionV relativeFrom="paragraph">
                  <wp:posOffset>-168275</wp:posOffset>
                </wp:positionV>
                <wp:extent cx="0" cy="3429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65pt,-13.2499pt" to="83.65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2313305</wp:posOffset>
                </wp:positionH>
                <wp:positionV relativeFrom="paragraph">
                  <wp:posOffset>-168275</wp:posOffset>
                </wp:positionV>
                <wp:extent cx="0" cy="3429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2.15pt,-13.2499pt" to="182.15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3566160</wp:posOffset>
                </wp:positionH>
                <wp:positionV relativeFrom="paragraph">
                  <wp:posOffset>-168275</wp:posOffset>
                </wp:positionV>
                <wp:extent cx="0" cy="3429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0.8pt,-13.2499pt" to="280.8pt,-10.5499pt" o:allowincell="f" strokecolor="#333333" strokeweight="1.0591pt"/>
            </w:pict>
          </mc:Fallback>
        </mc:AlternateContent>
        <mc:AlternateContent>
          <mc:Choice Requires="wps">
            <w:drawing>
              <wp:anchor simplePos="0" relativeHeight="251657728" behindDoc="1" locked="0" layoutInCell="0" allowOverlap="1">
                <wp:simplePos x="0" y="0"/>
                <wp:positionH relativeFrom="column">
                  <wp:posOffset>4817110</wp:posOffset>
                </wp:positionH>
                <wp:positionV relativeFrom="paragraph">
                  <wp:posOffset>-168275</wp:posOffset>
                </wp:positionV>
                <wp:extent cx="0" cy="3429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9.3pt,-13.2499pt" to="379.3pt,-10.5499pt" o:allowincell="f" strokecolor="#333333" strokeweight="1.0591pt"/>
            </w:pict>
          </mc:Fallback>
        </mc:AlternateContent>
      </w:r>
    </w:p>
    <w:p>
      <w:pPr>
        <w:spacing w:after="0" w:line="200" w:lineRule="exact"/>
        <w:rPr>
          <w:sz w:val="20"/>
          <w:szCs w:val="20"/>
          <w:color w:val="auto"/>
        </w:rPr>
      </w:pPr>
    </w:p>
    <w:p>
      <w:pPr>
        <w:sectPr>
          <w:pgSz w:w="11900" w:h="16838" w:orient="portrait"/>
          <w:cols w:equalWidth="0" w:num="2">
            <w:col w:w="471" w:space="49"/>
            <w:col w:w="8840"/>
          </w:cols>
          <w:pgMar w:left="1440" w:top="991" w:right="1106" w:bottom="1047" w:gutter="0" w:footer="0" w:header="0"/>
          <w:type w:val="continuous"/>
        </w:sectPr>
      </w:pPr>
    </w:p>
    <w:p>
      <w:pPr>
        <w:spacing w:after="0" w:line="51" w:lineRule="exact"/>
        <w:rPr>
          <w:sz w:val="20"/>
          <w:szCs w:val="20"/>
          <w:color w:val="auto"/>
        </w:rPr>
      </w:pPr>
    </w:p>
    <w:p>
      <w:pPr>
        <w:ind w:left="380"/>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de dados do Banco Central do Brasil — Departamento de Estatísticas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260"/>
        <w:spacing w:after="0"/>
        <w:tabs>
          <w:tab w:leader="none" w:pos="1000" w:val="left"/>
        </w:tabs>
        <w:rPr>
          <w:sz w:val="20"/>
          <w:szCs w:val="20"/>
          <w:color w:val="auto"/>
        </w:rPr>
      </w:pPr>
      <w:r>
        <w:rPr>
          <w:rFonts w:ascii="Arial" w:cs="Arial" w:eastAsia="Arial" w:hAnsi="Arial"/>
          <w:sz w:val="24"/>
          <w:szCs w:val="24"/>
          <w:color w:val="auto"/>
        </w:rPr>
        <w:t>2.2.3</w:t>
      </w:r>
      <w:r>
        <w:rPr>
          <w:sz w:val="20"/>
          <w:szCs w:val="20"/>
          <w:color w:val="auto"/>
        </w:rPr>
        <w:tab/>
      </w:r>
      <w:r>
        <w:rPr>
          <w:rFonts w:ascii="Arial" w:cs="Arial" w:eastAsia="Arial" w:hAnsi="Arial"/>
          <w:sz w:val="23"/>
          <w:szCs w:val="23"/>
          <w:color w:val="auto"/>
        </w:rPr>
        <w:t>ESTUDOS ANTERIORES</w:t>
      </w:r>
    </w:p>
    <w:p>
      <w:pPr>
        <w:spacing w:after="0" w:line="237" w:lineRule="exact"/>
        <w:rPr>
          <w:sz w:val="20"/>
          <w:szCs w:val="20"/>
          <w:color w:val="auto"/>
        </w:rPr>
      </w:pPr>
    </w:p>
    <w:p>
      <w:pPr>
        <w:jc w:val="both"/>
        <w:ind w:left="260" w:right="40" w:firstLine="856"/>
        <w:spacing w:after="0" w:line="317" w:lineRule="auto"/>
        <w:rPr>
          <w:sz w:val="20"/>
          <w:szCs w:val="20"/>
          <w:color w:val="auto"/>
        </w:rPr>
      </w:pPr>
      <w:r>
        <w:rPr>
          <w:rFonts w:ascii="Arial" w:cs="Arial" w:eastAsia="Arial" w:hAnsi="Arial"/>
          <w:sz w:val="24"/>
          <w:szCs w:val="24"/>
          <w:color w:val="auto"/>
        </w:rPr>
        <w:t>Na literatura acadêmica não existe uma teoria formalizada acerca do spread bancário (MAGALHÃES-TIMOTIO, 2018). Sendo verificados estudos empíricos que visam classificar, analisar e identificar variáveis micro e macroeconômicas influentes nesse indicador em diversas perspectivas.</w:t>
      </w:r>
    </w:p>
    <w:p>
      <w:pPr>
        <w:spacing w:after="0" w:line="96" w:lineRule="exact"/>
        <w:rPr>
          <w:sz w:val="20"/>
          <w:szCs w:val="20"/>
          <w:color w:val="auto"/>
        </w:rPr>
      </w:pPr>
    </w:p>
    <w:p>
      <w:pPr>
        <w:jc w:val="both"/>
        <w:ind w:left="260" w:firstLine="856"/>
        <w:spacing w:after="0" w:line="315" w:lineRule="auto"/>
        <w:rPr>
          <w:sz w:val="20"/>
          <w:szCs w:val="20"/>
          <w:color w:val="auto"/>
        </w:rPr>
      </w:pPr>
      <w:r>
        <w:rPr>
          <w:rFonts w:ascii="Arial" w:cs="Arial" w:eastAsia="Arial" w:hAnsi="Arial"/>
          <w:sz w:val="24"/>
          <w:szCs w:val="24"/>
          <w:color w:val="auto"/>
        </w:rPr>
        <w:t>A grande maioria dos estudos realizados no Brasil utilizam as medidas de spread bancário divulgadas pelo Banco Central, que remetem a uma perspectiva ex-ante, registrando as taxas planejadas na fase de concessão de crédito. E para as variáveis explicativas a grande maioria utiliza indicadores macroeconômicos (DANTAS, 2012)</w:t>
      </w:r>
    </w:p>
    <w:p>
      <w:pPr>
        <w:spacing w:after="0" w:line="101" w:lineRule="exact"/>
        <w:rPr>
          <w:sz w:val="20"/>
          <w:szCs w:val="20"/>
          <w:color w:val="auto"/>
        </w:rPr>
      </w:pPr>
    </w:p>
    <w:p>
      <w:pPr>
        <w:jc w:val="both"/>
        <w:ind w:left="260" w:firstLine="850"/>
        <w:spacing w:after="0" w:line="317" w:lineRule="auto"/>
        <w:rPr>
          <w:sz w:val="20"/>
          <w:szCs w:val="20"/>
          <w:color w:val="auto"/>
        </w:rPr>
      </w:pPr>
      <w:r>
        <w:rPr>
          <w:rFonts w:ascii="Arial" w:cs="Arial" w:eastAsia="Arial" w:hAnsi="Arial"/>
          <w:sz w:val="24"/>
          <w:szCs w:val="24"/>
          <w:color w:val="auto"/>
        </w:rPr>
        <w:t>No ano de 1994, Aronovich (1994) realizou estudo econométrico para verificar a influência da inflação e nível de atividade econômica no spread bancário ex-ante, encontrando relação direta do spread com a inflação e indireta com o nível de atividade econômica.</w:t>
      </w:r>
    </w:p>
    <w:p>
      <w:pPr>
        <w:sectPr>
          <w:pgSz w:w="11900" w:h="16838" w:orient="portrait"/>
          <w:cols w:equalWidth="0" w:num="1">
            <w:col w:w="9360"/>
          </w:cols>
          <w:pgMar w:left="1440" w:top="991" w:right="1106" w:bottom="1047" w:gutter="0" w:footer="0" w:header="0"/>
          <w:type w:val="continuous"/>
        </w:sectPr>
      </w:pPr>
    </w:p>
    <w:p>
      <w:pPr>
        <w:ind w:left="9060"/>
        <w:spacing w:after="0"/>
        <w:rPr>
          <w:sz w:val="20"/>
          <w:szCs w:val="20"/>
          <w:color w:val="auto"/>
        </w:rPr>
      </w:pPr>
      <w:r>
        <w:rPr>
          <w:rFonts w:ascii="Arial" w:cs="Arial" w:eastAsia="Arial" w:hAnsi="Arial"/>
          <w:sz w:val="24"/>
          <w:szCs w:val="24"/>
          <w:color w:val="auto"/>
        </w:rPr>
        <w:t>31</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Em estudo dos determinantes macroeconômicos do spread bancário ex-ante, Oreiro e Paulo (2006) utilizou modelo de regressão múltipla para identificar as variáveis influentes. O estudo chegou ao resultado que alta volatilidade e as taxas da Selic são um dos principais determinantes desse indicador no setor bancário brasileiro, identificando também a significância do nível de atividade industrial.</w: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820"/>
        <w:spacing w:after="0"/>
        <w:rPr>
          <w:sz w:val="20"/>
          <w:szCs w:val="20"/>
          <w:color w:val="auto"/>
        </w:rPr>
      </w:pPr>
      <w:r>
        <w:rPr>
          <w:rFonts w:ascii="Arial" w:cs="Arial" w:eastAsia="Arial" w:hAnsi="Arial"/>
          <w:sz w:val="24"/>
          <w:szCs w:val="24"/>
          <w:i w:val="1"/>
          <w:iCs w:val="1"/>
          <w:color w:val="auto"/>
        </w:rPr>
        <w:t>lnspread</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24"/>
          <w:szCs w:val="24"/>
          <w:i w:val="1"/>
          <w:iCs w:val="1"/>
          <w:color w:val="auto"/>
        </w:rPr>
        <w:t>trend</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24"/>
          <w:szCs w:val="24"/>
          <w:i w:val="1"/>
          <w:iCs w:val="1"/>
          <w:color w:val="auto"/>
        </w:rPr>
        <w:t>lnselic</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24"/>
          <w:szCs w:val="24"/>
          <w:i w:val="1"/>
          <w:iCs w:val="1"/>
          <w:color w:val="auto"/>
        </w:rPr>
        <w:t>lnadm</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3</w:t>
      </w:r>
      <w:r>
        <w:rPr>
          <w:rFonts w:ascii="Arial" w:cs="Arial" w:eastAsia="Arial" w:hAnsi="Arial"/>
          <w:sz w:val="24"/>
          <w:szCs w:val="24"/>
          <w:i w:val="1"/>
          <w:iCs w:val="1"/>
          <w:color w:val="auto"/>
        </w:rPr>
        <w:t>lnrisk</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4</w:t>
      </w:r>
      <w:r>
        <w:rPr>
          <w:rFonts w:ascii="Arial" w:cs="Arial" w:eastAsia="Arial" w:hAnsi="Arial"/>
          <w:sz w:val="24"/>
          <w:szCs w:val="24"/>
          <w:i w:val="1"/>
          <w:iCs w:val="1"/>
          <w:color w:val="auto"/>
        </w:rPr>
        <w:t>lnimp</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5</w:t>
      </w:r>
      <w:r>
        <w:rPr>
          <w:rFonts w:ascii="Arial" w:cs="Arial" w:eastAsia="Arial" w:hAnsi="Arial"/>
          <w:sz w:val="24"/>
          <w:szCs w:val="24"/>
          <w:i w:val="1"/>
          <w:iCs w:val="1"/>
          <w:color w:val="auto"/>
        </w:rPr>
        <w:t>lncomp</w:t>
      </w:r>
    </w:p>
    <w:p>
      <w:pPr>
        <w:spacing w:after="0" w:line="396" w:lineRule="exact"/>
        <w:rPr>
          <w:sz w:val="20"/>
          <w:szCs w:val="20"/>
          <w:color w:val="auto"/>
        </w:rPr>
      </w:pPr>
    </w:p>
    <w:p>
      <w:pPr>
        <w:ind w:left="840" w:hanging="196"/>
        <w:spacing w:after="0"/>
        <w:tabs>
          <w:tab w:leader="none" w:pos="840" w:val="left"/>
        </w:tabs>
        <w:numPr>
          <w:ilvl w:val="0"/>
          <w:numId w:val="16"/>
        </w:numPr>
        <w:rPr>
          <w:rFonts w:ascii="Arial" w:cs="Arial" w:eastAsia="Arial" w:hAnsi="Arial"/>
          <w:sz w:val="24"/>
          <w:szCs w:val="24"/>
          <w:color w:val="auto"/>
        </w:rPr>
      </w:pPr>
      <w:r>
        <w:rPr>
          <w:rFonts w:ascii="Arial" w:cs="Arial" w:eastAsia="Arial" w:hAnsi="Arial"/>
          <w:sz w:val="24"/>
          <w:szCs w:val="24"/>
          <w:i w:val="1"/>
          <w:iCs w:val="1"/>
          <w:color w:val="auto"/>
        </w:rPr>
        <w:t>β</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(i= 0,. . . , 5) = parâmetros estimados;</w:t>
      </w:r>
    </w:p>
    <w:p>
      <w:pPr>
        <w:spacing w:after="0" w:line="58" w:lineRule="exact"/>
        <w:rPr>
          <w:rFonts w:ascii="Arial" w:cs="Arial" w:eastAsia="Arial" w:hAnsi="Arial"/>
          <w:sz w:val="24"/>
          <w:szCs w:val="24"/>
          <w:color w:val="auto"/>
        </w:rPr>
      </w:pPr>
    </w:p>
    <w:p>
      <w:pPr>
        <w:ind w:left="840" w:hanging="196"/>
        <w:spacing w:after="0"/>
        <w:tabs>
          <w:tab w:leader="none" w:pos="840" w:val="left"/>
        </w:tabs>
        <w:numPr>
          <w:ilvl w:val="0"/>
          <w:numId w:val="16"/>
        </w:numPr>
        <w:rPr>
          <w:rFonts w:ascii="Arial" w:cs="Arial" w:eastAsia="Arial" w:hAnsi="Arial"/>
          <w:sz w:val="24"/>
          <w:szCs w:val="24"/>
          <w:color w:val="auto"/>
        </w:rPr>
      </w:pPr>
      <w:r>
        <w:rPr>
          <w:rFonts w:ascii="Arial" w:cs="Arial" w:eastAsia="Arial" w:hAnsi="Arial"/>
          <w:sz w:val="24"/>
          <w:szCs w:val="24"/>
          <w:color w:val="auto"/>
        </w:rPr>
        <w:t>trend = tendência determinista que controla outras variáveis;</w:t>
      </w:r>
    </w:p>
    <w:p>
      <w:pPr>
        <w:spacing w:after="0" w:line="82" w:lineRule="exact"/>
        <w:rPr>
          <w:rFonts w:ascii="Arial" w:cs="Arial" w:eastAsia="Arial" w:hAnsi="Arial"/>
          <w:sz w:val="24"/>
          <w:szCs w:val="24"/>
          <w:color w:val="auto"/>
        </w:rPr>
      </w:pPr>
    </w:p>
    <w:p>
      <w:pPr>
        <w:ind w:left="840" w:hanging="196"/>
        <w:spacing w:after="0"/>
        <w:tabs>
          <w:tab w:leader="none" w:pos="840" w:val="left"/>
        </w:tabs>
        <w:numPr>
          <w:ilvl w:val="0"/>
          <w:numId w:val="16"/>
        </w:numPr>
        <w:rPr>
          <w:rFonts w:ascii="Arial" w:cs="Arial" w:eastAsia="Arial" w:hAnsi="Arial"/>
          <w:sz w:val="24"/>
          <w:szCs w:val="24"/>
          <w:color w:val="auto"/>
        </w:rPr>
      </w:pPr>
      <w:r>
        <w:rPr>
          <w:rFonts w:ascii="Arial" w:cs="Arial" w:eastAsia="Arial" w:hAnsi="Arial"/>
          <w:sz w:val="24"/>
          <w:szCs w:val="24"/>
          <w:color w:val="auto"/>
        </w:rPr>
        <w:t>selic = taxa Selic;</w:t>
      </w:r>
    </w:p>
    <w:p>
      <w:pPr>
        <w:spacing w:after="0" w:line="82" w:lineRule="exact"/>
        <w:rPr>
          <w:rFonts w:ascii="Arial" w:cs="Arial" w:eastAsia="Arial" w:hAnsi="Arial"/>
          <w:sz w:val="24"/>
          <w:szCs w:val="24"/>
          <w:color w:val="auto"/>
        </w:rPr>
      </w:pPr>
    </w:p>
    <w:p>
      <w:pPr>
        <w:ind w:left="840" w:hanging="196"/>
        <w:spacing w:after="0"/>
        <w:tabs>
          <w:tab w:leader="none" w:pos="840" w:val="left"/>
        </w:tabs>
        <w:numPr>
          <w:ilvl w:val="0"/>
          <w:numId w:val="16"/>
        </w:numPr>
        <w:rPr>
          <w:rFonts w:ascii="Arial" w:cs="Arial" w:eastAsia="Arial" w:hAnsi="Arial"/>
          <w:sz w:val="24"/>
          <w:szCs w:val="24"/>
          <w:color w:val="auto"/>
        </w:rPr>
      </w:pPr>
      <w:r>
        <w:rPr>
          <w:rFonts w:ascii="Arial" w:cs="Arial" w:eastAsia="Arial" w:hAnsi="Arial"/>
          <w:sz w:val="24"/>
          <w:szCs w:val="24"/>
          <w:color w:val="auto"/>
        </w:rPr>
        <w:t>adm = despesa administrativas;</w:t>
      </w:r>
    </w:p>
    <w:p>
      <w:pPr>
        <w:spacing w:after="0" w:line="82" w:lineRule="exact"/>
        <w:rPr>
          <w:rFonts w:ascii="Arial" w:cs="Arial" w:eastAsia="Arial" w:hAnsi="Arial"/>
          <w:sz w:val="24"/>
          <w:szCs w:val="24"/>
          <w:color w:val="auto"/>
        </w:rPr>
      </w:pPr>
    </w:p>
    <w:p>
      <w:pPr>
        <w:ind w:left="840" w:right="40" w:hanging="196"/>
        <w:spacing w:after="0" w:line="311" w:lineRule="auto"/>
        <w:tabs>
          <w:tab w:leader="none" w:pos="840" w:val="left"/>
        </w:tabs>
        <w:numPr>
          <w:ilvl w:val="0"/>
          <w:numId w:val="16"/>
        </w:numPr>
        <w:rPr>
          <w:rFonts w:ascii="Arial" w:cs="Arial" w:eastAsia="Arial" w:hAnsi="Arial"/>
          <w:sz w:val="24"/>
          <w:szCs w:val="24"/>
          <w:color w:val="auto"/>
        </w:rPr>
      </w:pPr>
      <w:r>
        <w:rPr>
          <w:rFonts w:ascii="Arial" w:cs="Arial" w:eastAsia="Arial" w:hAnsi="Arial"/>
          <w:sz w:val="24"/>
          <w:szCs w:val="24"/>
          <w:color w:val="auto"/>
        </w:rPr>
        <w:t>risk = proxy para o risco de crédito (spread do C-Bond sobre o rendimento dos títulos do Tesouro Americano de mesma maturidade;</w:t>
      </w:r>
    </w:p>
    <w:p>
      <w:pPr>
        <w:spacing w:after="0" w:line="1" w:lineRule="exact"/>
        <w:rPr>
          <w:rFonts w:ascii="Arial" w:cs="Arial" w:eastAsia="Arial" w:hAnsi="Arial"/>
          <w:sz w:val="24"/>
          <w:szCs w:val="24"/>
          <w:color w:val="auto"/>
        </w:rPr>
      </w:pPr>
    </w:p>
    <w:p>
      <w:pPr>
        <w:ind w:left="840" w:hanging="196"/>
        <w:spacing w:after="0"/>
        <w:tabs>
          <w:tab w:leader="none" w:pos="840" w:val="left"/>
        </w:tabs>
        <w:numPr>
          <w:ilvl w:val="0"/>
          <w:numId w:val="16"/>
        </w:numPr>
        <w:rPr>
          <w:rFonts w:ascii="Arial" w:cs="Arial" w:eastAsia="Arial" w:hAnsi="Arial"/>
          <w:sz w:val="24"/>
          <w:szCs w:val="24"/>
          <w:color w:val="auto"/>
        </w:rPr>
      </w:pPr>
      <w:r>
        <w:rPr>
          <w:rFonts w:ascii="Arial" w:cs="Arial" w:eastAsia="Arial" w:hAnsi="Arial"/>
          <w:sz w:val="24"/>
          <w:szCs w:val="24"/>
          <w:color w:val="auto"/>
        </w:rPr>
        <w:t>imp são impostos indiretos;</w:t>
      </w:r>
    </w:p>
    <w:p>
      <w:pPr>
        <w:spacing w:after="0" w:line="82" w:lineRule="exact"/>
        <w:rPr>
          <w:rFonts w:ascii="Arial" w:cs="Arial" w:eastAsia="Arial" w:hAnsi="Arial"/>
          <w:sz w:val="24"/>
          <w:szCs w:val="24"/>
          <w:color w:val="auto"/>
        </w:rPr>
      </w:pPr>
    </w:p>
    <w:p>
      <w:pPr>
        <w:ind w:left="840" w:hanging="196"/>
        <w:spacing w:after="0"/>
        <w:tabs>
          <w:tab w:leader="none" w:pos="840" w:val="left"/>
        </w:tabs>
        <w:numPr>
          <w:ilvl w:val="0"/>
          <w:numId w:val="16"/>
        </w:numPr>
        <w:rPr>
          <w:rFonts w:ascii="Arial" w:cs="Arial" w:eastAsia="Arial" w:hAnsi="Arial"/>
          <w:sz w:val="24"/>
          <w:szCs w:val="24"/>
          <w:color w:val="auto"/>
        </w:rPr>
      </w:pPr>
      <w:r>
        <w:rPr>
          <w:rFonts w:ascii="Arial" w:cs="Arial" w:eastAsia="Arial" w:hAnsi="Arial"/>
          <w:sz w:val="24"/>
          <w:szCs w:val="24"/>
          <w:color w:val="auto"/>
        </w:rPr>
        <w:t>comp = compulsório incidente sobre os depósitos à vista.</w:t>
      </w:r>
    </w:p>
    <w:p>
      <w:pPr>
        <w:spacing w:after="0" w:line="200" w:lineRule="exact"/>
        <w:rPr>
          <w:sz w:val="20"/>
          <w:szCs w:val="20"/>
          <w:color w:val="auto"/>
        </w:rPr>
      </w:pPr>
    </w:p>
    <w:p>
      <w:pPr>
        <w:spacing w:after="0" w:line="253" w:lineRule="exact"/>
        <w:rPr>
          <w:sz w:val="20"/>
          <w:szCs w:val="20"/>
          <w:color w:val="auto"/>
        </w:rPr>
      </w:pPr>
    </w:p>
    <w:p>
      <w:pPr>
        <w:jc w:val="both"/>
        <w:ind w:left="260" w:right="20" w:firstLine="850"/>
        <w:spacing w:after="0" w:line="314" w:lineRule="auto"/>
        <w:rPr>
          <w:sz w:val="20"/>
          <w:szCs w:val="20"/>
          <w:color w:val="auto"/>
        </w:rPr>
      </w:pPr>
      <w:r>
        <w:rPr>
          <w:rFonts w:ascii="Arial" w:cs="Arial" w:eastAsia="Arial" w:hAnsi="Arial"/>
          <w:sz w:val="24"/>
          <w:szCs w:val="24"/>
          <w:color w:val="auto"/>
        </w:rPr>
        <w:t>Em análise dos determinantes do spread bancário ex-post, Dantas (2012) utilizou variáveis explanatórias microeconômicas de cada instituição, por meio de dados em painel dinâmico, entre janeiro de 2000 e outubro de 2009, encontrando níveis significativos e diretos com o risco de crédito, grau de concentração e nível de atividade econômica, e indireta com a participação da instituição no mercado, não encontrando níveis significativos com origem de capital e tipo de organismo.</w:t>
      </w:r>
    </w:p>
    <w:p>
      <w:pPr>
        <w:spacing w:after="0" w:line="104"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Outra observação em Dantas (2012) foi a forte relação do spread ex-post no momento atual com o momento anterior imediato, e que as instituições tendem a cobrar maiores taxas, quando maior o nível de concentração do mercado, não encontrando significância da Selic na determinação deste indicador.</w:t>
      </w:r>
    </w:p>
    <w:p>
      <w:pPr>
        <w:spacing w:after="0" w:line="96"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Em Almeida (2013) foi desenvolvido modelo de dados macroeconômicos e microeconômicos em painel, de 64 instituições bancárias para avaliação de determi-nantes do spread ex-post no Brasil entre o primeiro trimestre de 2001 e o segundo trimestre de 2012, encontrando como relevantes as despesas administrativas, receita de serviços, índice de cobertura, PIB e o grau de concentração.</w:t>
      </w:r>
    </w:p>
    <w:p>
      <w:pPr>
        <w:spacing w:after="0" w:line="101"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Em Durigan et al. (2018) foi realizada análise dos fatores macroeconômicos e indicadores industriais que influenciam o spread bancário ex-ante, através de análise de regressão linear multivariada utilizando 18 variáveis em quatro modelos. Chegando a conclusão que o aumento da atividade industrial, a redução do desemprego e o consumo atuam na diminuição do spread bancário.</w:t>
      </w:r>
    </w:p>
    <w:p>
      <w:pPr>
        <w:sectPr>
          <w:pgSz w:w="11900" w:h="16838" w:orient="portrait"/>
          <w:cols w:equalWidth="0" w:num="1">
            <w:col w:w="9360"/>
          </w:cols>
          <w:pgMar w:left="1440" w:top="991" w:right="1106" w:bottom="535" w:gutter="0" w:footer="0" w:header="0"/>
        </w:sectPr>
      </w:pPr>
    </w:p>
    <w:p>
      <w:pPr>
        <w:ind w:left="9060"/>
        <w:spacing w:after="0"/>
        <w:rPr>
          <w:sz w:val="20"/>
          <w:szCs w:val="20"/>
          <w:color w:val="auto"/>
        </w:rPr>
      </w:pPr>
      <w:r>
        <w:rPr>
          <w:rFonts w:ascii="Arial" w:cs="Arial" w:eastAsia="Arial" w:hAnsi="Arial"/>
          <w:sz w:val="24"/>
          <w:szCs w:val="24"/>
          <w:color w:val="auto"/>
        </w:rPr>
        <w:t>32</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314" w:lineRule="auto"/>
        <w:rPr>
          <w:sz w:val="20"/>
          <w:szCs w:val="20"/>
          <w:color w:val="auto"/>
        </w:rPr>
      </w:pPr>
      <w:r>
        <w:rPr>
          <w:rFonts w:ascii="Arial" w:cs="Arial" w:eastAsia="Arial" w:hAnsi="Arial"/>
          <w:sz w:val="24"/>
          <w:szCs w:val="24"/>
          <w:color w:val="auto"/>
        </w:rPr>
        <w:t>Os modelos desenvolvidos por Durigan et al. (2018) demonstraram que há uma relação significativa e direta entre spread e: inadimplência, IPIs (bens de capital, inter-mediários, semiduráveis, não duráveis e consumo duráveis), Selic, PIB, desemprego e o EMBI+ (medida de taxa de risco-país). As relações indiretas com o spread foram encontradas: no IPI de bens de consumo e geral, IPCA, saldo da carteira de crédito e índice de vendas no varejo.</w:t>
      </w:r>
    </w:p>
    <w:p>
      <w:pPr>
        <w:spacing w:after="0" w:line="104"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O estudo de Magalhães-Timotio (2018) teve foco em abordagem microeconô-mica, ao buscar identificar a influência das variações de indicadores financeiros-contábeis no spread em 26 instituições bancárias, através de regressão em dados em painel. Encontrando relações significativas diretas com a alavancagem financeira, retorno sobre o patrimônio líquido, EBITDA, Ativo Total e eficiência.</w:t>
      </w:r>
    </w:p>
    <w:p>
      <w:pPr>
        <w:spacing w:after="0" w:line="101"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No modelo de Magalhães-Timotio (2018) foi encontrada relação significativa e indireta do spread com a participação de capital de terceiros e, não identificada relação significativa com a composição do endividamento, retorno sobre ativos e a liquidez corrente.</w:t>
      </w:r>
    </w:p>
    <w:p>
      <w:pPr>
        <w:spacing w:after="0" w:line="96" w:lineRule="exact"/>
        <w:rPr>
          <w:sz w:val="20"/>
          <w:szCs w:val="20"/>
          <w:color w:val="auto"/>
        </w:rPr>
      </w:pPr>
    </w:p>
    <w:p>
      <w:pPr>
        <w:jc w:val="both"/>
        <w:ind w:left="260" w:right="40" w:firstLine="850"/>
        <w:spacing w:after="0" w:line="334" w:lineRule="auto"/>
        <w:rPr>
          <w:sz w:val="20"/>
          <w:szCs w:val="20"/>
          <w:color w:val="auto"/>
        </w:rPr>
      </w:pPr>
      <w:r>
        <w:rPr>
          <w:rFonts w:ascii="Arial" w:cs="Arial" w:eastAsia="Arial" w:hAnsi="Arial"/>
          <w:sz w:val="23"/>
          <w:szCs w:val="23"/>
          <w:color w:val="auto"/>
        </w:rPr>
        <w:t>De acordo com Durigan et al. (2018) e Dantas (2012), existem poucos estudos inclinados para os determinantes do spread ex-post no Brasil, onde identificaram o estudos de Guimarães (2002). Foram identificados ainda os estudos acerca do spread ex-pots de Fipecafi (2004) (DANTAS, 2012) e Matias (2006) (LEAL, 2006).</w:t>
      </w:r>
    </w:p>
    <w:p>
      <w:pPr>
        <w:spacing w:after="0" w:line="81"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Em Fipecafi (2005) foi realizado estudo de apuração de resultados, ex-post, baseado em demonstrações contábeis entre o 1º semestre de 2005 de instituições que representavam 75,8% do ativo total e 76% do total de crédito. Chegando a um resultado médio de spread bruto de 7,6% para pessoa física e 3,2% para pessoa jurídica, e spread líquido de 1,6% para pessoa física e 0,5% para pessoa jurídica.</w:t>
      </w:r>
    </w:p>
    <w:p>
      <w:pPr>
        <w:spacing w:after="0" w:line="101" w:lineRule="exact"/>
        <w:rPr>
          <w:sz w:val="20"/>
          <w:szCs w:val="20"/>
          <w:color w:val="auto"/>
        </w:rPr>
      </w:pPr>
    </w:p>
    <w:p>
      <w:pPr>
        <w:jc w:val="both"/>
        <w:ind w:left="260" w:firstLine="850"/>
        <w:spacing w:after="0" w:line="334" w:lineRule="auto"/>
        <w:rPr>
          <w:sz w:val="20"/>
          <w:szCs w:val="20"/>
          <w:color w:val="auto"/>
        </w:rPr>
      </w:pPr>
      <w:r>
        <w:rPr>
          <w:rFonts w:ascii="Arial" w:cs="Arial" w:eastAsia="Arial" w:hAnsi="Arial"/>
          <w:sz w:val="23"/>
          <w:szCs w:val="23"/>
          <w:color w:val="auto"/>
        </w:rPr>
        <w:t>A Tabela 5 e a Tabela 6 trazem o resumo dos principais estudos empíricos sobre spread bancário ex-ante no Brasil, com resultados obtidos através de modelagem eco-nométrica com utilização de regressão, tomando variáveis micro e macroeconômicas como explanatórias e demonstrando a relação com o spread ex-ante.</w:t>
      </w:r>
    </w:p>
    <w:p>
      <w:pPr>
        <w:spacing w:after="0" w:line="81" w:lineRule="exact"/>
        <w:rPr>
          <w:sz w:val="20"/>
          <w:szCs w:val="20"/>
          <w:color w:val="auto"/>
        </w:rPr>
      </w:pPr>
    </w:p>
    <w:p>
      <w:pPr>
        <w:jc w:val="both"/>
        <w:ind w:left="260" w:firstLine="850"/>
        <w:spacing w:after="0" w:line="334" w:lineRule="auto"/>
        <w:rPr>
          <w:sz w:val="20"/>
          <w:szCs w:val="20"/>
          <w:color w:val="auto"/>
        </w:rPr>
      </w:pPr>
      <w:r>
        <w:rPr>
          <w:rFonts w:ascii="Arial" w:cs="Arial" w:eastAsia="Arial" w:hAnsi="Arial"/>
          <w:sz w:val="23"/>
          <w:szCs w:val="23"/>
          <w:color w:val="auto"/>
        </w:rPr>
        <w:t>Entre os estudos da Tabela 5 e Tabela 6 que avaliaram a Selic e as despesas administrativas, há um consenso que estas variáveis possuem uma relação de determi-nação direta com o spread ex-ante. Em três estudos que avaliaram impostos indiretos e receita de serviços foi encontrada relação direta com o spread ex-ante.</w:t>
      </w:r>
    </w:p>
    <w:p>
      <w:pPr>
        <w:spacing w:after="0" w:line="81" w:lineRule="exact"/>
        <w:rPr>
          <w:sz w:val="20"/>
          <w:szCs w:val="20"/>
          <w:color w:val="auto"/>
        </w:rPr>
      </w:pPr>
    </w:p>
    <w:p>
      <w:pPr>
        <w:jc w:val="both"/>
        <w:ind w:left="260" w:right="40" w:firstLine="850"/>
        <w:spacing w:after="0" w:line="334" w:lineRule="auto"/>
        <w:rPr>
          <w:sz w:val="20"/>
          <w:szCs w:val="20"/>
          <w:color w:val="auto"/>
        </w:rPr>
      </w:pPr>
      <w:r>
        <w:rPr>
          <w:rFonts w:ascii="Arial" w:cs="Arial" w:eastAsia="Arial" w:hAnsi="Arial"/>
          <w:sz w:val="23"/>
          <w:szCs w:val="23"/>
          <w:color w:val="auto"/>
        </w:rPr>
        <w:t>Ainda analisando a Tabela 5 e a Tabela 6, dois estudos chegaram a resultados diferentes para os efeitos da volatilidade da Selic no spread ex-ante. Os efeitos do IPCA foram testados em três estudos, os dois mais recentes encontraram uma relação indireta com a variável dependente. Em três estudos que examinaram o IGP, dois</w:t>
      </w:r>
    </w:p>
    <w:p>
      <w:pPr>
        <w:sectPr>
          <w:pgSz w:w="11900" w:h="16838" w:orient="portrait"/>
          <w:cols w:equalWidth="0" w:num="1">
            <w:col w:w="9360"/>
          </w:cols>
          <w:pgMar w:left="1440" w:top="991" w:right="1106" w:bottom="777" w:gutter="0" w:footer="0" w:header="0"/>
        </w:sectPr>
      </w:pPr>
    </w:p>
    <w:p>
      <w:pPr>
        <w:ind w:left="9060"/>
        <w:spacing w:after="0"/>
        <w:rPr>
          <w:sz w:val="20"/>
          <w:szCs w:val="20"/>
          <w:color w:val="auto"/>
        </w:rPr>
      </w:pPr>
      <w:r>
        <w:rPr>
          <w:rFonts w:ascii="Arial" w:cs="Arial" w:eastAsia="Arial" w:hAnsi="Arial"/>
          <w:sz w:val="24"/>
          <w:szCs w:val="24"/>
          <w:color w:val="auto"/>
        </w:rPr>
        <w:t>33</w:t>
      </w:r>
    </w:p>
    <w:p>
      <w:pPr>
        <w:spacing w:after="0" w:line="200" w:lineRule="exact"/>
        <w:rPr>
          <w:sz w:val="20"/>
          <w:szCs w:val="20"/>
          <w:color w:val="auto"/>
        </w:rPr>
      </w:pPr>
    </w:p>
    <w:p>
      <w:pPr>
        <w:spacing w:after="0" w:line="215" w:lineRule="exact"/>
        <w:rPr>
          <w:sz w:val="20"/>
          <w:szCs w:val="20"/>
          <w:color w:val="auto"/>
        </w:rPr>
      </w:pPr>
    </w:p>
    <w:p>
      <w:pPr>
        <w:ind w:left="1160"/>
        <w:spacing w:after="0"/>
        <w:rPr>
          <w:sz w:val="20"/>
          <w:szCs w:val="20"/>
          <w:color w:val="auto"/>
        </w:rPr>
      </w:pPr>
      <w:r>
        <w:rPr>
          <w:rFonts w:ascii="Arial" w:cs="Arial" w:eastAsia="Arial" w:hAnsi="Arial"/>
          <w:sz w:val="22"/>
          <w:szCs w:val="22"/>
          <w:color w:val="auto"/>
        </w:rPr>
        <w:t>Tabela 5 – Resumo de estudos sobre o spread ex-ante no Brasil — Parte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485775</wp:posOffset>
                </wp:positionH>
                <wp:positionV relativeFrom="paragraph">
                  <wp:posOffset>332105</wp:posOffset>
                </wp:positionV>
                <wp:extent cx="5078730" cy="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873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5pt,26.15pt" to="438.15pt,26.15pt" o:allowincell="f" strokecolor="#000000" strokeweight="0.936pt"/>
            </w:pict>
          </mc:Fallback>
        </mc:AlternateContent>
      </w:r>
    </w:p>
    <w:p>
      <w:pPr>
        <w:spacing w:after="0" w:line="200" w:lineRule="exact"/>
        <w:rPr>
          <w:sz w:val="20"/>
          <w:szCs w:val="20"/>
          <w:color w:val="auto"/>
        </w:rPr>
      </w:pPr>
    </w:p>
    <w:p>
      <w:pPr>
        <w:spacing w:after="0" w:line="357" w:lineRule="exact"/>
        <w:rPr>
          <w:sz w:val="20"/>
          <w:szCs w:val="20"/>
          <w:color w:val="auto"/>
        </w:rPr>
      </w:pPr>
    </w:p>
    <w:tbl>
      <w:tblPr>
        <w:tblLayout w:type="fixed"/>
        <w:tblInd w:w="760" w:type="dxa"/>
        <w:tblCellMar>
          <w:top w:w="0" w:type="dxa"/>
          <w:left w:w="0" w:type="dxa"/>
          <w:bottom w:w="0" w:type="dxa"/>
          <w:right w:w="0" w:type="dxa"/>
        </w:tblCellMar>
      </w:tblPr>
      <w:tr>
        <w:trPr>
          <w:trHeight w:val="239"/>
        </w:trPr>
        <w:tc>
          <w:tcPr>
            <w:tcW w:w="2480" w:type="dxa"/>
            <w:vAlign w:val="bottom"/>
          </w:tcPr>
          <w:p>
            <w:pPr>
              <w:ind w:left="120"/>
              <w:spacing w:after="0"/>
              <w:rPr>
                <w:sz w:val="20"/>
                <w:szCs w:val="20"/>
                <w:color w:val="auto"/>
              </w:rPr>
            </w:pPr>
            <w:r>
              <w:rPr>
                <w:rFonts w:ascii="Arial" w:cs="Arial" w:eastAsia="Arial" w:hAnsi="Arial"/>
                <w:sz w:val="20"/>
                <w:szCs w:val="20"/>
                <w:color w:val="auto"/>
              </w:rPr>
              <w:t>Variável</w:t>
            </w:r>
          </w:p>
        </w:tc>
        <w:tc>
          <w:tcPr>
            <w:tcW w:w="1320" w:type="dxa"/>
            <w:vAlign w:val="bottom"/>
          </w:tcPr>
          <w:p>
            <w:pPr>
              <w:ind w:left="160"/>
              <w:spacing w:after="0"/>
              <w:rPr>
                <w:sz w:val="20"/>
                <w:szCs w:val="20"/>
                <w:color w:val="auto"/>
              </w:rPr>
            </w:pPr>
            <w:r>
              <w:rPr>
                <w:rFonts w:ascii="Arial" w:cs="Arial" w:eastAsia="Arial" w:hAnsi="Arial"/>
                <w:sz w:val="20"/>
                <w:szCs w:val="20"/>
                <w:color w:val="auto"/>
              </w:rPr>
              <w:t>KOYAMA e</w:t>
            </w:r>
          </w:p>
        </w:tc>
        <w:tc>
          <w:tcPr>
            <w:tcW w:w="1500" w:type="dxa"/>
            <w:vAlign w:val="bottom"/>
          </w:tcPr>
          <w:p>
            <w:pPr>
              <w:ind w:left="200"/>
              <w:spacing w:after="0"/>
              <w:rPr>
                <w:sz w:val="20"/>
                <w:szCs w:val="20"/>
                <w:color w:val="auto"/>
              </w:rPr>
            </w:pPr>
            <w:r>
              <w:rPr>
                <w:rFonts w:ascii="Arial" w:cs="Arial" w:eastAsia="Arial" w:hAnsi="Arial"/>
                <w:sz w:val="20"/>
                <w:szCs w:val="20"/>
                <w:color w:val="auto"/>
                <w:w w:val="99"/>
              </w:rPr>
              <w:t>AFANASIEFF,</w:t>
            </w:r>
          </w:p>
        </w:tc>
        <w:tc>
          <w:tcPr>
            <w:tcW w:w="1360" w:type="dxa"/>
            <w:vAlign w:val="bottom"/>
          </w:tcPr>
          <w:p>
            <w:pPr>
              <w:ind w:left="80"/>
              <w:spacing w:after="0"/>
              <w:rPr>
                <w:sz w:val="20"/>
                <w:szCs w:val="20"/>
                <w:color w:val="auto"/>
              </w:rPr>
            </w:pPr>
            <w:r>
              <w:rPr>
                <w:rFonts w:ascii="Arial" w:cs="Arial" w:eastAsia="Arial" w:hAnsi="Arial"/>
                <w:sz w:val="20"/>
                <w:szCs w:val="20"/>
                <w:color w:val="auto"/>
                <w:w w:val="97"/>
              </w:rPr>
              <w:t>AFANASIEFF,</w:t>
            </w:r>
          </w:p>
        </w:tc>
        <w:tc>
          <w:tcPr>
            <w:tcW w:w="1360" w:type="dxa"/>
            <w:vAlign w:val="bottom"/>
          </w:tcPr>
          <w:p>
            <w:pPr>
              <w:ind w:left="100"/>
              <w:spacing w:after="0"/>
              <w:rPr>
                <w:sz w:val="20"/>
                <w:szCs w:val="20"/>
                <w:color w:val="auto"/>
              </w:rPr>
            </w:pPr>
            <w:r>
              <w:rPr>
                <w:rFonts w:ascii="Arial" w:cs="Arial" w:eastAsia="Arial" w:hAnsi="Arial"/>
                <w:sz w:val="20"/>
                <w:szCs w:val="20"/>
                <w:color w:val="auto"/>
              </w:rPr>
              <w:t>BIGNOTTO</w:t>
            </w:r>
          </w:p>
        </w:tc>
      </w:tr>
      <w:tr>
        <w:trPr>
          <w:trHeight w:val="239"/>
        </w:trPr>
        <w:tc>
          <w:tcPr>
            <w:tcW w:w="2480" w:type="dxa"/>
            <w:vAlign w:val="bottom"/>
          </w:tcPr>
          <w:p>
            <w:pPr>
              <w:spacing w:after="0"/>
              <w:rPr>
                <w:sz w:val="20"/>
                <w:szCs w:val="20"/>
                <w:color w:val="auto"/>
              </w:rPr>
            </w:pPr>
          </w:p>
        </w:tc>
        <w:tc>
          <w:tcPr>
            <w:tcW w:w="1320" w:type="dxa"/>
            <w:vAlign w:val="bottom"/>
          </w:tcPr>
          <w:p>
            <w:pPr>
              <w:ind w:left="160"/>
              <w:spacing w:after="0"/>
              <w:rPr>
                <w:sz w:val="20"/>
                <w:szCs w:val="20"/>
                <w:color w:val="auto"/>
              </w:rPr>
            </w:pPr>
            <w:r>
              <w:rPr>
                <w:rFonts w:ascii="Arial" w:cs="Arial" w:eastAsia="Arial" w:hAnsi="Arial"/>
                <w:sz w:val="20"/>
                <w:szCs w:val="20"/>
                <w:color w:val="auto"/>
              </w:rPr>
              <w:t>NAKANE</w:t>
            </w:r>
          </w:p>
        </w:tc>
        <w:tc>
          <w:tcPr>
            <w:tcW w:w="1500" w:type="dxa"/>
            <w:vAlign w:val="bottom"/>
          </w:tcPr>
          <w:p>
            <w:pPr>
              <w:ind w:left="200"/>
              <w:spacing w:after="0"/>
              <w:rPr>
                <w:sz w:val="20"/>
                <w:szCs w:val="20"/>
                <w:color w:val="auto"/>
              </w:rPr>
            </w:pPr>
            <w:r>
              <w:rPr>
                <w:rFonts w:ascii="Arial" w:cs="Arial" w:eastAsia="Arial" w:hAnsi="Arial"/>
                <w:sz w:val="20"/>
                <w:szCs w:val="20"/>
                <w:color w:val="auto"/>
              </w:rPr>
              <w:t>LHAGER e</w:t>
            </w:r>
          </w:p>
        </w:tc>
        <w:tc>
          <w:tcPr>
            <w:tcW w:w="1360" w:type="dxa"/>
            <w:vAlign w:val="bottom"/>
          </w:tcPr>
          <w:p>
            <w:pPr>
              <w:ind w:left="80"/>
              <w:spacing w:after="0"/>
              <w:rPr>
                <w:sz w:val="20"/>
                <w:szCs w:val="20"/>
                <w:color w:val="auto"/>
              </w:rPr>
            </w:pPr>
            <w:r>
              <w:rPr>
                <w:rFonts w:ascii="Arial" w:cs="Arial" w:eastAsia="Arial" w:hAnsi="Arial"/>
                <w:sz w:val="20"/>
                <w:szCs w:val="20"/>
                <w:color w:val="auto"/>
              </w:rPr>
              <w:t>LHAGER e</w:t>
            </w:r>
          </w:p>
        </w:tc>
        <w:tc>
          <w:tcPr>
            <w:tcW w:w="1360" w:type="dxa"/>
            <w:vAlign w:val="bottom"/>
          </w:tcPr>
          <w:p>
            <w:pPr>
              <w:ind w:left="100"/>
              <w:spacing w:after="0"/>
              <w:rPr>
                <w:sz w:val="20"/>
                <w:szCs w:val="20"/>
                <w:color w:val="auto"/>
              </w:rPr>
            </w:pPr>
            <w:r>
              <w:rPr>
                <w:rFonts w:ascii="Arial" w:cs="Arial" w:eastAsia="Arial" w:hAnsi="Arial"/>
                <w:sz w:val="20"/>
                <w:szCs w:val="20"/>
                <w:color w:val="auto"/>
              </w:rPr>
              <w:t>e RODRI-</w:t>
            </w:r>
          </w:p>
        </w:tc>
      </w:tr>
      <w:tr>
        <w:trPr>
          <w:trHeight w:val="239"/>
        </w:trPr>
        <w:tc>
          <w:tcPr>
            <w:tcW w:w="2480" w:type="dxa"/>
            <w:vAlign w:val="bottom"/>
          </w:tcPr>
          <w:p>
            <w:pPr>
              <w:spacing w:after="0"/>
              <w:rPr>
                <w:sz w:val="20"/>
                <w:szCs w:val="20"/>
                <w:color w:val="auto"/>
              </w:rPr>
            </w:pPr>
          </w:p>
        </w:tc>
        <w:tc>
          <w:tcPr>
            <w:tcW w:w="1320" w:type="dxa"/>
            <w:vAlign w:val="bottom"/>
          </w:tcPr>
          <w:p>
            <w:pPr>
              <w:ind w:left="140"/>
              <w:spacing w:after="0"/>
              <w:rPr>
                <w:sz w:val="20"/>
                <w:szCs w:val="20"/>
                <w:color w:val="auto"/>
              </w:rPr>
            </w:pPr>
            <w:r>
              <w:rPr>
                <w:rFonts w:ascii="Arial" w:cs="Arial" w:eastAsia="Arial" w:hAnsi="Arial"/>
                <w:sz w:val="20"/>
                <w:szCs w:val="20"/>
                <w:color w:val="auto"/>
              </w:rPr>
              <w:t>(2001a e</w:t>
            </w:r>
          </w:p>
        </w:tc>
        <w:tc>
          <w:tcPr>
            <w:tcW w:w="1500" w:type="dxa"/>
            <w:vAlign w:val="bottom"/>
          </w:tcPr>
          <w:p>
            <w:pPr>
              <w:ind w:left="200"/>
              <w:spacing w:after="0"/>
              <w:rPr>
                <w:sz w:val="20"/>
                <w:szCs w:val="20"/>
                <w:color w:val="auto"/>
              </w:rPr>
            </w:pPr>
            <w:r>
              <w:rPr>
                <w:rFonts w:ascii="Arial" w:cs="Arial" w:eastAsia="Arial" w:hAnsi="Arial"/>
                <w:sz w:val="20"/>
                <w:szCs w:val="20"/>
                <w:color w:val="auto"/>
              </w:rPr>
              <w:t>NAKANE</w:t>
            </w:r>
          </w:p>
        </w:tc>
        <w:tc>
          <w:tcPr>
            <w:tcW w:w="1360" w:type="dxa"/>
            <w:vAlign w:val="bottom"/>
          </w:tcPr>
          <w:p>
            <w:pPr>
              <w:ind w:left="80"/>
              <w:spacing w:after="0"/>
              <w:rPr>
                <w:sz w:val="20"/>
                <w:szCs w:val="20"/>
                <w:color w:val="auto"/>
              </w:rPr>
            </w:pPr>
            <w:r>
              <w:rPr>
                <w:rFonts w:ascii="Arial" w:cs="Arial" w:eastAsia="Arial" w:hAnsi="Arial"/>
                <w:sz w:val="20"/>
                <w:szCs w:val="20"/>
                <w:color w:val="auto"/>
              </w:rPr>
              <w:t>NAKANE</w:t>
            </w:r>
          </w:p>
        </w:tc>
        <w:tc>
          <w:tcPr>
            <w:tcW w:w="1360" w:type="dxa"/>
            <w:vAlign w:val="bottom"/>
          </w:tcPr>
          <w:p>
            <w:pPr>
              <w:ind w:left="100"/>
              <w:spacing w:after="0"/>
              <w:rPr>
                <w:sz w:val="20"/>
                <w:szCs w:val="20"/>
                <w:color w:val="auto"/>
              </w:rPr>
            </w:pPr>
            <w:r>
              <w:rPr>
                <w:rFonts w:ascii="Arial" w:cs="Arial" w:eastAsia="Arial" w:hAnsi="Arial"/>
                <w:sz w:val="20"/>
                <w:szCs w:val="20"/>
                <w:color w:val="auto"/>
              </w:rPr>
              <w:t>GUES</w:t>
            </w:r>
          </w:p>
        </w:tc>
      </w:tr>
      <w:tr>
        <w:trPr>
          <w:trHeight w:val="246"/>
        </w:trPr>
        <w:tc>
          <w:tcPr>
            <w:tcW w:w="2480" w:type="dxa"/>
            <w:vAlign w:val="bottom"/>
          </w:tcPr>
          <w:p>
            <w:pPr>
              <w:spacing w:after="0"/>
              <w:rPr>
                <w:sz w:val="21"/>
                <w:szCs w:val="21"/>
                <w:color w:val="auto"/>
              </w:rPr>
            </w:pPr>
          </w:p>
        </w:tc>
        <w:tc>
          <w:tcPr>
            <w:tcW w:w="1320" w:type="dxa"/>
            <w:vAlign w:val="bottom"/>
          </w:tcPr>
          <w:p>
            <w:pPr>
              <w:ind w:left="160"/>
              <w:spacing w:after="0"/>
              <w:rPr>
                <w:sz w:val="20"/>
                <w:szCs w:val="20"/>
                <w:color w:val="auto"/>
              </w:rPr>
            </w:pPr>
            <w:r>
              <w:rPr>
                <w:rFonts w:ascii="Arial" w:cs="Arial" w:eastAsia="Arial" w:hAnsi="Arial"/>
                <w:sz w:val="20"/>
                <w:szCs w:val="20"/>
                <w:color w:val="auto"/>
              </w:rPr>
              <w:t>2001b)</w:t>
            </w:r>
          </w:p>
        </w:tc>
        <w:tc>
          <w:tcPr>
            <w:tcW w:w="1500" w:type="dxa"/>
            <w:vAlign w:val="bottom"/>
          </w:tcPr>
          <w:p>
            <w:pPr>
              <w:ind w:left="200"/>
              <w:spacing w:after="0"/>
              <w:rPr>
                <w:sz w:val="20"/>
                <w:szCs w:val="20"/>
                <w:color w:val="auto"/>
              </w:rPr>
            </w:pPr>
            <w:r>
              <w:rPr>
                <w:rFonts w:ascii="Arial" w:cs="Arial" w:eastAsia="Arial" w:hAnsi="Arial"/>
                <w:sz w:val="20"/>
                <w:szCs w:val="20"/>
                <w:color w:val="auto"/>
              </w:rPr>
              <w:t>(2001)</w:t>
            </w:r>
          </w:p>
        </w:tc>
        <w:tc>
          <w:tcPr>
            <w:tcW w:w="1360" w:type="dxa"/>
            <w:vAlign w:val="bottom"/>
          </w:tcPr>
          <w:p>
            <w:pPr>
              <w:ind w:left="80"/>
              <w:spacing w:after="0"/>
              <w:rPr>
                <w:sz w:val="20"/>
                <w:szCs w:val="20"/>
                <w:color w:val="auto"/>
              </w:rPr>
            </w:pPr>
            <w:r>
              <w:rPr>
                <w:rFonts w:ascii="Arial" w:cs="Arial" w:eastAsia="Arial" w:hAnsi="Arial"/>
                <w:sz w:val="20"/>
                <w:szCs w:val="20"/>
                <w:color w:val="auto"/>
              </w:rPr>
              <w:t>(2002)</w:t>
            </w:r>
          </w:p>
        </w:tc>
        <w:tc>
          <w:tcPr>
            <w:tcW w:w="1360" w:type="dxa"/>
            <w:vAlign w:val="bottom"/>
          </w:tcPr>
          <w:p>
            <w:pPr>
              <w:ind w:left="80"/>
              <w:spacing w:after="0"/>
              <w:rPr>
                <w:sz w:val="20"/>
                <w:szCs w:val="20"/>
                <w:color w:val="auto"/>
              </w:rPr>
            </w:pPr>
            <w:r>
              <w:rPr>
                <w:rFonts w:ascii="Arial" w:cs="Arial" w:eastAsia="Arial" w:hAnsi="Arial"/>
                <w:sz w:val="20"/>
                <w:szCs w:val="20"/>
                <w:color w:val="auto"/>
              </w:rPr>
              <w:t>(2006)</w:t>
            </w:r>
          </w:p>
        </w:tc>
      </w:tr>
      <w:tr>
        <w:trPr>
          <w:trHeight w:val="57"/>
        </w:trPr>
        <w:tc>
          <w:tcPr>
            <w:tcW w:w="2480" w:type="dxa"/>
            <w:vAlign w:val="bottom"/>
            <w:tcBorders>
              <w:bottom w:val="single" w:sz="8" w:color="auto"/>
            </w:tcBorders>
          </w:tcPr>
          <w:p>
            <w:pPr>
              <w:spacing w:after="0"/>
              <w:rPr>
                <w:sz w:val="4"/>
                <w:szCs w:val="4"/>
                <w:color w:val="auto"/>
              </w:rPr>
            </w:pPr>
          </w:p>
        </w:tc>
        <w:tc>
          <w:tcPr>
            <w:tcW w:w="1320" w:type="dxa"/>
            <w:vAlign w:val="bottom"/>
            <w:tcBorders>
              <w:bottom w:val="single" w:sz="8" w:color="auto"/>
            </w:tcBorders>
          </w:tcPr>
          <w:p>
            <w:pPr>
              <w:spacing w:after="0"/>
              <w:rPr>
                <w:sz w:val="4"/>
                <w:szCs w:val="4"/>
                <w:color w:val="auto"/>
              </w:rPr>
            </w:pPr>
          </w:p>
        </w:tc>
        <w:tc>
          <w:tcPr>
            <w:tcW w:w="150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c>
          <w:tcPr>
            <w:tcW w:w="1360" w:type="dxa"/>
            <w:vAlign w:val="bottom"/>
            <w:tcBorders>
              <w:bottom w:val="single" w:sz="8" w:color="auto"/>
            </w:tcBorders>
          </w:tcPr>
          <w:p>
            <w:pPr>
              <w:spacing w:after="0"/>
              <w:rPr>
                <w:sz w:val="4"/>
                <w:szCs w:val="4"/>
                <w:color w:val="auto"/>
              </w:rPr>
            </w:pPr>
          </w:p>
        </w:tc>
      </w:tr>
      <w:tr>
        <w:trPr>
          <w:trHeight w:val="59"/>
        </w:trPr>
        <w:tc>
          <w:tcPr>
            <w:tcW w:w="2480" w:type="dxa"/>
            <w:vAlign w:val="bottom"/>
          </w:tcPr>
          <w:p>
            <w:pPr>
              <w:spacing w:after="0"/>
              <w:rPr>
                <w:sz w:val="5"/>
                <w:szCs w:val="5"/>
                <w:color w:val="auto"/>
              </w:rPr>
            </w:pPr>
          </w:p>
        </w:tc>
        <w:tc>
          <w:tcPr>
            <w:tcW w:w="1320" w:type="dxa"/>
            <w:vAlign w:val="bottom"/>
          </w:tcPr>
          <w:p>
            <w:pPr>
              <w:spacing w:after="0"/>
              <w:rPr>
                <w:sz w:val="5"/>
                <w:szCs w:val="5"/>
                <w:color w:val="auto"/>
              </w:rPr>
            </w:pPr>
          </w:p>
        </w:tc>
        <w:tc>
          <w:tcPr>
            <w:tcW w:w="1500" w:type="dxa"/>
            <w:vAlign w:val="bottom"/>
          </w:tcPr>
          <w:p>
            <w:pPr>
              <w:spacing w:after="0"/>
              <w:rPr>
                <w:sz w:val="5"/>
                <w:szCs w:val="5"/>
                <w:color w:val="auto"/>
              </w:rPr>
            </w:pPr>
          </w:p>
        </w:tc>
        <w:tc>
          <w:tcPr>
            <w:tcW w:w="1360" w:type="dxa"/>
            <w:vAlign w:val="bottom"/>
          </w:tcPr>
          <w:p>
            <w:pPr>
              <w:spacing w:after="0"/>
              <w:rPr>
                <w:sz w:val="5"/>
                <w:szCs w:val="5"/>
                <w:color w:val="auto"/>
              </w:rPr>
            </w:pPr>
          </w:p>
        </w:tc>
        <w:tc>
          <w:tcPr>
            <w:tcW w:w="1360" w:type="dxa"/>
            <w:vAlign w:val="bottom"/>
          </w:tcPr>
          <w:p>
            <w:pPr>
              <w:spacing w:after="0"/>
              <w:rPr>
                <w:sz w:val="5"/>
                <w:szCs w:val="5"/>
                <w:color w:val="auto"/>
              </w:rPr>
            </w:pP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Custos Administrativos</w:t>
            </w:r>
          </w:p>
        </w:tc>
        <w:tc>
          <w:tcPr>
            <w:tcW w:w="1320" w:type="dxa"/>
            <w:vAlign w:val="bottom"/>
            <w:shd w:val="clear" w:color="auto" w:fill="F7F7F7"/>
          </w:tcPr>
          <w:p>
            <w:pPr>
              <w:ind w:left="160"/>
              <w:spacing w:after="0"/>
              <w:rPr>
                <w:sz w:val="20"/>
                <w:szCs w:val="20"/>
                <w:color w:val="auto"/>
              </w:rPr>
            </w:pPr>
            <w:r>
              <w:rPr>
                <w:rFonts w:ascii="Arial" w:cs="Arial" w:eastAsia="Arial" w:hAnsi="Arial"/>
                <w:sz w:val="20"/>
                <w:szCs w:val="20"/>
                <w:color w:val="auto"/>
              </w:rPr>
              <w:t>+</w:t>
            </w:r>
          </w:p>
        </w:tc>
        <w:tc>
          <w:tcPr>
            <w:tcW w:w="150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8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IGP</w:t>
            </w:r>
          </w:p>
        </w:tc>
        <w:tc>
          <w:tcPr>
            <w:tcW w:w="1320" w:type="dxa"/>
            <w:vAlign w:val="bottom"/>
          </w:tcPr>
          <w:p>
            <w:pPr>
              <w:ind w:left="160"/>
              <w:spacing w:after="0"/>
              <w:rPr>
                <w:sz w:val="20"/>
                <w:szCs w:val="20"/>
                <w:color w:val="auto"/>
              </w:rPr>
            </w:pPr>
            <w:r>
              <w:rPr>
                <w:rFonts w:ascii="Arial" w:cs="Arial" w:eastAsia="Arial" w:hAnsi="Arial"/>
                <w:sz w:val="20"/>
                <w:szCs w:val="20"/>
                <w:color w:val="auto"/>
              </w:rPr>
              <w:t>+</w:t>
            </w:r>
          </w:p>
        </w:tc>
        <w:tc>
          <w:tcPr>
            <w:tcW w:w="1500" w:type="dxa"/>
            <w:vAlign w:val="bottom"/>
          </w:tcPr>
          <w:p>
            <w:pPr>
              <w:ind w:left="200"/>
              <w:spacing w:after="0"/>
              <w:rPr>
                <w:sz w:val="20"/>
                <w:szCs w:val="20"/>
                <w:color w:val="auto"/>
              </w:rPr>
            </w:pPr>
            <w:r>
              <w:rPr>
                <w:rFonts w:ascii="Arial" w:cs="Arial" w:eastAsia="Arial" w:hAnsi="Arial"/>
                <w:sz w:val="20"/>
                <w:szCs w:val="20"/>
                <w:color w:val="auto"/>
              </w:rPr>
              <w:t>+</w:t>
            </w:r>
          </w:p>
        </w:tc>
        <w:tc>
          <w:tcPr>
            <w:tcW w:w="1360" w:type="dxa"/>
            <w:vAlign w:val="bottom"/>
          </w:tcPr>
          <w:p>
            <w:pPr>
              <w:ind w:left="80"/>
              <w:spacing w:after="0"/>
              <w:rPr>
                <w:sz w:val="20"/>
                <w:szCs w:val="20"/>
                <w:color w:val="auto"/>
              </w:rPr>
            </w:pPr>
            <w:r>
              <w:rPr>
                <w:rFonts w:ascii="Arial" w:cs="Arial" w:eastAsia="Arial" w:hAnsi="Arial"/>
                <w:sz w:val="20"/>
                <w:szCs w:val="20"/>
                <w:color w:val="auto"/>
              </w:rPr>
              <w:t>-</w:t>
            </w:r>
          </w:p>
        </w:tc>
        <w:tc>
          <w:tcPr>
            <w:tcW w:w="1360" w:type="dxa"/>
            <w:vAlign w:val="bottom"/>
          </w:tcPr>
          <w:p>
            <w:pPr>
              <w:spacing w:after="0"/>
              <w:rPr>
                <w:sz w:val="20"/>
                <w:szCs w:val="20"/>
                <w:color w:val="auto"/>
              </w:rPr>
            </w:pP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Impostos Indiretos</w:t>
            </w:r>
          </w:p>
        </w:tc>
        <w:tc>
          <w:tcPr>
            <w:tcW w:w="1320" w:type="dxa"/>
            <w:vAlign w:val="bottom"/>
            <w:shd w:val="clear" w:color="auto" w:fill="F7F7F7"/>
          </w:tcPr>
          <w:p>
            <w:pPr>
              <w:ind w:left="160"/>
              <w:spacing w:after="0"/>
              <w:rPr>
                <w:sz w:val="20"/>
                <w:szCs w:val="20"/>
                <w:color w:val="auto"/>
              </w:rPr>
            </w:pPr>
            <w:r>
              <w:rPr>
                <w:rFonts w:ascii="Arial" w:cs="Arial" w:eastAsia="Arial" w:hAnsi="Arial"/>
                <w:sz w:val="20"/>
                <w:szCs w:val="20"/>
                <w:color w:val="auto"/>
              </w:rPr>
              <w:t>+</w:t>
            </w:r>
          </w:p>
        </w:tc>
        <w:tc>
          <w:tcPr>
            <w:tcW w:w="150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8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spacing w:after="0"/>
              <w:rPr>
                <w:sz w:val="20"/>
                <w:szCs w:val="20"/>
                <w:color w:val="auto"/>
              </w:rPr>
            </w:pPr>
          </w:p>
        </w:tc>
      </w:tr>
      <w:tr>
        <w:trPr>
          <w:trHeight w:val="219"/>
        </w:trPr>
        <w:tc>
          <w:tcPr>
            <w:tcW w:w="2480" w:type="dxa"/>
            <w:vAlign w:val="bottom"/>
          </w:tcPr>
          <w:p>
            <w:pPr>
              <w:ind w:left="120"/>
              <w:spacing w:after="0" w:line="219" w:lineRule="exact"/>
              <w:rPr>
                <w:sz w:val="20"/>
                <w:szCs w:val="20"/>
                <w:color w:val="auto"/>
              </w:rPr>
            </w:pPr>
            <w:r>
              <w:rPr>
                <w:rFonts w:ascii="Arial" w:cs="Arial" w:eastAsia="Arial" w:hAnsi="Arial"/>
                <w:sz w:val="20"/>
                <w:szCs w:val="20"/>
                <w:b w:val="1"/>
                <w:bCs w:val="1"/>
                <w:color w:val="auto"/>
              </w:rPr>
              <w:t>Requerimento de</w:t>
            </w:r>
          </w:p>
        </w:tc>
        <w:tc>
          <w:tcPr>
            <w:tcW w:w="1320" w:type="dxa"/>
            <w:vAlign w:val="bottom"/>
          </w:tcPr>
          <w:p>
            <w:pPr>
              <w:ind w:left="160"/>
              <w:spacing w:after="0" w:line="219" w:lineRule="exact"/>
              <w:rPr>
                <w:sz w:val="20"/>
                <w:szCs w:val="20"/>
                <w:color w:val="auto"/>
              </w:rPr>
            </w:pPr>
            <w:r>
              <w:rPr>
                <w:rFonts w:ascii="Arial" w:cs="Arial" w:eastAsia="Arial" w:hAnsi="Arial"/>
                <w:sz w:val="20"/>
                <w:szCs w:val="20"/>
                <w:color w:val="auto"/>
              </w:rPr>
              <w:t>+</w:t>
            </w:r>
          </w:p>
        </w:tc>
        <w:tc>
          <w:tcPr>
            <w:tcW w:w="1500" w:type="dxa"/>
            <w:vAlign w:val="bottom"/>
          </w:tcPr>
          <w:p>
            <w:pPr>
              <w:spacing w:after="0"/>
              <w:rPr>
                <w:sz w:val="19"/>
                <w:szCs w:val="19"/>
                <w:color w:val="auto"/>
              </w:rPr>
            </w:pPr>
          </w:p>
        </w:tc>
        <w:tc>
          <w:tcPr>
            <w:tcW w:w="1360" w:type="dxa"/>
            <w:vAlign w:val="bottom"/>
          </w:tcPr>
          <w:p>
            <w:pPr>
              <w:spacing w:after="0"/>
              <w:rPr>
                <w:sz w:val="19"/>
                <w:szCs w:val="19"/>
                <w:color w:val="auto"/>
              </w:rPr>
            </w:pPr>
          </w:p>
        </w:tc>
        <w:tc>
          <w:tcPr>
            <w:tcW w:w="1360" w:type="dxa"/>
            <w:vAlign w:val="bottom"/>
          </w:tcPr>
          <w:p>
            <w:pPr>
              <w:spacing w:after="0"/>
              <w:rPr>
                <w:sz w:val="19"/>
                <w:szCs w:val="19"/>
                <w:color w:val="auto"/>
              </w:rPr>
            </w:pPr>
          </w:p>
        </w:tc>
      </w:tr>
      <w:tr>
        <w:trPr>
          <w:trHeight w:val="254"/>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Reserva</w:t>
            </w:r>
          </w:p>
        </w:tc>
        <w:tc>
          <w:tcPr>
            <w:tcW w:w="1320" w:type="dxa"/>
            <w:vAlign w:val="bottom"/>
          </w:tcPr>
          <w:p>
            <w:pPr>
              <w:spacing w:after="0"/>
              <w:rPr>
                <w:sz w:val="22"/>
                <w:szCs w:val="22"/>
                <w:color w:val="auto"/>
              </w:rPr>
            </w:pPr>
          </w:p>
        </w:tc>
        <w:tc>
          <w:tcPr>
            <w:tcW w:w="150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1360" w:type="dxa"/>
            <w:vAlign w:val="bottom"/>
          </w:tcPr>
          <w:p>
            <w:pPr>
              <w:spacing w:after="0"/>
              <w:rPr>
                <w:sz w:val="22"/>
                <w:szCs w:val="22"/>
                <w:color w:val="auto"/>
              </w:rPr>
            </w:pPr>
          </w:p>
        </w:tc>
      </w:tr>
      <w:tr>
        <w:trPr>
          <w:trHeight w:val="245"/>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Selic</w:t>
            </w:r>
          </w:p>
        </w:tc>
        <w:tc>
          <w:tcPr>
            <w:tcW w:w="1320" w:type="dxa"/>
            <w:vAlign w:val="bottom"/>
            <w:shd w:val="clear" w:color="auto" w:fill="F7F7F7"/>
          </w:tcPr>
          <w:p>
            <w:pPr>
              <w:ind w:left="160"/>
              <w:spacing w:after="0"/>
              <w:rPr>
                <w:sz w:val="20"/>
                <w:szCs w:val="20"/>
                <w:color w:val="auto"/>
              </w:rPr>
            </w:pPr>
            <w:r>
              <w:rPr>
                <w:rFonts w:ascii="Arial" w:cs="Arial" w:eastAsia="Arial" w:hAnsi="Arial"/>
                <w:sz w:val="20"/>
                <w:szCs w:val="20"/>
                <w:color w:val="auto"/>
              </w:rPr>
              <w:t>+</w:t>
            </w:r>
          </w:p>
        </w:tc>
        <w:tc>
          <w:tcPr>
            <w:tcW w:w="150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8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350"/>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Spread Over Treasury</w:t>
            </w:r>
          </w:p>
        </w:tc>
        <w:tc>
          <w:tcPr>
            <w:tcW w:w="1320" w:type="dxa"/>
            <w:vAlign w:val="bottom"/>
          </w:tcPr>
          <w:p>
            <w:pPr>
              <w:ind w:left="160"/>
              <w:spacing w:after="0"/>
              <w:rPr>
                <w:sz w:val="20"/>
                <w:szCs w:val="20"/>
                <w:color w:val="auto"/>
              </w:rPr>
            </w:pPr>
            <w:r>
              <w:rPr>
                <w:rFonts w:ascii="Arial" w:cs="Arial" w:eastAsia="Arial" w:hAnsi="Arial"/>
                <w:sz w:val="20"/>
                <w:szCs w:val="20"/>
                <w:color w:val="auto"/>
              </w:rPr>
              <w:t>+</w:t>
            </w:r>
          </w:p>
        </w:tc>
        <w:tc>
          <w:tcPr>
            <w:tcW w:w="1500" w:type="dxa"/>
            <w:vAlign w:val="bottom"/>
          </w:tcPr>
          <w:p>
            <w:pPr>
              <w:spacing w:after="0"/>
              <w:rPr>
                <w:sz w:val="24"/>
                <w:szCs w:val="24"/>
                <w:color w:val="auto"/>
              </w:rPr>
            </w:pPr>
          </w:p>
        </w:tc>
        <w:tc>
          <w:tcPr>
            <w:tcW w:w="1360" w:type="dxa"/>
            <w:vAlign w:val="bottom"/>
          </w:tcPr>
          <w:p>
            <w:pPr>
              <w:ind w:left="80"/>
              <w:spacing w:after="0"/>
              <w:rPr>
                <w:sz w:val="20"/>
                <w:szCs w:val="20"/>
                <w:color w:val="auto"/>
              </w:rPr>
            </w:pPr>
            <w:r>
              <w:rPr>
                <w:rFonts w:ascii="Arial" w:cs="Arial" w:eastAsia="Arial" w:hAnsi="Arial"/>
                <w:sz w:val="20"/>
                <w:szCs w:val="20"/>
                <w:color w:val="auto"/>
              </w:rPr>
              <w:t>+</w:t>
            </w:r>
          </w:p>
        </w:tc>
        <w:tc>
          <w:tcPr>
            <w:tcW w:w="1360" w:type="dxa"/>
            <w:vAlign w:val="bottom"/>
          </w:tcPr>
          <w:p>
            <w:pPr>
              <w:spacing w:after="0"/>
              <w:rPr>
                <w:sz w:val="24"/>
                <w:szCs w:val="24"/>
                <w:color w:val="auto"/>
              </w:rPr>
            </w:pPr>
          </w:p>
        </w:tc>
      </w:tr>
      <w:tr>
        <w:trPr>
          <w:trHeight w:val="245"/>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Produto Industrial</w:t>
            </w:r>
          </w:p>
        </w:tc>
        <w:tc>
          <w:tcPr>
            <w:tcW w:w="1320" w:type="dxa"/>
            <w:vAlign w:val="bottom"/>
            <w:shd w:val="clear" w:color="auto" w:fill="F7F7F7"/>
          </w:tcPr>
          <w:p>
            <w:pPr>
              <w:ind w:left="160"/>
              <w:spacing w:after="0"/>
              <w:rPr>
                <w:sz w:val="20"/>
                <w:szCs w:val="20"/>
                <w:color w:val="auto"/>
              </w:rPr>
            </w:pPr>
            <w:r>
              <w:rPr>
                <w:rFonts w:ascii="Arial" w:cs="Arial" w:eastAsia="Arial" w:hAnsi="Arial"/>
                <w:sz w:val="20"/>
                <w:szCs w:val="20"/>
                <w:color w:val="auto"/>
              </w:rPr>
              <w:t>-</w:t>
            </w:r>
          </w:p>
        </w:tc>
        <w:tc>
          <w:tcPr>
            <w:tcW w:w="1500" w:type="dxa"/>
            <w:vAlign w:val="bottom"/>
            <w:shd w:val="clear" w:color="auto" w:fill="F7F7F7"/>
          </w:tcPr>
          <w:p>
            <w:pPr>
              <w:spacing w:after="0"/>
              <w:rPr>
                <w:sz w:val="21"/>
                <w:szCs w:val="21"/>
                <w:color w:val="auto"/>
              </w:rPr>
            </w:pPr>
          </w:p>
        </w:tc>
        <w:tc>
          <w:tcPr>
            <w:tcW w:w="1360" w:type="dxa"/>
            <w:vAlign w:val="bottom"/>
            <w:shd w:val="clear" w:color="auto" w:fill="F7F7F7"/>
          </w:tcPr>
          <w:p>
            <w:pPr>
              <w:spacing w:after="0"/>
              <w:rPr>
                <w:sz w:val="21"/>
                <w:szCs w:val="21"/>
                <w:color w:val="auto"/>
              </w:rPr>
            </w:pPr>
          </w:p>
        </w:tc>
        <w:tc>
          <w:tcPr>
            <w:tcW w:w="1360" w:type="dxa"/>
            <w:vAlign w:val="bottom"/>
            <w:shd w:val="clear" w:color="auto" w:fill="F7F7F7"/>
          </w:tcPr>
          <w:p>
            <w:pPr>
              <w:spacing w:after="0"/>
              <w:rPr>
                <w:sz w:val="21"/>
                <w:szCs w:val="21"/>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Ativo Total</w:t>
            </w:r>
          </w:p>
        </w:tc>
        <w:tc>
          <w:tcPr>
            <w:tcW w:w="132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60" w:type="dxa"/>
            <w:vAlign w:val="bottom"/>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Bancos Estrangeiros</w:t>
            </w:r>
          </w:p>
        </w:tc>
        <w:tc>
          <w:tcPr>
            <w:tcW w:w="1320" w:type="dxa"/>
            <w:vAlign w:val="bottom"/>
            <w:shd w:val="clear" w:color="auto" w:fill="F7F7F7"/>
          </w:tcPr>
          <w:p>
            <w:pPr>
              <w:spacing w:after="0"/>
              <w:rPr>
                <w:sz w:val="20"/>
                <w:szCs w:val="20"/>
                <w:color w:val="auto"/>
              </w:rPr>
            </w:pPr>
          </w:p>
        </w:tc>
        <w:tc>
          <w:tcPr>
            <w:tcW w:w="1500" w:type="dxa"/>
            <w:vAlign w:val="bottom"/>
            <w:shd w:val="clear" w:color="auto" w:fill="F7F7F7"/>
          </w:tcPr>
          <w:p>
            <w:pPr>
              <w:spacing w:after="0"/>
              <w:rPr>
                <w:sz w:val="20"/>
                <w:szCs w:val="20"/>
                <w:color w:val="auto"/>
              </w:rPr>
            </w:pPr>
          </w:p>
        </w:tc>
        <w:tc>
          <w:tcPr>
            <w:tcW w:w="1360" w:type="dxa"/>
            <w:vAlign w:val="bottom"/>
            <w:shd w:val="clear" w:color="auto" w:fill="F7F7F7"/>
          </w:tcPr>
          <w:p>
            <w:pPr>
              <w:ind w:left="8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spacing w:after="0"/>
              <w:rPr>
                <w:sz w:val="20"/>
                <w:szCs w:val="20"/>
                <w:color w:val="auto"/>
              </w:rPr>
            </w:pPr>
          </w:p>
        </w:tc>
      </w:tr>
      <w:tr>
        <w:trPr>
          <w:trHeight w:val="248"/>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Captação sem juros</w:t>
            </w:r>
          </w:p>
        </w:tc>
        <w:tc>
          <w:tcPr>
            <w:tcW w:w="1320" w:type="dxa"/>
            <w:vAlign w:val="bottom"/>
          </w:tcPr>
          <w:p>
            <w:pPr>
              <w:spacing w:after="0"/>
              <w:rPr>
                <w:sz w:val="21"/>
                <w:szCs w:val="21"/>
                <w:color w:val="auto"/>
              </w:rPr>
            </w:pPr>
          </w:p>
        </w:tc>
        <w:tc>
          <w:tcPr>
            <w:tcW w:w="1500" w:type="dxa"/>
            <w:vAlign w:val="bottom"/>
          </w:tcPr>
          <w:p>
            <w:pPr>
              <w:ind w:left="200"/>
              <w:spacing w:after="0"/>
              <w:rPr>
                <w:sz w:val="20"/>
                <w:szCs w:val="20"/>
                <w:color w:val="auto"/>
              </w:rPr>
            </w:pPr>
            <w:r>
              <w:rPr>
                <w:rFonts w:ascii="Arial" w:cs="Arial" w:eastAsia="Arial" w:hAnsi="Arial"/>
                <w:sz w:val="20"/>
                <w:szCs w:val="20"/>
                <w:color w:val="auto"/>
              </w:rPr>
              <w:t>+</w:t>
            </w:r>
          </w:p>
        </w:tc>
        <w:tc>
          <w:tcPr>
            <w:tcW w:w="1360" w:type="dxa"/>
            <w:vAlign w:val="bottom"/>
          </w:tcPr>
          <w:p>
            <w:pPr>
              <w:ind w:left="80"/>
              <w:spacing w:after="0"/>
              <w:rPr>
                <w:sz w:val="20"/>
                <w:szCs w:val="20"/>
                <w:color w:val="auto"/>
              </w:rPr>
            </w:pPr>
            <w:r>
              <w:rPr>
                <w:rFonts w:ascii="Arial" w:cs="Arial" w:eastAsia="Arial" w:hAnsi="Arial"/>
                <w:sz w:val="20"/>
                <w:szCs w:val="20"/>
                <w:color w:val="auto"/>
              </w:rPr>
              <w:t>+</w:t>
            </w:r>
          </w:p>
        </w:tc>
        <w:tc>
          <w:tcPr>
            <w:tcW w:w="1360" w:type="dxa"/>
            <w:vAlign w:val="bottom"/>
          </w:tcPr>
          <w:p>
            <w:pPr>
              <w:spacing w:after="0"/>
              <w:rPr>
                <w:sz w:val="21"/>
                <w:szCs w:val="21"/>
                <w:color w:val="auto"/>
              </w:rPr>
            </w:pPr>
          </w:p>
        </w:tc>
      </w:tr>
      <w:tr>
        <w:trPr>
          <w:trHeight w:val="108"/>
        </w:trPr>
        <w:tc>
          <w:tcPr>
            <w:tcW w:w="2480" w:type="dxa"/>
            <w:vAlign w:val="bottom"/>
          </w:tcPr>
          <w:p>
            <w:pPr>
              <w:spacing w:after="0"/>
              <w:rPr>
                <w:sz w:val="9"/>
                <w:szCs w:val="9"/>
                <w:color w:val="auto"/>
              </w:rPr>
            </w:pPr>
          </w:p>
        </w:tc>
        <w:tc>
          <w:tcPr>
            <w:tcW w:w="1320" w:type="dxa"/>
            <w:vAlign w:val="bottom"/>
          </w:tcPr>
          <w:p>
            <w:pPr>
              <w:spacing w:after="0"/>
              <w:rPr>
                <w:sz w:val="9"/>
                <w:szCs w:val="9"/>
                <w:color w:val="auto"/>
              </w:rPr>
            </w:pPr>
          </w:p>
        </w:tc>
        <w:tc>
          <w:tcPr>
            <w:tcW w:w="1500" w:type="dxa"/>
            <w:vAlign w:val="bottom"/>
          </w:tcPr>
          <w:p>
            <w:pPr>
              <w:spacing w:after="0"/>
              <w:rPr>
                <w:sz w:val="9"/>
                <w:szCs w:val="9"/>
                <w:color w:val="auto"/>
              </w:rPr>
            </w:pPr>
          </w:p>
        </w:tc>
        <w:tc>
          <w:tcPr>
            <w:tcW w:w="1360" w:type="dxa"/>
            <w:vAlign w:val="bottom"/>
          </w:tcPr>
          <w:p>
            <w:pPr>
              <w:spacing w:after="0"/>
              <w:rPr>
                <w:sz w:val="9"/>
                <w:szCs w:val="9"/>
                <w:color w:val="auto"/>
              </w:rPr>
            </w:pPr>
          </w:p>
        </w:tc>
        <w:tc>
          <w:tcPr>
            <w:tcW w:w="1360" w:type="dxa"/>
            <w:vAlign w:val="bottom"/>
          </w:tcPr>
          <w:p>
            <w:pPr>
              <w:spacing w:after="0"/>
              <w:rPr>
                <w:sz w:val="9"/>
                <w:szCs w:val="9"/>
                <w:color w:val="auto"/>
              </w:rPr>
            </w:pP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Compulsório</w:t>
            </w:r>
          </w:p>
        </w:tc>
        <w:tc>
          <w:tcPr>
            <w:tcW w:w="1320" w:type="dxa"/>
            <w:vAlign w:val="bottom"/>
            <w:shd w:val="clear" w:color="auto" w:fill="F7F7F7"/>
          </w:tcPr>
          <w:p>
            <w:pPr>
              <w:spacing w:after="0"/>
              <w:rPr>
                <w:sz w:val="20"/>
                <w:szCs w:val="20"/>
                <w:color w:val="auto"/>
              </w:rPr>
            </w:pPr>
          </w:p>
        </w:tc>
        <w:tc>
          <w:tcPr>
            <w:tcW w:w="1500" w:type="dxa"/>
            <w:vAlign w:val="bottom"/>
            <w:shd w:val="clear" w:color="auto" w:fill="F7F7F7"/>
          </w:tcPr>
          <w:p>
            <w:pPr>
              <w:spacing w:after="0"/>
              <w:rPr>
                <w:sz w:val="20"/>
                <w:szCs w:val="20"/>
                <w:color w:val="auto"/>
              </w:rPr>
            </w:pPr>
          </w:p>
        </w:tc>
        <w:tc>
          <w:tcPr>
            <w:tcW w:w="1360" w:type="dxa"/>
            <w:vAlign w:val="bottom"/>
            <w:shd w:val="clear" w:color="auto" w:fill="F7F7F7"/>
          </w:tcPr>
          <w:p>
            <w:pPr>
              <w:spacing w:after="0"/>
              <w:rPr>
                <w:sz w:val="20"/>
                <w:szCs w:val="20"/>
                <w:color w:val="auto"/>
              </w:rPr>
            </w:pP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219"/>
        </w:trPr>
        <w:tc>
          <w:tcPr>
            <w:tcW w:w="2480" w:type="dxa"/>
            <w:vAlign w:val="bottom"/>
          </w:tcPr>
          <w:p>
            <w:pPr>
              <w:ind w:left="120"/>
              <w:spacing w:after="0" w:line="219" w:lineRule="exact"/>
              <w:rPr>
                <w:sz w:val="20"/>
                <w:szCs w:val="20"/>
                <w:color w:val="auto"/>
              </w:rPr>
            </w:pPr>
            <w:r>
              <w:rPr>
                <w:rFonts w:ascii="Arial" w:cs="Arial" w:eastAsia="Arial" w:hAnsi="Arial"/>
                <w:sz w:val="20"/>
                <w:szCs w:val="20"/>
                <w:b w:val="1"/>
                <w:bCs w:val="1"/>
                <w:color w:val="auto"/>
              </w:rPr>
              <w:t>Crescimento PIB</w:t>
            </w:r>
          </w:p>
        </w:tc>
        <w:tc>
          <w:tcPr>
            <w:tcW w:w="1320" w:type="dxa"/>
            <w:vAlign w:val="bottom"/>
          </w:tcPr>
          <w:p>
            <w:pPr>
              <w:spacing w:after="0"/>
              <w:rPr>
                <w:sz w:val="19"/>
                <w:szCs w:val="19"/>
                <w:color w:val="auto"/>
              </w:rPr>
            </w:pPr>
          </w:p>
        </w:tc>
        <w:tc>
          <w:tcPr>
            <w:tcW w:w="1500" w:type="dxa"/>
            <w:vAlign w:val="bottom"/>
          </w:tcPr>
          <w:p>
            <w:pPr>
              <w:ind w:left="200"/>
              <w:spacing w:after="0" w:line="219" w:lineRule="exact"/>
              <w:rPr>
                <w:sz w:val="20"/>
                <w:szCs w:val="20"/>
                <w:color w:val="auto"/>
              </w:rPr>
            </w:pPr>
            <w:r>
              <w:rPr>
                <w:rFonts w:ascii="Arial" w:cs="Arial" w:eastAsia="Arial" w:hAnsi="Arial"/>
                <w:sz w:val="20"/>
                <w:szCs w:val="20"/>
                <w:color w:val="auto"/>
              </w:rPr>
              <w:t>-</w:t>
            </w:r>
          </w:p>
        </w:tc>
        <w:tc>
          <w:tcPr>
            <w:tcW w:w="1360" w:type="dxa"/>
            <w:vAlign w:val="bottom"/>
          </w:tcPr>
          <w:p>
            <w:pPr>
              <w:ind w:left="80"/>
              <w:spacing w:after="0" w:line="219" w:lineRule="exact"/>
              <w:rPr>
                <w:sz w:val="20"/>
                <w:szCs w:val="20"/>
                <w:color w:val="auto"/>
              </w:rPr>
            </w:pPr>
            <w:r>
              <w:rPr>
                <w:rFonts w:ascii="Arial" w:cs="Arial" w:eastAsia="Arial" w:hAnsi="Arial"/>
                <w:sz w:val="20"/>
                <w:szCs w:val="20"/>
                <w:color w:val="auto"/>
              </w:rPr>
              <w:t>+</w:t>
            </w:r>
          </w:p>
        </w:tc>
        <w:tc>
          <w:tcPr>
            <w:tcW w:w="1360" w:type="dxa"/>
            <w:vAlign w:val="bottom"/>
          </w:tcPr>
          <w:p>
            <w:pPr>
              <w:spacing w:after="0"/>
              <w:rPr>
                <w:sz w:val="19"/>
                <w:szCs w:val="19"/>
                <w:color w:val="auto"/>
              </w:rPr>
            </w:pPr>
          </w:p>
        </w:tc>
      </w:tr>
      <w:tr>
        <w:trPr>
          <w:trHeight w:val="254"/>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Industrial</w:t>
            </w:r>
          </w:p>
        </w:tc>
        <w:tc>
          <w:tcPr>
            <w:tcW w:w="1320" w:type="dxa"/>
            <w:vAlign w:val="bottom"/>
          </w:tcPr>
          <w:p>
            <w:pPr>
              <w:spacing w:after="0"/>
              <w:rPr>
                <w:sz w:val="22"/>
                <w:szCs w:val="22"/>
                <w:color w:val="auto"/>
              </w:rPr>
            </w:pPr>
          </w:p>
        </w:tc>
        <w:tc>
          <w:tcPr>
            <w:tcW w:w="1500" w:type="dxa"/>
            <w:vAlign w:val="bottom"/>
          </w:tcPr>
          <w:p>
            <w:pPr>
              <w:spacing w:after="0"/>
              <w:rPr>
                <w:sz w:val="22"/>
                <w:szCs w:val="22"/>
                <w:color w:val="auto"/>
              </w:rPr>
            </w:pPr>
          </w:p>
        </w:tc>
        <w:tc>
          <w:tcPr>
            <w:tcW w:w="1360" w:type="dxa"/>
            <w:vAlign w:val="bottom"/>
          </w:tcPr>
          <w:p>
            <w:pPr>
              <w:spacing w:after="0"/>
              <w:rPr>
                <w:sz w:val="22"/>
                <w:szCs w:val="22"/>
                <w:color w:val="auto"/>
              </w:rPr>
            </w:pPr>
          </w:p>
        </w:tc>
        <w:tc>
          <w:tcPr>
            <w:tcW w:w="1360" w:type="dxa"/>
            <w:vAlign w:val="bottom"/>
          </w:tcPr>
          <w:p>
            <w:pPr>
              <w:spacing w:after="0"/>
              <w:rPr>
                <w:sz w:val="22"/>
                <w:szCs w:val="22"/>
                <w:color w:val="auto"/>
              </w:rPr>
            </w:pPr>
          </w:p>
        </w:tc>
      </w:tr>
      <w:tr>
        <w:trPr>
          <w:trHeight w:val="245"/>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IPCA</w:t>
            </w:r>
          </w:p>
        </w:tc>
        <w:tc>
          <w:tcPr>
            <w:tcW w:w="1320" w:type="dxa"/>
            <w:vAlign w:val="bottom"/>
            <w:shd w:val="clear" w:color="auto" w:fill="F7F7F7"/>
          </w:tcPr>
          <w:p>
            <w:pPr>
              <w:spacing w:after="0"/>
              <w:rPr>
                <w:sz w:val="21"/>
                <w:szCs w:val="21"/>
                <w:color w:val="auto"/>
              </w:rPr>
            </w:pPr>
          </w:p>
        </w:tc>
        <w:tc>
          <w:tcPr>
            <w:tcW w:w="1500" w:type="dxa"/>
            <w:vAlign w:val="bottom"/>
            <w:shd w:val="clear" w:color="auto" w:fill="F7F7F7"/>
          </w:tcPr>
          <w:p>
            <w:pPr>
              <w:spacing w:after="0"/>
              <w:rPr>
                <w:sz w:val="21"/>
                <w:szCs w:val="21"/>
                <w:color w:val="auto"/>
              </w:rPr>
            </w:pPr>
          </w:p>
        </w:tc>
        <w:tc>
          <w:tcPr>
            <w:tcW w:w="1360" w:type="dxa"/>
            <w:vAlign w:val="bottom"/>
            <w:shd w:val="clear" w:color="auto" w:fill="F7F7F7"/>
          </w:tcPr>
          <w:p>
            <w:pPr>
              <w:spacing w:after="0"/>
              <w:rPr>
                <w:sz w:val="21"/>
                <w:szCs w:val="21"/>
                <w:color w:val="auto"/>
              </w:rPr>
            </w:pP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Liquidez</w:t>
            </w:r>
          </w:p>
        </w:tc>
        <w:tc>
          <w:tcPr>
            <w:tcW w:w="132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60" w:type="dxa"/>
            <w:vAlign w:val="bottom"/>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Market Share</w:t>
            </w:r>
          </w:p>
        </w:tc>
        <w:tc>
          <w:tcPr>
            <w:tcW w:w="1320" w:type="dxa"/>
            <w:vAlign w:val="bottom"/>
            <w:shd w:val="clear" w:color="auto" w:fill="F7F7F7"/>
          </w:tcPr>
          <w:p>
            <w:pPr>
              <w:spacing w:after="0"/>
              <w:rPr>
                <w:sz w:val="20"/>
                <w:szCs w:val="20"/>
                <w:color w:val="auto"/>
              </w:rPr>
            </w:pPr>
          </w:p>
        </w:tc>
        <w:tc>
          <w:tcPr>
            <w:tcW w:w="1500" w:type="dxa"/>
            <w:vAlign w:val="bottom"/>
            <w:shd w:val="clear" w:color="auto" w:fill="F7F7F7"/>
          </w:tcPr>
          <w:p>
            <w:pPr>
              <w:spacing w:after="0"/>
              <w:rPr>
                <w:sz w:val="20"/>
                <w:szCs w:val="20"/>
                <w:color w:val="auto"/>
              </w:rPr>
            </w:pPr>
          </w:p>
        </w:tc>
        <w:tc>
          <w:tcPr>
            <w:tcW w:w="1360" w:type="dxa"/>
            <w:vAlign w:val="bottom"/>
            <w:shd w:val="clear" w:color="auto" w:fill="F7F7F7"/>
          </w:tcPr>
          <w:p>
            <w:pPr>
              <w:spacing w:after="0"/>
              <w:rPr>
                <w:sz w:val="20"/>
                <w:szCs w:val="20"/>
                <w:color w:val="auto"/>
              </w:rPr>
            </w:pP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350"/>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Receita Serviços</w:t>
            </w:r>
          </w:p>
        </w:tc>
        <w:tc>
          <w:tcPr>
            <w:tcW w:w="1320" w:type="dxa"/>
            <w:vAlign w:val="bottom"/>
          </w:tcPr>
          <w:p>
            <w:pPr>
              <w:spacing w:after="0"/>
              <w:rPr>
                <w:sz w:val="24"/>
                <w:szCs w:val="24"/>
                <w:color w:val="auto"/>
              </w:rPr>
            </w:pPr>
          </w:p>
        </w:tc>
        <w:tc>
          <w:tcPr>
            <w:tcW w:w="1500" w:type="dxa"/>
            <w:vAlign w:val="bottom"/>
          </w:tcPr>
          <w:p>
            <w:pPr>
              <w:ind w:left="200"/>
              <w:spacing w:after="0"/>
              <w:rPr>
                <w:sz w:val="20"/>
                <w:szCs w:val="20"/>
                <w:color w:val="auto"/>
              </w:rPr>
            </w:pPr>
            <w:r>
              <w:rPr>
                <w:rFonts w:ascii="Arial" w:cs="Arial" w:eastAsia="Arial" w:hAnsi="Arial"/>
                <w:sz w:val="20"/>
                <w:szCs w:val="20"/>
                <w:color w:val="auto"/>
              </w:rPr>
              <w:t>+</w:t>
            </w:r>
          </w:p>
        </w:tc>
        <w:tc>
          <w:tcPr>
            <w:tcW w:w="1360" w:type="dxa"/>
            <w:vAlign w:val="bottom"/>
          </w:tcPr>
          <w:p>
            <w:pPr>
              <w:ind w:left="80"/>
              <w:spacing w:after="0"/>
              <w:rPr>
                <w:sz w:val="20"/>
                <w:szCs w:val="20"/>
                <w:color w:val="auto"/>
              </w:rPr>
            </w:pPr>
            <w:r>
              <w:rPr>
                <w:rFonts w:ascii="Arial" w:cs="Arial" w:eastAsia="Arial" w:hAnsi="Arial"/>
                <w:sz w:val="20"/>
                <w:szCs w:val="20"/>
                <w:color w:val="auto"/>
              </w:rPr>
              <w:t>+</w:t>
            </w:r>
          </w:p>
        </w:tc>
        <w:tc>
          <w:tcPr>
            <w:tcW w:w="1360" w:type="dxa"/>
            <w:vAlign w:val="bottom"/>
          </w:tcPr>
          <w:p>
            <w:pPr>
              <w:ind w:left="100"/>
              <w:spacing w:after="0"/>
              <w:rPr>
                <w:sz w:val="20"/>
                <w:szCs w:val="20"/>
                <w:color w:val="auto"/>
              </w:rPr>
            </w:pPr>
            <w:r>
              <w:rPr>
                <w:rFonts w:ascii="Arial" w:cs="Arial" w:eastAsia="Arial" w:hAnsi="Arial"/>
                <w:sz w:val="20"/>
                <w:szCs w:val="20"/>
                <w:color w:val="auto"/>
              </w:rPr>
              <w:t>+</w:t>
            </w:r>
          </w:p>
        </w:tc>
      </w:tr>
      <w:tr>
        <w:trPr>
          <w:trHeight w:val="245"/>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Risco Crédito</w:t>
            </w:r>
          </w:p>
        </w:tc>
        <w:tc>
          <w:tcPr>
            <w:tcW w:w="1320" w:type="dxa"/>
            <w:vAlign w:val="bottom"/>
            <w:shd w:val="clear" w:color="auto" w:fill="F7F7F7"/>
          </w:tcPr>
          <w:p>
            <w:pPr>
              <w:spacing w:after="0"/>
              <w:rPr>
                <w:sz w:val="21"/>
                <w:szCs w:val="21"/>
                <w:color w:val="auto"/>
              </w:rPr>
            </w:pPr>
          </w:p>
        </w:tc>
        <w:tc>
          <w:tcPr>
            <w:tcW w:w="1500" w:type="dxa"/>
            <w:vAlign w:val="bottom"/>
            <w:shd w:val="clear" w:color="auto" w:fill="F7F7F7"/>
          </w:tcPr>
          <w:p>
            <w:pPr>
              <w:spacing w:after="0"/>
              <w:rPr>
                <w:sz w:val="21"/>
                <w:szCs w:val="21"/>
                <w:color w:val="auto"/>
              </w:rPr>
            </w:pPr>
          </w:p>
        </w:tc>
        <w:tc>
          <w:tcPr>
            <w:tcW w:w="1360" w:type="dxa"/>
            <w:vAlign w:val="bottom"/>
            <w:shd w:val="clear" w:color="auto" w:fill="F7F7F7"/>
          </w:tcPr>
          <w:p>
            <w:pPr>
              <w:spacing w:after="0"/>
              <w:rPr>
                <w:sz w:val="21"/>
                <w:szCs w:val="21"/>
                <w:color w:val="auto"/>
              </w:rPr>
            </w:pPr>
          </w:p>
        </w:tc>
        <w:tc>
          <w:tcPr>
            <w:tcW w:w="1360" w:type="dxa"/>
            <w:vAlign w:val="bottom"/>
            <w:shd w:val="clear" w:color="auto" w:fill="F7F7F7"/>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Risco Juros</w:t>
            </w:r>
          </w:p>
        </w:tc>
        <w:tc>
          <w:tcPr>
            <w:tcW w:w="1320" w:type="dxa"/>
            <w:vAlign w:val="bottom"/>
          </w:tcPr>
          <w:p>
            <w:pPr>
              <w:spacing w:after="0"/>
              <w:rPr>
                <w:sz w:val="20"/>
                <w:szCs w:val="20"/>
                <w:color w:val="auto"/>
              </w:rPr>
            </w:pPr>
          </w:p>
        </w:tc>
        <w:tc>
          <w:tcPr>
            <w:tcW w:w="1500" w:type="dxa"/>
            <w:vAlign w:val="bottom"/>
          </w:tcPr>
          <w:p>
            <w:pPr>
              <w:spacing w:after="0"/>
              <w:rPr>
                <w:sz w:val="20"/>
                <w:szCs w:val="20"/>
                <w:color w:val="auto"/>
              </w:rPr>
            </w:pPr>
          </w:p>
        </w:tc>
        <w:tc>
          <w:tcPr>
            <w:tcW w:w="1360" w:type="dxa"/>
            <w:vAlign w:val="bottom"/>
          </w:tcPr>
          <w:p>
            <w:pPr>
              <w:spacing w:after="0"/>
              <w:rPr>
                <w:sz w:val="20"/>
                <w:szCs w:val="20"/>
                <w:color w:val="auto"/>
              </w:rPr>
            </w:pPr>
          </w:p>
        </w:tc>
        <w:tc>
          <w:tcPr>
            <w:tcW w:w="1360" w:type="dxa"/>
            <w:vAlign w:val="bottom"/>
          </w:tcPr>
          <w:p>
            <w:pPr>
              <w:ind w:left="10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Volatilidade da Selic</w:t>
            </w:r>
          </w:p>
        </w:tc>
        <w:tc>
          <w:tcPr>
            <w:tcW w:w="1320" w:type="dxa"/>
            <w:vAlign w:val="bottom"/>
            <w:shd w:val="clear" w:color="auto" w:fill="F7F7F7"/>
          </w:tcPr>
          <w:p>
            <w:pPr>
              <w:spacing w:after="0"/>
              <w:rPr>
                <w:sz w:val="20"/>
                <w:szCs w:val="20"/>
                <w:color w:val="auto"/>
              </w:rPr>
            </w:pPr>
          </w:p>
        </w:tc>
        <w:tc>
          <w:tcPr>
            <w:tcW w:w="150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1360" w:type="dxa"/>
            <w:vAlign w:val="bottom"/>
            <w:shd w:val="clear" w:color="auto" w:fill="F7F7F7"/>
          </w:tcPr>
          <w:p>
            <w:pPr>
              <w:spacing w:after="0"/>
              <w:rPr>
                <w:sz w:val="20"/>
                <w:szCs w:val="20"/>
                <w:color w:val="auto"/>
              </w:rPr>
            </w:pPr>
          </w:p>
        </w:tc>
        <w:tc>
          <w:tcPr>
            <w:tcW w:w="1360" w:type="dxa"/>
            <w:vAlign w:val="bottom"/>
            <w:shd w:val="clear" w:color="auto" w:fill="F7F7F7"/>
          </w:tcPr>
          <w:p>
            <w:pPr>
              <w:spacing w:after="0"/>
              <w:rPr>
                <w:sz w:val="20"/>
                <w:szCs w:val="20"/>
                <w:color w:val="auto"/>
              </w:rPr>
            </w:pPr>
          </w:p>
        </w:tc>
      </w:tr>
      <w:tr>
        <w:trPr>
          <w:trHeight w:val="41"/>
        </w:trPr>
        <w:tc>
          <w:tcPr>
            <w:tcW w:w="2480" w:type="dxa"/>
            <w:vAlign w:val="bottom"/>
            <w:tcBorders>
              <w:bottom w:val="single" w:sz="8" w:color="auto"/>
            </w:tcBorders>
          </w:tcPr>
          <w:p>
            <w:pPr>
              <w:spacing w:after="0"/>
              <w:rPr>
                <w:sz w:val="3"/>
                <w:szCs w:val="3"/>
                <w:color w:val="auto"/>
              </w:rPr>
            </w:pPr>
          </w:p>
        </w:tc>
        <w:tc>
          <w:tcPr>
            <w:tcW w:w="1320" w:type="dxa"/>
            <w:vAlign w:val="bottom"/>
            <w:tcBorders>
              <w:bottom w:val="single" w:sz="8" w:color="auto"/>
            </w:tcBorders>
          </w:tcPr>
          <w:p>
            <w:pPr>
              <w:spacing w:after="0"/>
              <w:rPr>
                <w:sz w:val="3"/>
                <w:szCs w:val="3"/>
                <w:color w:val="auto"/>
              </w:rPr>
            </w:pPr>
          </w:p>
        </w:tc>
        <w:tc>
          <w:tcPr>
            <w:tcW w:w="1500" w:type="dxa"/>
            <w:vAlign w:val="bottom"/>
            <w:tcBorders>
              <w:bottom w:val="single" w:sz="8" w:color="auto"/>
            </w:tcBorders>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c>
          <w:tcPr>
            <w:tcW w:w="1360" w:type="dxa"/>
            <w:vAlign w:val="bottom"/>
            <w:tcBorders>
              <w:bottom w:val="single" w:sz="8" w:color="auto"/>
            </w:tcBorders>
          </w:tcPr>
          <w:p>
            <w:pPr>
              <w:spacing w:after="0"/>
              <w:rPr>
                <w:sz w:val="3"/>
                <w:szCs w:val="3"/>
                <w:color w:val="auto"/>
              </w:rPr>
            </w:pPr>
          </w:p>
        </w:tc>
      </w:tr>
    </w:tbl>
    <w:p>
      <w:pPr>
        <w:spacing w:after="0" w:line="311" w:lineRule="exact"/>
        <w:rPr>
          <w:sz w:val="20"/>
          <w:szCs w:val="20"/>
          <w:color w:val="auto"/>
        </w:rPr>
      </w:pPr>
    </w:p>
    <w:p>
      <w:pPr>
        <w:jc w:val="center"/>
        <w:ind w:right="-21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das fontes citadas</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60" w:right="40"/>
        <w:spacing w:after="0" w:line="327" w:lineRule="auto"/>
        <w:rPr>
          <w:sz w:val="20"/>
          <w:szCs w:val="20"/>
          <w:color w:val="auto"/>
        </w:rPr>
      </w:pPr>
      <w:r>
        <w:rPr>
          <w:rFonts w:ascii="Arial" w:cs="Arial" w:eastAsia="Arial" w:hAnsi="Arial"/>
          <w:sz w:val="24"/>
          <w:szCs w:val="24"/>
          <w:color w:val="auto"/>
        </w:rPr>
        <w:t>encontram relação direta, sendo que um deles foi repetido em período posterior e encontrou relação indireta.</w:t>
      </w:r>
    </w:p>
    <w:p>
      <w:pPr>
        <w:spacing w:after="0" w:line="85"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A Tabela 7 traz o resumo dos estudos empíricos dos determinantes do spread ex-post no Brasil, por meio de modelos econométricos utilizando regressão. Destaca-se que, entre os estudos, dois encontraram significância de influência direta com o grau de concentração e o spread ex-post. E dois dos estudos chegaram a resultados opostos para os de posição de market share e a variável dependente.</w:t>
      </w:r>
    </w:p>
    <w:p>
      <w:pPr>
        <w:spacing w:after="0" w:line="101"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Este capítulo verificou os principais conceitos, características e estudos acerca do spread bancário no Brasil, identificando as óticas de análise por evolução, com-posição e determinantes através da abrangência da amostra, conteúdo e origem da informação. E que as maiores limitações estão na dificuldade de desagregação de informações para uma análise mais aprofundada.</w:t>
      </w:r>
    </w:p>
    <w:p>
      <w:pPr>
        <w:spacing w:after="0" w:line="101" w:lineRule="exact"/>
        <w:rPr>
          <w:sz w:val="20"/>
          <w:szCs w:val="20"/>
          <w:color w:val="auto"/>
        </w:rPr>
      </w:pPr>
    </w:p>
    <w:p>
      <w:pPr>
        <w:ind w:left="260" w:right="40" w:firstLine="850"/>
        <w:spacing w:after="0" w:line="352" w:lineRule="auto"/>
        <w:rPr>
          <w:sz w:val="20"/>
          <w:szCs w:val="20"/>
          <w:color w:val="auto"/>
        </w:rPr>
      </w:pPr>
      <w:r>
        <w:rPr>
          <w:rFonts w:ascii="Arial" w:cs="Arial" w:eastAsia="Arial" w:hAnsi="Arial"/>
          <w:sz w:val="23"/>
          <w:szCs w:val="23"/>
          <w:color w:val="auto"/>
        </w:rPr>
        <w:t>No próximo capítulo, será descrita a metodologia de trabalho com a formulação das hipóteses baseado nas informações e levantamentos dos capítulos anteriores, nos</w:t>
      </w:r>
    </w:p>
    <w:p>
      <w:pPr>
        <w:sectPr>
          <w:pgSz w:w="11900" w:h="16838" w:orient="portrait"/>
          <w:cols w:equalWidth="0" w:num="1">
            <w:col w:w="9360"/>
          </w:cols>
          <w:pgMar w:left="1440" w:top="991" w:right="1106" w:bottom="592" w:gutter="0" w:footer="0" w:header="0"/>
        </w:sectPr>
      </w:pPr>
    </w:p>
    <w:p>
      <w:pPr>
        <w:jc w:val="right"/>
        <w:spacing w:after="0"/>
        <w:rPr>
          <w:sz w:val="20"/>
          <w:szCs w:val="20"/>
          <w:color w:val="auto"/>
        </w:rPr>
      </w:pPr>
      <w:r>
        <w:rPr>
          <w:rFonts w:ascii="Arial" w:cs="Arial" w:eastAsia="Arial" w:hAnsi="Arial"/>
          <w:sz w:val="24"/>
          <w:szCs w:val="24"/>
          <w:color w:val="auto"/>
        </w:rPr>
        <w:t>34</w:t>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1160"/>
        <w:spacing w:after="0"/>
        <w:rPr>
          <w:sz w:val="20"/>
          <w:szCs w:val="20"/>
          <w:color w:val="auto"/>
        </w:rPr>
      </w:pPr>
      <w:r>
        <w:rPr>
          <w:rFonts w:ascii="Arial" w:cs="Arial" w:eastAsia="Arial" w:hAnsi="Arial"/>
          <w:sz w:val="22"/>
          <w:szCs w:val="22"/>
          <w:color w:val="auto"/>
        </w:rPr>
        <w:t>Tabela 6 – Resumo de estudos sobre o spread ex-ante no Brasil — Parte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381635</wp:posOffset>
                </wp:positionH>
                <wp:positionV relativeFrom="paragraph">
                  <wp:posOffset>332105</wp:posOffset>
                </wp:positionV>
                <wp:extent cx="5287010" cy="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5pt,26.15pt" to="446.35pt,26.15pt" o:allowincell="f" strokecolor="#000000" strokeweight="0.936pt"/>
            </w:pict>
          </mc:Fallback>
        </mc:AlternateContent>
      </w:r>
    </w:p>
    <w:p>
      <w:pPr>
        <w:spacing w:after="0" w:line="200" w:lineRule="exact"/>
        <w:rPr>
          <w:sz w:val="20"/>
          <w:szCs w:val="20"/>
          <w:color w:val="auto"/>
        </w:rPr>
      </w:pPr>
    </w:p>
    <w:p>
      <w:pPr>
        <w:spacing w:after="0" w:line="357" w:lineRule="exact"/>
        <w:rPr>
          <w:sz w:val="20"/>
          <w:szCs w:val="20"/>
          <w:color w:val="auto"/>
        </w:rPr>
      </w:pPr>
    </w:p>
    <w:tbl>
      <w:tblPr>
        <w:tblLayout w:type="fixed"/>
        <w:tblInd w:w="600" w:type="dxa"/>
        <w:tblCellMar>
          <w:top w:w="0" w:type="dxa"/>
          <w:left w:w="0" w:type="dxa"/>
          <w:bottom w:w="0" w:type="dxa"/>
          <w:right w:w="0" w:type="dxa"/>
        </w:tblCellMar>
      </w:tblPr>
      <w:tr>
        <w:trPr>
          <w:trHeight w:val="239"/>
        </w:trPr>
        <w:tc>
          <w:tcPr>
            <w:tcW w:w="2420" w:type="dxa"/>
            <w:vAlign w:val="bottom"/>
          </w:tcPr>
          <w:p>
            <w:pPr>
              <w:ind w:left="120"/>
              <w:spacing w:after="0"/>
              <w:rPr>
                <w:sz w:val="20"/>
                <w:szCs w:val="20"/>
                <w:color w:val="auto"/>
              </w:rPr>
            </w:pPr>
            <w:r>
              <w:rPr>
                <w:rFonts w:ascii="Arial" w:cs="Arial" w:eastAsia="Arial" w:hAnsi="Arial"/>
                <w:sz w:val="20"/>
                <w:szCs w:val="20"/>
                <w:color w:val="auto"/>
              </w:rPr>
              <w:t>Variável</w:t>
            </w:r>
          </w:p>
        </w:tc>
        <w:tc>
          <w:tcPr>
            <w:tcW w:w="1820" w:type="dxa"/>
            <w:vAlign w:val="bottom"/>
          </w:tcPr>
          <w:p>
            <w:pPr>
              <w:ind w:left="200"/>
              <w:spacing w:after="0"/>
              <w:rPr>
                <w:sz w:val="20"/>
                <w:szCs w:val="20"/>
                <w:color w:val="auto"/>
              </w:rPr>
            </w:pPr>
            <w:r>
              <w:rPr>
                <w:rFonts w:ascii="Arial" w:cs="Arial" w:eastAsia="Arial" w:hAnsi="Arial"/>
                <w:sz w:val="20"/>
                <w:szCs w:val="20"/>
                <w:color w:val="auto"/>
              </w:rPr>
              <w:t>OREIRO et al.</w:t>
            </w:r>
          </w:p>
        </w:tc>
        <w:tc>
          <w:tcPr>
            <w:tcW w:w="2060" w:type="dxa"/>
            <w:vAlign w:val="bottom"/>
          </w:tcPr>
          <w:p>
            <w:pPr>
              <w:ind w:left="320"/>
              <w:spacing w:after="0"/>
              <w:rPr>
                <w:sz w:val="20"/>
                <w:szCs w:val="20"/>
                <w:color w:val="auto"/>
              </w:rPr>
            </w:pPr>
            <w:r>
              <w:rPr>
                <w:rFonts w:ascii="Arial" w:cs="Arial" w:eastAsia="Arial" w:hAnsi="Arial"/>
                <w:sz w:val="20"/>
                <w:szCs w:val="20"/>
                <w:color w:val="auto"/>
              </w:rPr>
              <w:t>DURIGAN (2018)</w:t>
            </w:r>
          </w:p>
        </w:tc>
        <w:tc>
          <w:tcPr>
            <w:tcW w:w="2040" w:type="dxa"/>
            <w:vAlign w:val="bottom"/>
          </w:tcPr>
          <w:p>
            <w:pPr>
              <w:ind w:left="200"/>
              <w:spacing w:after="0"/>
              <w:rPr>
                <w:sz w:val="20"/>
                <w:szCs w:val="20"/>
                <w:color w:val="auto"/>
              </w:rPr>
            </w:pPr>
            <w:r>
              <w:rPr>
                <w:rFonts w:ascii="Arial" w:cs="Arial" w:eastAsia="Arial" w:hAnsi="Arial"/>
                <w:sz w:val="20"/>
                <w:szCs w:val="20"/>
                <w:color w:val="auto"/>
              </w:rPr>
              <w:t>ARONOVICH</w:t>
            </w:r>
          </w:p>
        </w:tc>
      </w:tr>
      <w:tr>
        <w:trPr>
          <w:trHeight w:val="246"/>
        </w:trPr>
        <w:tc>
          <w:tcPr>
            <w:tcW w:w="2420" w:type="dxa"/>
            <w:vAlign w:val="bottom"/>
          </w:tcPr>
          <w:p>
            <w:pPr>
              <w:spacing w:after="0"/>
              <w:rPr>
                <w:sz w:val="21"/>
                <w:szCs w:val="21"/>
                <w:color w:val="auto"/>
              </w:rPr>
            </w:pPr>
          </w:p>
        </w:tc>
        <w:tc>
          <w:tcPr>
            <w:tcW w:w="1820" w:type="dxa"/>
            <w:vAlign w:val="bottom"/>
          </w:tcPr>
          <w:p>
            <w:pPr>
              <w:ind w:left="200"/>
              <w:spacing w:after="0"/>
              <w:rPr>
                <w:sz w:val="20"/>
                <w:szCs w:val="20"/>
                <w:color w:val="auto"/>
              </w:rPr>
            </w:pPr>
            <w:r>
              <w:rPr>
                <w:rFonts w:ascii="Arial" w:cs="Arial" w:eastAsia="Arial" w:hAnsi="Arial"/>
                <w:sz w:val="20"/>
                <w:szCs w:val="20"/>
                <w:color w:val="auto"/>
              </w:rPr>
              <w:t>(2006)</w:t>
            </w:r>
          </w:p>
        </w:tc>
        <w:tc>
          <w:tcPr>
            <w:tcW w:w="2060" w:type="dxa"/>
            <w:vAlign w:val="bottom"/>
          </w:tcPr>
          <w:p>
            <w:pPr>
              <w:spacing w:after="0"/>
              <w:rPr>
                <w:sz w:val="21"/>
                <w:szCs w:val="21"/>
                <w:color w:val="auto"/>
              </w:rPr>
            </w:pPr>
          </w:p>
        </w:tc>
        <w:tc>
          <w:tcPr>
            <w:tcW w:w="2040" w:type="dxa"/>
            <w:vAlign w:val="bottom"/>
          </w:tcPr>
          <w:p>
            <w:pPr>
              <w:ind w:left="200"/>
              <w:spacing w:after="0"/>
              <w:rPr>
                <w:sz w:val="20"/>
                <w:szCs w:val="20"/>
                <w:color w:val="auto"/>
              </w:rPr>
            </w:pPr>
            <w:r>
              <w:rPr>
                <w:rFonts w:ascii="Arial" w:cs="Arial" w:eastAsia="Arial" w:hAnsi="Arial"/>
                <w:sz w:val="20"/>
                <w:szCs w:val="20"/>
                <w:color w:val="auto"/>
              </w:rPr>
              <w:t>(1994)</w:t>
            </w:r>
          </w:p>
        </w:tc>
      </w:tr>
      <w:tr>
        <w:trPr>
          <w:trHeight w:val="57"/>
        </w:trPr>
        <w:tc>
          <w:tcPr>
            <w:tcW w:w="2420" w:type="dxa"/>
            <w:vAlign w:val="bottom"/>
            <w:tcBorders>
              <w:bottom w:val="single" w:sz="8" w:color="auto"/>
            </w:tcBorders>
          </w:tcPr>
          <w:p>
            <w:pPr>
              <w:spacing w:after="0"/>
              <w:rPr>
                <w:sz w:val="4"/>
                <w:szCs w:val="4"/>
                <w:color w:val="auto"/>
              </w:rPr>
            </w:pPr>
          </w:p>
        </w:tc>
        <w:tc>
          <w:tcPr>
            <w:tcW w:w="1820" w:type="dxa"/>
            <w:vAlign w:val="bottom"/>
            <w:tcBorders>
              <w:bottom w:val="single" w:sz="8" w:color="auto"/>
            </w:tcBorders>
          </w:tcPr>
          <w:p>
            <w:pPr>
              <w:spacing w:after="0"/>
              <w:rPr>
                <w:sz w:val="4"/>
                <w:szCs w:val="4"/>
                <w:color w:val="auto"/>
              </w:rPr>
            </w:pPr>
          </w:p>
        </w:tc>
        <w:tc>
          <w:tcPr>
            <w:tcW w:w="2060" w:type="dxa"/>
            <w:vAlign w:val="bottom"/>
            <w:tcBorders>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r>
      <w:tr>
        <w:trPr>
          <w:trHeight w:val="59"/>
        </w:trPr>
        <w:tc>
          <w:tcPr>
            <w:tcW w:w="2420" w:type="dxa"/>
            <w:vAlign w:val="bottom"/>
          </w:tcPr>
          <w:p>
            <w:pPr>
              <w:spacing w:after="0"/>
              <w:rPr>
                <w:sz w:val="5"/>
                <w:szCs w:val="5"/>
                <w:color w:val="auto"/>
              </w:rPr>
            </w:pPr>
          </w:p>
        </w:tc>
        <w:tc>
          <w:tcPr>
            <w:tcW w:w="1820" w:type="dxa"/>
            <w:vAlign w:val="bottom"/>
          </w:tcPr>
          <w:p>
            <w:pPr>
              <w:spacing w:after="0"/>
              <w:rPr>
                <w:sz w:val="5"/>
                <w:szCs w:val="5"/>
                <w:color w:val="auto"/>
              </w:rPr>
            </w:pPr>
          </w:p>
        </w:tc>
        <w:tc>
          <w:tcPr>
            <w:tcW w:w="2060" w:type="dxa"/>
            <w:vAlign w:val="bottom"/>
          </w:tcPr>
          <w:p>
            <w:pPr>
              <w:spacing w:after="0"/>
              <w:rPr>
                <w:sz w:val="5"/>
                <w:szCs w:val="5"/>
                <w:color w:val="auto"/>
              </w:rPr>
            </w:pPr>
          </w:p>
        </w:tc>
        <w:tc>
          <w:tcPr>
            <w:tcW w:w="2040" w:type="dxa"/>
            <w:vAlign w:val="bottom"/>
          </w:tcPr>
          <w:p>
            <w:pPr>
              <w:spacing w:after="0"/>
              <w:rPr>
                <w:sz w:val="5"/>
                <w:szCs w:val="5"/>
                <w:color w:val="auto"/>
              </w:rPr>
            </w:pP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Selic</w:t>
            </w:r>
          </w:p>
        </w:tc>
        <w:tc>
          <w:tcPr>
            <w:tcW w:w="182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Produto Industrial</w:t>
            </w:r>
          </w:p>
        </w:tc>
        <w:tc>
          <w:tcPr>
            <w:tcW w:w="1820" w:type="dxa"/>
            <w:vAlign w:val="bottom"/>
          </w:tcPr>
          <w:p>
            <w:pPr>
              <w:ind w:left="200"/>
              <w:spacing w:after="0"/>
              <w:rPr>
                <w:sz w:val="20"/>
                <w:szCs w:val="20"/>
                <w:color w:val="auto"/>
              </w:rPr>
            </w:pPr>
            <w:r>
              <w:rPr>
                <w:rFonts w:ascii="Arial" w:cs="Arial" w:eastAsia="Arial" w:hAnsi="Arial"/>
                <w:sz w:val="20"/>
                <w:szCs w:val="20"/>
                <w:color w:val="auto"/>
              </w:rPr>
              <w:t>+</w:t>
            </w:r>
          </w:p>
        </w:tc>
        <w:tc>
          <w:tcPr>
            <w:tcW w:w="2060" w:type="dxa"/>
            <w:vAlign w:val="bottom"/>
          </w:tcPr>
          <w:p>
            <w:pPr>
              <w:spacing w:after="0"/>
              <w:rPr>
                <w:sz w:val="20"/>
                <w:szCs w:val="20"/>
                <w:color w:val="auto"/>
              </w:rPr>
            </w:pPr>
          </w:p>
        </w:tc>
        <w:tc>
          <w:tcPr>
            <w:tcW w:w="2040" w:type="dxa"/>
            <w:vAlign w:val="bottom"/>
          </w:tcPr>
          <w:p>
            <w:pPr>
              <w:spacing w:after="0"/>
              <w:rPr>
                <w:sz w:val="20"/>
                <w:szCs w:val="20"/>
                <w:color w:val="auto"/>
              </w:rPr>
            </w:pP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Atividade Econômica</w:t>
            </w:r>
          </w:p>
        </w:tc>
        <w:tc>
          <w:tcPr>
            <w:tcW w:w="1820" w:type="dxa"/>
            <w:vAlign w:val="bottom"/>
            <w:shd w:val="clear" w:color="auto" w:fill="F7F7F7"/>
          </w:tcPr>
          <w:p>
            <w:pPr>
              <w:spacing w:after="0"/>
              <w:rPr>
                <w:sz w:val="20"/>
                <w:szCs w:val="20"/>
                <w:color w:val="auto"/>
              </w:rPr>
            </w:pPr>
          </w:p>
        </w:tc>
        <w:tc>
          <w:tcPr>
            <w:tcW w:w="2060" w:type="dxa"/>
            <w:vAlign w:val="bottom"/>
            <w:shd w:val="clear" w:color="auto" w:fill="F7F7F7"/>
          </w:tcPr>
          <w:p>
            <w:pPr>
              <w:spacing w:after="0"/>
              <w:rPr>
                <w:sz w:val="20"/>
                <w:szCs w:val="20"/>
                <w:color w:val="auto"/>
              </w:rPr>
            </w:pPr>
          </w:p>
        </w:tc>
        <w:tc>
          <w:tcPr>
            <w:tcW w:w="2040" w:type="dxa"/>
            <w:vAlign w:val="bottom"/>
            <w:shd w:val="clear" w:color="auto" w:fill="F7F7F7"/>
          </w:tcPr>
          <w:p>
            <w:pPr>
              <w:ind w:left="200"/>
              <w:spacing w:after="0"/>
              <w:rPr>
                <w:sz w:val="20"/>
                <w:szCs w:val="20"/>
                <w:color w:val="auto"/>
              </w:rPr>
            </w:pPr>
            <w:r>
              <w:rPr>
                <w:rFonts w:ascii="Arial" w:cs="Arial" w:eastAsia="Arial" w:hAnsi="Arial"/>
                <w:sz w:val="20"/>
                <w:szCs w:val="20"/>
                <w:color w:val="auto"/>
              </w:rPr>
              <w:t>-</w:t>
            </w: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Desemprego</w:t>
            </w:r>
          </w:p>
        </w:tc>
        <w:tc>
          <w:tcPr>
            <w:tcW w:w="1820" w:type="dxa"/>
            <w:vAlign w:val="bottom"/>
          </w:tcPr>
          <w:p>
            <w:pPr>
              <w:spacing w:after="0"/>
              <w:rPr>
                <w:sz w:val="20"/>
                <w:szCs w:val="20"/>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EMBI</w:t>
            </w:r>
          </w:p>
        </w:tc>
        <w:tc>
          <w:tcPr>
            <w:tcW w:w="182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350"/>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Inadimplência</w:t>
            </w:r>
          </w:p>
        </w:tc>
        <w:tc>
          <w:tcPr>
            <w:tcW w:w="1820" w:type="dxa"/>
            <w:vAlign w:val="bottom"/>
          </w:tcPr>
          <w:p>
            <w:pPr>
              <w:spacing w:after="0"/>
              <w:rPr>
                <w:sz w:val="24"/>
                <w:szCs w:val="24"/>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4"/>
                <w:szCs w:val="24"/>
                <w:color w:val="auto"/>
              </w:rPr>
            </w:pPr>
          </w:p>
        </w:tc>
      </w:tr>
      <w:tr>
        <w:trPr>
          <w:trHeight w:val="242"/>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Índice Volume Vendas</w:t>
            </w:r>
          </w:p>
        </w:tc>
        <w:tc>
          <w:tcPr>
            <w:tcW w:w="1820" w:type="dxa"/>
            <w:vAlign w:val="bottom"/>
            <w:shd w:val="clear" w:color="auto" w:fill="F7F7F7"/>
          </w:tcPr>
          <w:p>
            <w:pPr>
              <w:spacing w:after="0"/>
              <w:rPr>
                <w:sz w:val="21"/>
                <w:szCs w:val="21"/>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1"/>
                <w:szCs w:val="21"/>
                <w:color w:val="auto"/>
              </w:rPr>
            </w:pPr>
          </w:p>
        </w:tc>
      </w:tr>
      <w:tr>
        <w:trPr>
          <w:trHeight w:val="260"/>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Varejo</w:t>
            </w:r>
          </w:p>
        </w:tc>
        <w:tc>
          <w:tcPr>
            <w:tcW w:w="1820" w:type="dxa"/>
            <w:vAlign w:val="bottom"/>
            <w:shd w:val="clear" w:color="auto" w:fill="F7F7F7"/>
          </w:tcPr>
          <w:p>
            <w:pPr>
              <w:spacing w:after="0"/>
              <w:rPr>
                <w:sz w:val="22"/>
                <w:szCs w:val="22"/>
                <w:color w:val="auto"/>
              </w:rPr>
            </w:pPr>
          </w:p>
        </w:tc>
        <w:tc>
          <w:tcPr>
            <w:tcW w:w="2060" w:type="dxa"/>
            <w:vAlign w:val="bottom"/>
            <w:shd w:val="clear" w:color="auto" w:fill="F7F7F7"/>
          </w:tcPr>
          <w:p>
            <w:pPr>
              <w:spacing w:after="0"/>
              <w:rPr>
                <w:sz w:val="22"/>
                <w:szCs w:val="22"/>
                <w:color w:val="auto"/>
              </w:rPr>
            </w:pPr>
          </w:p>
        </w:tc>
        <w:tc>
          <w:tcPr>
            <w:tcW w:w="2040" w:type="dxa"/>
            <w:vAlign w:val="bottom"/>
            <w:shd w:val="clear" w:color="auto" w:fill="F7F7F7"/>
          </w:tcPr>
          <w:p>
            <w:pPr>
              <w:spacing w:after="0"/>
              <w:rPr>
                <w:sz w:val="22"/>
                <w:szCs w:val="22"/>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IPCA</w:t>
            </w:r>
          </w:p>
        </w:tc>
        <w:tc>
          <w:tcPr>
            <w:tcW w:w="1820" w:type="dxa"/>
            <w:vAlign w:val="bottom"/>
          </w:tcPr>
          <w:p>
            <w:pPr>
              <w:spacing w:after="0"/>
              <w:rPr>
                <w:sz w:val="20"/>
                <w:szCs w:val="20"/>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ind w:left="200"/>
              <w:spacing w:after="0"/>
              <w:rPr>
                <w:sz w:val="20"/>
                <w:szCs w:val="20"/>
                <w:color w:val="auto"/>
              </w:rPr>
            </w:pPr>
            <w:r>
              <w:rPr>
                <w:rFonts w:ascii="Arial" w:cs="Arial" w:eastAsia="Arial" w:hAnsi="Arial"/>
                <w:sz w:val="20"/>
                <w:szCs w:val="20"/>
                <w:color w:val="auto"/>
              </w:rPr>
              <w:t>+</w:t>
            </w: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IPI bcd</w:t>
            </w:r>
          </w:p>
        </w:tc>
        <w:tc>
          <w:tcPr>
            <w:tcW w:w="182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248"/>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 Bens de Capital</w:t>
            </w:r>
          </w:p>
        </w:tc>
        <w:tc>
          <w:tcPr>
            <w:tcW w:w="1820" w:type="dxa"/>
            <w:vAlign w:val="bottom"/>
          </w:tcPr>
          <w:p>
            <w:pPr>
              <w:spacing w:after="0"/>
              <w:rPr>
                <w:sz w:val="21"/>
                <w:szCs w:val="21"/>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1"/>
                <w:szCs w:val="21"/>
                <w:color w:val="auto"/>
              </w:rPr>
            </w:pPr>
          </w:p>
        </w:tc>
      </w:tr>
      <w:tr>
        <w:trPr>
          <w:trHeight w:val="108"/>
        </w:trPr>
        <w:tc>
          <w:tcPr>
            <w:tcW w:w="2420" w:type="dxa"/>
            <w:vAlign w:val="bottom"/>
          </w:tcPr>
          <w:p>
            <w:pPr>
              <w:spacing w:after="0"/>
              <w:rPr>
                <w:sz w:val="9"/>
                <w:szCs w:val="9"/>
                <w:color w:val="auto"/>
              </w:rPr>
            </w:pPr>
          </w:p>
        </w:tc>
        <w:tc>
          <w:tcPr>
            <w:tcW w:w="1820" w:type="dxa"/>
            <w:vAlign w:val="bottom"/>
          </w:tcPr>
          <w:p>
            <w:pPr>
              <w:spacing w:after="0"/>
              <w:rPr>
                <w:sz w:val="9"/>
                <w:szCs w:val="9"/>
                <w:color w:val="auto"/>
              </w:rPr>
            </w:pPr>
          </w:p>
        </w:tc>
        <w:tc>
          <w:tcPr>
            <w:tcW w:w="2060" w:type="dxa"/>
            <w:vAlign w:val="bottom"/>
          </w:tcPr>
          <w:p>
            <w:pPr>
              <w:spacing w:after="0"/>
              <w:rPr>
                <w:sz w:val="9"/>
                <w:szCs w:val="9"/>
                <w:color w:val="auto"/>
              </w:rPr>
            </w:pPr>
          </w:p>
        </w:tc>
        <w:tc>
          <w:tcPr>
            <w:tcW w:w="2040" w:type="dxa"/>
            <w:vAlign w:val="bottom"/>
          </w:tcPr>
          <w:p>
            <w:pPr>
              <w:spacing w:after="0"/>
              <w:rPr>
                <w:sz w:val="9"/>
                <w:szCs w:val="9"/>
                <w:color w:val="auto"/>
              </w:rPr>
            </w:pP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IPI Bens de Consumo</w:t>
            </w:r>
          </w:p>
        </w:tc>
        <w:tc>
          <w:tcPr>
            <w:tcW w:w="182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 Bens i</w:t>
            </w:r>
          </w:p>
        </w:tc>
        <w:tc>
          <w:tcPr>
            <w:tcW w:w="1820" w:type="dxa"/>
            <w:vAlign w:val="bottom"/>
          </w:tcPr>
          <w:p>
            <w:pPr>
              <w:spacing w:after="0"/>
              <w:rPr>
                <w:sz w:val="20"/>
                <w:szCs w:val="20"/>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IPI bsd</w:t>
            </w:r>
          </w:p>
        </w:tc>
        <w:tc>
          <w:tcPr>
            <w:tcW w:w="182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239"/>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IPI Geral</w:t>
            </w:r>
          </w:p>
        </w:tc>
        <w:tc>
          <w:tcPr>
            <w:tcW w:w="1820" w:type="dxa"/>
            <w:vAlign w:val="bottom"/>
          </w:tcPr>
          <w:p>
            <w:pPr>
              <w:spacing w:after="0"/>
              <w:rPr>
                <w:sz w:val="20"/>
                <w:szCs w:val="20"/>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0"/>
                <w:szCs w:val="20"/>
                <w:color w:val="auto"/>
              </w:rPr>
            </w:pPr>
          </w:p>
        </w:tc>
      </w:tr>
      <w:tr>
        <w:trPr>
          <w:trHeight w:val="239"/>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IPIad</w:t>
            </w:r>
          </w:p>
        </w:tc>
        <w:tc>
          <w:tcPr>
            <w:tcW w:w="1820" w:type="dxa"/>
            <w:vAlign w:val="bottom"/>
            <w:shd w:val="clear" w:color="auto" w:fill="F7F7F7"/>
          </w:tcPr>
          <w:p>
            <w:pPr>
              <w:spacing w:after="0"/>
              <w:rPr>
                <w:sz w:val="20"/>
                <w:szCs w:val="20"/>
                <w:color w:val="auto"/>
              </w:rPr>
            </w:pPr>
          </w:p>
        </w:tc>
        <w:tc>
          <w:tcPr>
            <w:tcW w:w="2060" w:type="dxa"/>
            <w:vAlign w:val="bottom"/>
            <w:shd w:val="clear" w:color="auto" w:fill="F7F7F7"/>
          </w:tcPr>
          <w:p>
            <w:pPr>
              <w:ind w:left="32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r>
      <w:tr>
        <w:trPr>
          <w:trHeight w:val="350"/>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PIB</w:t>
            </w:r>
          </w:p>
        </w:tc>
        <w:tc>
          <w:tcPr>
            <w:tcW w:w="1820" w:type="dxa"/>
            <w:vAlign w:val="bottom"/>
          </w:tcPr>
          <w:p>
            <w:pPr>
              <w:spacing w:after="0"/>
              <w:rPr>
                <w:sz w:val="24"/>
                <w:szCs w:val="24"/>
                <w:color w:val="auto"/>
              </w:rPr>
            </w:pPr>
          </w:p>
        </w:tc>
        <w:tc>
          <w:tcPr>
            <w:tcW w:w="2060" w:type="dxa"/>
            <w:vAlign w:val="bottom"/>
          </w:tcPr>
          <w:p>
            <w:pPr>
              <w:ind w:left="32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4"/>
                <w:szCs w:val="24"/>
                <w:color w:val="auto"/>
              </w:rPr>
            </w:pPr>
          </w:p>
        </w:tc>
      </w:tr>
      <w:tr>
        <w:trPr>
          <w:trHeight w:val="224"/>
        </w:trPr>
        <w:tc>
          <w:tcPr>
            <w:tcW w:w="2420" w:type="dxa"/>
            <w:vAlign w:val="bottom"/>
            <w:shd w:val="clear" w:color="auto" w:fill="F7F7F7"/>
          </w:tcPr>
          <w:p>
            <w:pPr>
              <w:ind w:left="120"/>
              <w:spacing w:after="0" w:line="225" w:lineRule="exact"/>
              <w:rPr>
                <w:sz w:val="20"/>
                <w:szCs w:val="20"/>
                <w:color w:val="auto"/>
              </w:rPr>
            </w:pPr>
            <w:r>
              <w:rPr>
                <w:rFonts w:ascii="Arial" w:cs="Arial" w:eastAsia="Arial" w:hAnsi="Arial"/>
                <w:sz w:val="20"/>
                <w:szCs w:val="20"/>
                <w:b w:val="1"/>
                <w:bCs w:val="1"/>
                <w:color w:val="auto"/>
              </w:rPr>
              <w:t>Saldo Carteira Crédito</w:t>
            </w:r>
          </w:p>
        </w:tc>
        <w:tc>
          <w:tcPr>
            <w:tcW w:w="1820" w:type="dxa"/>
            <w:vAlign w:val="bottom"/>
            <w:shd w:val="clear" w:color="auto" w:fill="F7F7F7"/>
          </w:tcPr>
          <w:p>
            <w:pPr>
              <w:spacing w:after="0"/>
              <w:rPr>
                <w:sz w:val="19"/>
                <w:szCs w:val="19"/>
                <w:color w:val="auto"/>
              </w:rPr>
            </w:pPr>
          </w:p>
        </w:tc>
        <w:tc>
          <w:tcPr>
            <w:tcW w:w="2060" w:type="dxa"/>
            <w:vAlign w:val="bottom"/>
            <w:shd w:val="clear" w:color="auto" w:fill="F7F7F7"/>
          </w:tcPr>
          <w:p>
            <w:pPr>
              <w:ind w:left="320"/>
              <w:spacing w:after="0" w:line="225" w:lineRule="exact"/>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19"/>
                <w:szCs w:val="19"/>
                <w:color w:val="auto"/>
              </w:rPr>
            </w:pPr>
          </w:p>
        </w:tc>
      </w:tr>
      <w:tr>
        <w:trPr>
          <w:trHeight w:val="260"/>
        </w:trPr>
        <w:tc>
          <w:tcPr>
            <w:tcW w:w="242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RL</w:t>
            </w:r>
          </w:p>
        </w:tc>
        <w:tc>
          <w:tcPr>
            <w:tcW w:w="1820" w:type="dxa"/>
            <w:vAlign w:val="bottom"/>
            <w:shd w:val="clear" w:color="auto" w:fill="F7F7F7"/>
          </w:tcPr>
          <w:p>
            <w:pPr>
              <w:spacing w:after="0"/>
              <w:rPr>
                <w:sz w:val="22"/>
                <w:szCs w:val="22"/>
                <w:color w:val="auto"/>
              </w:rPr>
            </w:pPr>
          </w:p>
        </w:tc>
        <w:tc>
          <w:tcPr>
            <w:tcW w:w="2060" w:type="dxa"/>
            <w:vAlign w:val="bottom"/>
            <w:shd w:val="clear" w:color="auto" w:fill="F7F7F7"/>
          </w:tcPr>
          <w:p>
            <w:pPr>
              <w:spacing w:after="0"/>
              <w:rPr>
                <w:sz w:val="22"/>
                <w:szCs w:val="22"/>
                <w:color w:val="auto"/>
              </w:rPr>
            </w:pPr>
          </w:p>
        </w:tc>
        <w:tc>
          <w:tcPr>
            <w:tcW w:w="2040" w:type="dxa"/>
            <w:vAlign w:val="bottom"/>
            <w:shd w:val="clear" w:color="auto" w:fill="F7F7F7"/>
          </w:tcPr>
          <w:p>
            <w:pPr>
              <w:spacing w:after="0"/>
              <w:rPr>
                <w:sz w:val="22"/>
                <w:szCs w:val="22"/>
                <w:color w:val="auto"/>
              </w:rPr>
            </w:pPr>
          </w:p>
        </w:tc>
      </w:tr>
      <w:tr>
        <w:trPr>
          <w:trHeight w:val="248"/>
        </w:trPr>
        <w:tc>
          <w:tcPr>
            <w:tcW w:w="2420" w:type="dxa"/>
            <w:vAlign w:val="bottom"/>
          </w:tcPr>
          <w:p>
            <w:pPr>
              <w:ind w:left="120"/>
              <w:spacing w:after="0"/>
              <w:rPr>
                <w:sz w:val="20"/>
                <w:szCs w:val="20"/>
                <w:color w:val="auto"/>
              </w:rPr>
            </w:pPr>
            <w:r>
              <w:rPr>
                <w:rFonts w:ascii="Arial" w:cs="Arial" w:eastAsia="Arial" w:hAnsi="Arial"/>
                <w:sz w:val="20"/>
                <w:szCs w:val="20"/>
                <w:b w:val="1"/>
                <w:bCs w:val="1"/>
                <w:color w:val="auto"/>
              </w:rPr>
              <w:t>Volatilidade da Selic</w:t>
            </w:r>
          </w:p>
        </w:tc>
        <w:tc>
          <w:tcPr>
            <w:tcW w:w="1820" w:type="dxa"/>
            <w:vAlign w:val="bottom"/>
          </w:tcPr>
          <w:p>
            <w:pPr>
              <w:ind w:left="200"/>
              <w:spacing w:after="0"/>
              <w:rPr>
                <w:sz w:val="20"/>
                <w:szCs w:val="20"/>
                <w:color w:val="auto"/>
              </w:rPr>
            </w:pPr>
            <w:r>
              <w:rPr>
                <w:rFonts w:ascii="Arial" w:cs="Arial" w:eastAsia="Arial" w:hAnsi="Arial"/>
                <w:sz w:val="20"/>
                <w:szCs w:val="20"/>
                <w:color w:val="auto"/>
              </w:rPr>
              <w:t>+</w:t>
            </w:r>
          </w:p>
        </w:tc>
        <w:tc>
          <w:tcPr>
            <w:tcW w:w="2060" w:type="dxa"/>
            <w:vAlign w:val="bottom"/>
          </w:tcPr>
          <w:p>
            <w:pPr>
              <w:spacing w:after="0"/>
              <w:rPr>
                <w:sz w:val="21"/>
                <w:szCs w:val="21"/>
                <w:color w:val="auto"/>
              </w:rPr>
            </w:pPr>
          </w:p>
        </w:tc>
        <w:tc>
          <w:tcPr>
            <w:tcW w:w="2040" w:type="dxa"/>
            <w:vAlign w:val="bottom"/>
          </w:tcPr>
          <w:p>
            <w:pPr>
              <w:spacing w:after="0"/>
              <w:rPr>
                <w:sz w:val="21"/>
                <w:szCs w:val="21"/>
                <w:color w:val="auto"/>
              </w:rPr>
            </w:pPr>
          </w:p>
        </w:tc>
      </w:tr>
      <w:tr>
        <w:trPr>
          <w:trHeight w:val="32"/>
        </w:trPr>
        <w:tc>
          <w:tcPr>
            <w:tcW w:w="2420" w:type="dxa"/>
            <w:vAlign w:val="bottom"/>
            <w:tcBorders>
              <w:bottom w:val="single" w:sz="8" w:color="auto"/>
            </w:tcBorders>
          </w:tcPr>
          <w:p>
            <w:pPr>
              <w:spacing w:after="0"/>
              <w:rPr>
                <w:sz w:val="2"/>
                <w:szCs w:val="2"/>
                <w:color w:val="auto"/>
              </w:rPr>
            </w:pPr>
          </w:p>
        </w:tc>
        <w:tc>
          <w:tcPr>
            <w:tcW w:w="1820" w:type="dxa"/>
            <w:vAlign w:val="bottom"/>
            <w:tcBorders>
              <w:bottom w:val="single" w:sz="8" w:color="auto"/>
            </w:tcBorders>
          </w:tcPr>
          <w:p>
            <w:pPr>
              <w:spacing w:after="0"/>
              <w:rPr>
                <w:sz w:val="2"/>
                <w:szCs w:val="2"/>
                <w:color w:val="auto"/>
              </w:rPr>
            </w:pPr>
          </w:p>
        </w:tc>
        <w:tc>
          <w:tcPr>
            <w:tcW w:w="2060" w:type="dxa"/>
            <w:vAlign w:val="bottom"/>
            <w:tcBorders>
              <w:bottom w:val="single" w:sz="8" w:color="auto"/>
            </w:tcBorders>
          </w:tcPr>
          <w:p>
            <w:pPr>
              <w:spacing w:after="0"/>
              <w:rPr>
                <w:sz w:val="2"/>
                <w:szCs w:val="2"/>
                <w:color w:val="auto"/>
              </w:rPr>
            </w:pPr>
          </w:p>
        </w:tc>
        <w:tc>
          <w:tcPr>
            <w:tcW w:w="2040" w:type="dxa"/>
            <w:vAlign w:val="bottom"/>
            <w:tcBorders>
              <w:bottom w:val="single" w:sz="8" w:color="auto"/>
            </w:tcBorders>
          </w:tcPr>
          <w:p>
            <w:pPr>
              <w:spacing w:after="0"/>
              <w:rPr>
                <w:sz w:val="2"/>
                <w:szCs w:val="2"/>
                <w:color w:val="auto"/>
              </w:rPr>
            </w:pPr>
          </w:p>
        </w:tc>
      </w:tr>
    </w:tbl>
    <w:p>
      <w:pPr>
        <w:spacing w:after="0" w:line="311" w:lineRule="exact"/>
        <w:rPr>
          <w:sz w:val="20"/>
          <w:szCs w:val="20"/>
          <w:color w:val="auto"/>
        </w:rPr>
      </w:pPr>
    </w:p>
    <w:p>
      <w:pPr>
        <w:jc w:val="center"/>
        <w:ind w:right="-259"/>
        <w:spacing w:after="0"/>
        <w:rPr>
          <w:sz w:val="20"/>
          <w:szCs w:val="20"/>
          <w:color w:val="auto"/>
        </w:rPr>
      </w:pPr>
      <w:r>
        <w:rPr>
          <w:rFonts w:ascii="Arial" w:cs="Arial" w:eastAsia="Arial" w:hAnsi="Arial"/>
          <w:sz w:val="20"/>
          <w:szCs w:val="20"/>
          <w:color w:val="auto"/>
        </w:rPr>
        <w:t>Fonte:</w:t>
      </w:r>
      <w:r>
        <w:rPr>
          <w:rFonts w:ascii="Arial" w:cs="Arial" w:eastAsia="Arial" w:hAnsi="Arial"/>
          <w:sz w:val="21"/>
          <w:szCs w:val="21"/>
          <w:color w:val="auto"/>
        </w:rPr>
        <w:t xml:space="preserve"> :</w:t>
      </w:r>
      <w:r>
        <w:rPr>
          <w:rFonts w:ascii="Arial" w:cs="Arial" w:eastAsia="Arial" w:hAnsi="Arial"/>
          <w:sz w:val="20"/>
          <w:szCs w:val="20"/>
          <w:color w:val="auto"/>
        </w:rPr>
        <w:t xml:space="preserve"> Desenvolvido a partir das fontes citadas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1680"/>
        <w:spacing w:after="0"/>
        <w:rPr>
          <w:sz w:val="20"/>
          <w:szCs w:val="20"/>
          <w:color w:val="auto"/>
        </w:rPr>
      </w:pPr>
      <w:r>
        <w:rPr>
          <w:rFonts w:ascii="Arial" w:cs="Arial" w:eastAsia="Arial" w:hAnsi="Arial"/>
          <w:sz w:val="22"/>
          <w:szCs w:val="22"/>
          <w:color w:val="auto"/>
        </w:rPr>
        <w:t>Tabela 7 – Resumo de estudos sobre o spread ex-post no Brasil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381635</wp:posOffset>
                </wp:positionH>
                <wp:positionV relativeFrom="paragraph">
                  <wp:posOffset>332105</wp:posOffset>
                </wp:positionV>
                <wp:extent cx="5287010" cy="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5pt,26.15pt" to="446.35pt,26.15pt" o:allowincell="f" strokecolor="#000000" strokeweight="0.936pt"/>
            </w:pict>
          </mc:Fallback>
        </mc:AlternateContent>
      </w:r>
    </w:p>
    <w:p>
      <w:pPr>
        <w:spacing w:after="0" w:line="200" w:lineRule="exact"/>
        <w:rPr>
          <w:sz w:val="20"/>
          <w:szCs w:val="20"/>
          <w:color w:val="auto"/>
        </w:rPr>
      </w:pPr>
    </w:p>
    <w:p>
      <w:pPr>
        <w:spacing w:after="0" w:line="371" w:lineRule="exact"/>
        <w:rPr>
          <w:sz w:val="20"/>
          <w:szCs w:val="20"/>
          <w:color w:val="auto"/>
        </w:rPr>
      </w:pPr>
    </w:p>
    <w:tbl>
      <w:tblPr>
        <w:tblLayout w:type="fixed"/>
        <w:tblInd w:w="600" w:type="dxa"/>
        <w:tblCellMar>
          <w:top w:w="0" w:type="dxa"/>
          <w:left w:w="0" w:type="dxa"/>
          <w:bottom w:w="0" w:type="dxa"/>
          <w:right w:w="0" w:type="dxa"/>
        </w:tblCellMar>
      </w:tblPr>
      <w:tr>
        <w:trPr>
          <w:trHeight w:val="239"/>
        </w:trPr>
        <w:tc>
          <w:tcPr>
            <w:tcW w:w="2480" w:type="dxa"/>
            <w:vAlign w:val="bottom"/>
          </w:tcPr>
          <w:p>
            <w:pPr>
              <w:ind w:left="120"/>
              <w:spacing w:after="0"/>
              <w:rPr>
                <w:sz w:val="20"/>
                <w:szCs w:val="20"/>
                <w:color w:val="auto"/>
              </w:rPr>
            </w:pPr>
            <w:r>
              <w:rPr>
                <w:rFonts w:ascii="Arial" w:cs="Arial" w:eastAsia="Arial" w:hAnsi="Arial"/>
                <w:sz w:val="20"/>
                <w:szCs w:val="20"/>
                <w:color w:val="auto"/>
              </w:rPr>
              <w:t>Variável</w:t>
            </w:r>
          </w:p>
        </w:tc>
        <w:tc>
          <w:tcPr>
            <w:tcW w:w="1720" w:type="dxa"/>
            <w:vAlign w:val="bottom"/>
          </w:tcPr>
          <w:p>
            <w:pPr>
              <w:ind w:left="140"/>
              <w:spacing w:after="0"/>
              <w:rPr>
                <w:sz w:val="20"/>
                <w:szCs w:val="20"/>
                <w:color w:val="auto"/>
              </w:rPr>
            </w:pPr>
            <w:r>
              <w:rPr>
                <w:rFonts w:ascii="Arial" w:cs="Arial" w:eastAsia="Arial" w:hAnsi="Arial"/>
                <w:sz w:val="20"/>
                <w:szCs w:val="20"/>
                <w:color w:val="auto"/>
              </w:rPr>
              <w:t>GUIMARÃES</w:t>
            </w:r>
          </w:p>
        </w:tc>
        <w:tc>
          <w:tcPr>
            <w:tcW w:w="2040" w:type="dxa"/>
            <w:vAlign w:val="bottom"/>
          </w:tcPr>
          <w:p>
            <w:pPr>
              <w:ind w:left="360"/>
              <w:spacing w:after="0"/>
              <w:rPr>
                <w:sz w:val="20"/>
                <w:szCs w:val="20"/>
                <w:color w:val="auto"/>
              </w:rPr>
            </w:pPr>
            <w:r>
              <w:rPr>
                <w:rFonts w:ascii="Arial" w:cs="Arial" w:eastAsia="Arial" w:hAnsi="Arial"/>
                <w:sz w:val="20"/>
                <w:szCs w:val="20"/>
                <w:color w:val="auto"/>
              </w:rPr>
              <w:t>DANTAS (2012)</w:t>
            </w:r>
          </w:p>
        </w:tc>
        <w:tc>
          <w:tcPr>
            <w:tcW w:w="2100" w:type="dxa"/>
            <w:vAlign w:val="bottom"/>
          </w:tcPr>
          <w:p>
            <w:pPr>
              <w:ind w:left="260"/>
              <w:spacing w:after="0"/>
              <w:rPr>
                <w:sz w:val="20"/>
                <w:szCs w:val="20"/>
                <w:color w:val="auto"/>
              </w:rPr>
            </w:pPr>
            <w:r>
              <w:rPr>
                <w:rFonts w:ascii="Arial" w:cs="Arial" w:eastAsia="Arial" w:hAnsi="Arial"/>
                <w:sz w:val="20"/>
                <w:szCs w:val="20"/>
                <w:color w:val="auto"/>
              </w:rPr>
              <w:t>ALMEIDA (2013)</w:t>
            </w:r>
          </w:p>
        </w:tc>
      </w:tr>
      <w:tr>
        <w:trPr>
          <w:trHeight w:val="246"/>
        </w:trPr>
        <w:tc>
          <w:tcPr>
            <w:tcW w:w="2480" w:type="dxa"/>
            <w:vAlign w:val="bottom"/>
          </w:tcPr>
          <w:p>
            <w:pPr>
              <w:spacing w:after="0"/>
              <w:rPr>
                <w:sz w:val="21"/>
                <w:szCs w:val="21"/>
                <w:color w:val="auto"/>
              </w:rPr>
            </w:pPr>
          </w:p>
        </w:tc>
        <w:tc>
          <w:tcPr>
            <w:tcW w:w="1720" w:type="dxa"/>
            <w:vAlign w:val="bottom"/>
          </w:tcPr>
          <w:p>
            <w:pPr>
              <w:ind w:left="140"/>
              <w:spacing w:after="0"/>
              <w:rPr>
                <w:sz w:val="20"/>
                <w:szCs w:val="20"/>
                <w:color w:val="auto"/>
              </w:rPr>
            </w:pPr>
            <w:r>
              <w:rPr>
                <w:rFonts w:ascii="Arial" w:cs="Arial" w:eastAsia="Arial" w:hAnsi="Arial"/>
                <w:sz w:val="20"/>
                <w:szCs w:val="20"/>
                <w:color w:val="auto"/>
              </w:rPr>
              <w:t>(2002)</w:t>
            </w:r>
          </w:p>
        </w:tc>
        <w:tc>
          <w:tcPr>
            <w:tcW w:w="2040" w:type="dxa"/>
            <w:vAlign w:val="bottom"/>
          </w:tcPr>
          <w:p>
            <w:pPr>
              <w:spacing w:after="0"/>
              <w:rPr>
                <w:sz w:val="21"/>
                <w:szCs w:val="21"/>
                <w:color w:val="auto"/>
              </w:rPr>
            </w:pPr>
          </w:p>
        </w:tc>
        <w:tc>
          <w:tcPr>
            <w:tcW w:w="2100" w:type="dxa"/>
            <w:vAlign w:val="bottom"/>
          </w:tcPr>
          <w:p>
            <w:pPr>
              <w:spacing w:after="0"/>
              <w:rPr>
                <w:sz w:val="21"/>
                <w:szCs w:val="21"/>
                <w:color w:val="auto"/>
              </w:rPr>
            </w:pPr>
          </w:p>
        </w:tc>
      </w:tr>
      <w:tr>
        <w:trPr>
          <w:trHeight w:val="57"/>
        </w:trPr>
        <w:tc>
          <w:tcPr>
            <w:tcW w:w="2480" w:type="dxa"/>
            <w:vAlign w:val="bottom"/>
            <w:tcBorders>
              <w:bottom w:val="single" w:sz="8" w:color="auto"/>
            </w:tcBorders>
          </w:tcPr>
          <w:p>
            <w:pPr>
              <w:spacing w:after="0"/>
              <w:rPr>
                <w:sz w:val="4"/>
                <w:szCs w:val="4"/>
                <w:color w:val="auto"/>
              </w:rPr>
            </w:pPr>
          </w:p>
        </w:tc>
        <w:tc>
          <w:tcPr>
            <w:tcW w:w="1720" w:type="dxa"/>
            <w:vAlign w:val="bottom"/>
            <w:tcBorders>
              <w:bottom w:val="single" w:sz="8" w:color="auto"/>
            </w:tcBorders>
          </w:tcPr>
          <w:p>
            <w:pPr>
              <w:spacing w:after="0"/>
              <w:rPr>
                <w:sz w:val="4"/>
                <w:szCs w:val="4"/>
                <w:color w:val="auto"/>
              </w:rPr>
            </w:pPr>
          </w:p>
        </w:tc>
        <w:tc>
          <w:tcPr>
            <w:tcW w:w="2040" w:type="dxa"/>
            <w:vAlign w:val="bottom"/>
            <w:tcBorders>
              <w:bottom w:val="single" w:sz="8" w:color="auto"/>
            </w:tcBorders>
          </w:tcPr>
          <w:p>
            <w:pPr>
              <w:spacing w:after="0"/>
              <w:rPr>
                <w:sz w:val="4"/>
                <w:szCs w:val="4"/>
                <w:color w:val="auto"/>
              </w:rPr>
            </w:pPr>
          </w:p>
        </w:tc>
        <w:tc>
          <w:tcPr>
            <w:tcW w:w="2100" w:type="dxa"/>
            <w:vAlign w:val="bottom"/>
            <w:tcBorders>
              <w:bottom w:val="single" w:sz="8" w:color="auto"/>
            </w:tcBorders>
          </w:tcPr>
          <w:p>
            <w:pPr>
              <w:spacing w:after="0"/>
              <w:rPr>
                <w:sz w:val="4"/>
                <w:szCs w:val="4"/>
                <w:color w:val="auto"/>
              </w:rPr>
            </w:pPr>
          </w:p>
        </w:tc>
      </w:tr>
      <w:tr>
        <w:trPr>
          <w:trHeight w:val="59"/>
        </w:trPr>
        <w:tc>
          <w:tcPr>
            <w:tcW w:w="2480" w:type="dxa"/>
            <w:vAlign w:val="bottom"/>
          </w:tcPr>
          <w:p>
            <w:pPr>
              <w:spacing w:after="0"/>
              <w:rPr>
                <w:sz w:val="5"/>
                <w:szCs w:val="5"/>
                <w:color w:val="auto"/>
              </w:rPr>
            </w:pPr>
          </w:p>
        </w:tc>
        <w:tc>
          <w:tcPr>
            <w:tcW w:w="1720" w:type="dxa"/>
            <w:vAlign w:val="bottom"/>
          </w:tcPr>
          <w:p>
            <w:pPr>
              <w:spacing w:after="0"/>
              <w:rPr>
                <w:sz w:val="5"/>
                <w:szCs w:val="5"/>
                <w:color w:val="auto"/>
              </w:rPr>
            </w:pPr>
          </w:p>
        </w:tc>
        <w:tc>
          <w:tcPr>
            <w:tcW w:w="2040" w:type="dxa"/>
            <w:vAlign w:val="bottom"/>
          </w:tcPr>
          <w:p>
            <w:pPr>
              <w:spacing w:after="0"/>
              <w:rPr>
                <w:sz w:val="5"/>
                <w:szCs w:val="5"/>
                <w:color w:val="auto"/>
              </w:rPr>
            </w:pPr>
          </w:p>
        </w:tc>
        <w:tc>
          <w:tcPr>
            <w:tcW w:w="2100" w:type="dxa"/>
            <w:vAlign w:val="bottom"/>
          </w:tcPr>
          <w:p>
            <w:pPr>
              <w:spacing w:after="0"/>
              <w:rPr>
                <w:sz w:val="5"/>
                <w:szCs w:val="5"/>
                <w:color w:val="auto"/>
              </w:rPr>
            </w:pP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Custos Administrativos</w:t>
            </w:r>
          </w:p>
        </w:tc>
        <w:tc>
          <w:tcPr>
            <w:tcW w:w="1720" w:type="dxa"/>
            <w:vAlign w:val="bottom"/>
            <w:shd w:val="clear" w:color="auto" w:fill="F7F7F7"/>
          </w:tcPr>
          <w:p>
            <w:pPr>
              <w:spacing w:after="0"/>
              <w:rPr>
                <w:sz w:val="20"/>
                <w:szCs w:val="20"/>
                <w:color w:val="auto"/>
              </w:rPr>
            </w:pPr>
          </w:p>
        </w:tc>
        <w:tc>
          <w:tcPr>
            <w:tcW w:w="2040" w:type="dxa"/>
            <w:vAlign w:val="bottom"/>
            <w:shd w:val="clear" w:color="auto" w:fill="F7F7F7"/>
          </w:tcPr>
          <w:p>
            <w:pPr>
              <w:spacing w:after="0"/>
              <w:rPr>
                <w:sz w:val="20"/>
                <w:szCs w:val="20"/>
                <w:color w:val="auto"/>
              </w:rPr>
            </w:pPr>
          </w:p>
        </w:tc>
        <w:tc>
          <w:tcPr>
            <w:tcW w:w="2100" w:type="dxa"/>
            <w:vAlign w:val="bottom"/>
            <w:shd w:val="clear" w:color="auto" w:fill="F7F7F7"/>
          </w:tcPr>
          <w:p>
            <w:pPr>
              <w:ind w:left="26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Impostos Indiretos</w:t>
            </w:r>
          </w:p>
        </w:tc>
        <w:tc>
          <w:tcPr>
            <w:tcW w:w="1720" w:type="dxa"/>
            <w:vAlign w:val="bottom"/>
          </w:tcPr>
          <w:p>
            <w:pPr>
              <w:spacing w:after="0"/>
              <w:rPr>
                <w:sz w:val="20"/>
                <w:szCs w:val="20"/>
                <w:color w:val="auto"/>
              </w:rPr>
            </w:pPr>
          </w:p>
        </w:tc>
        <w:tc>
          <w:tcPr>
            <w:tcW w:w="2040" w:type="dxa"/>
            <w:vAlign w:val="bottom"/>
          </w:tcPr>
          <w:p>
            <w:pPr>
              <w:spacing w:after="0"/>
              <w:rPr>
                <w:sz w:val="20"/>
                <w:szCs w:val="20"/>
                <w:color w:val="auto"/>
              </w:rPr>
            </w:pPr>
          </w:p>
        </w:tc>
        <w:tc>
          <w:tcPr>
            <w:tcW w:w="2100" w:type="dxa"/>
            <w:vAlign w:val="bottom"/>
          </w:tcPr>
          <w:p>
            <w:pPr>
              <w:ind w:left="260"/>
              <w:spacing w:after="0"/>
              <w:rPr>
                <w:sz w:val="20"/>
                <w:szCs w:val="20"/>
                <w:color w:val="auto"/>
              </w:rPr>
            </w:pPr>
            <w:r>
              <w:rPr>
                <w:rFonts w:ascii="Arial" w:cs="Arial" w:eastAsia="Arial" w:hAnsi="Arial"/>
                <w:sz w:val="20"/>
                <w:szCs w:val="20"/>
                <w:color w:val="auto"/>
              </w:rPr>
              <w:t>Não significativo</w:t>
            </w:r>
          </w:p>
        </w:tc>
      </w:tr>
      <w:tr>
        <w:trPr>
          <w:trHeight w:val="219"/>
        </w:trPr>
        <w:tc>
          <w:tcPr>
            <w:tcW w:w="2480" w:type="dxa"/>
            <w:vAlign w:val="bottom"/>
            <w:shd w:val="clear" w:color="auto" w:fill="F7F7F7"/>
          </w:tcPr>
          <w:p>
            <w:pPr>
              <w:ind w:left="120"/>
              <w:spacing w:after="0" w:line="219" w:lineRule="exact"/>
              <w:rPr>
                <w:sz w:val="20"/>
                <w:szCs w:val="20"/>
                <w:color w:val="auto"/>
              </w:rPr>
            </w:pPr>
            <w:r>
              <w:rPr>
                <w:rFonts w:ascii="Arial" w:cs="Arial" w:eastAsia="Arial" w:hAnsi="Arial"/>
                <w:sz w:val="20"/>
                <w:szCs w:val="20"/>
                <w:b w:val="1"/>
                <w:bCs w:val="1"/>
                <w:color w:val="auto"/>
              </w:rPr>
              <w:t>Requerimento de</w:t>
            </w:r>
          </w:p>
        </w:tc>
        <w:tc>
          <w:tcPr>
            <w:tcW w:w="1720" w:type="dxa"/>
            <w:vAlign w:val="bottom"/>
            <w:shd w:val="clear" w:color="auto" w:fill="F7F7F7"/>
          </w:tcPr>
          <w:p>
            <w:pPr>
              <w:spacing w:after="0"/>
              <w:rPr>
                <w:sz w:val="19"/>
                <w:szCs w:val="19"/>
                <w:color w:val="auto"/>
              </w:rPr>
            </w:pPr>
          </w:p>
        </w:tc>
        <w:tc>
          <w:tcPr>
            <w:tcW w:w="2040" w:type="dxa"/>
            <w:vAlign w:val="bottom"/>
            <w:shd w:val="clear" w:color="auto" w:fill="F7F7F7"/>
          </w:tcPr>
          <w:p>
            <w:pPr>
              <w:spacing w:after="0"/>
              <w:rPr>
                <w:sz w:val="19"/>
                <w:szCs w:val="19"/>
                <w:color w:val="auto"/>
              </w:rPr>
            </w:pPr>
          </w:p>
        </w:tc>
        <w:tc>
          <w:tcPr>
            <w:tcW w:w="2100" w:type="dxa"/>
            <w:vAlign w:val="bottom"/>
            <w:shd w:val="clear" w:color="auto" w:fill="F7F7F7"/>
          </w:tcPr>
          <w:p>
            <w:pPr>
              <w:ind w:left="260"/>
              <w:spacing w:after="0" w:line="219" w:lineRule="exact"/>
              <w:rPr>
                <w:sz w:val="20"/>
                <w:szCs w:val="20"/>
                <w:color w:val="auto"/>
              </w:rPr>
            </w:pPr>
            <w:r>
              <w:rPr>
                <w:rFonts w:ascii="Arial" w:cs="Arial" w:eastAsia="Arial" w:hAnsi="Arial"/>
                <w:sz w:val="20"/>
                <w:szCs w:val="20"/>
                <w:color w:val="auto"/>
              </w:rPr>
              <w:t>+</w:t>
            </w:r>
          </w:p>
        </w:tc>
      </w:tr>
      <w:tr>
        <w:trPr>
          <w:trHeight w:val="260"/>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Reserva</w:t>
            </w:r>
          </w:p>
        </w:tc>
        <w:tc>
          <w:tcPr>
            <w:tcW w:w="1720" w:type="dxa"/>
            <w:vAlign w:val="bottom"/>
            <w:shd w:val="clear" w:color="auto" w:fill="F7F7F7"/>
          </w:tcPr>
          <w:p>
            <w:pPr>
              <w:spacing w:after="0"/>
              <w:rPr>
                <w:sz w:val="22"/>
                <w:szCs w:val="22"/>
                <w:color w:val="auto"/>
              </w:rPr>
            </w:pPr>
          </w:p>
        </w:tc>
        <w:tc>
          <w:tcPr>
            <w:tcW w:w="2040" w:type="dxa"/>
            <w:vAlign w:val="bottom"/>
            <w:shd w:val="clear" w:color="auto" w:fill="F7F7F7"/>
          </w:tcPr>
          <w:p>
            <w:pPr>
              <w:spacing w:after="0"/>
              <w:rPr>
                <w:sz w:val="22"/>
                <w:szCs w:val="22"/>
                <w:color w:val="auto"/>
              </w:rPr>
            </w:pPr>
          </w:p>
        </w:tc>
        <w:tc>
          <w:tcPr>
            <w:tcW w:w="2100" w:type="dxa"/>
            <w:vAlign w:val="bottom"/>
            <w:shd w:val="clear" w:color="auto" w:fill="F7F7F7"/>
          </w:tcPr>
          <w:p>
            <w:pPr>
              <w:spacing w:after="0"/>
              <w:rPr>
                <w:sz w:val="22"/>
                <w:szCs w:val="22"/>
                <w:color w:val="auto"/>
              </w:rPr>
            </w:pP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Atividade Econômica</w:t>
            </w:r>
          </w:p>
        </w:tc>
        <w:tc>
          <w:tcPr>
            <w:tcW w:w="1720" w:type="dxa"/>
            <w:vAlign w:val="bottom"/>
          </w:tcPr>
          <w:p>
            <w:pPr>
              <w:spacing w:after="0"/>
              <w:rPr>
                <w:sz w:val="20"/>
                <w:szCs w:val="20"/>
                <w:color w:val="auto"/>
              </w:rPr>
            </w:pPr>
          </w:p>
        </w:tc>
        <w:tc>
          <w:tcPr>
            <w:tcW w:w="2040" w:type="dxa"/>
            <w:vAlign w:val="bottom"/>
          </w:tcPr>
          <w:p>
            <w:pPr>
              <w:ind w:left="360"/>
              <w:spacing w:after="0"/>
              <w:rPr>
                <w:sz w:val="20"/>
                <w:szCs w:val="20"/>
                <w:color w:val="auto"/>
              </w:rPr>
            </w:pPr>
            <w:r>
              <w:rPr>
                <w:rFonts w:ascii="Arial" w:cs="Arial" w:eastAsia="Arial" w:hAnsi="Arial"/>
                <w:sz w:val="20"/>
                <w:szCs w:val="20"/>
                <w:color w:val="auto"/>
              </w:rPr>
              <w:t>+</w:t>
            </w:r>
          </w:p>
        </w:tc>
        <w:tc>
          <w:tcPr>
            <w:tcW w:w="2100" w:type="dxa"/>
            <w:vAlign w:val="bottom"/>
          </w:tcPr>
          <w:p>
            <w:pPr>
              <w:spacing w:after="0"/>
              <w:rPr>
                <w:sz w:val="20"/>
                <w:szCs w:val="20"/>
                <w:color w:val="auto"/>
              </w:rPr>
            </w:pP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Bancos Estrangeiros</w:t>
            </w:r>
          </w:p>
        </w:tc>
        <w:tc>
          <w:tcPr>
            <w:tcW w:w="1720" w:type="dxa"/>
            <w:vAlign w:val="bottom"/>
            <w:shd w:val="clear" w:color="auto" w:fill="F7F7F7"/>
          </w:tcPr>
          <w:p>
            <w:pPr>
              <w:ind w:left="140"/>
              <w:spacing w:after="0"/>
              <w:rPr>
                <w:sz w:val="20"/>
                <w:szCs w:val="20"/>
                <w:color w:val="auto"/>
              </w:rPr>
            </w:pPr>
            <w:r>
              <w:rPr>
                <w:rFonts w:ascii="Arial" w:cs="Arial" w:eastAsia="Arial" w:hAnsi="Arial"/>
                <w:sz w:val="20"/>
                <w:szCs w:val="20"/>
                <w:color w:val="auto"/>
              </w:rPr>
              <w:t>+</w:t>
            </w:r>
          </w:p>
        </w:tc>
        <w:tc>
          <w:tcPr>
            <w:tcW w:w="2040" w:type="dxa"/>
            <w:vAlign w:val="bottom"/>
            <w:shd w:val="clear" w:color="auto" w:fill="F7F7F7"/>
          </w:tcPr>
          <w:p>
            <w:pPr>
              <w:spacing w:after="0"/>
              <w:rPr>
                <w:sz w:val="20"/>
                <w:szCs w:val="20"/>
                <w:color w:val="auto"/>
              </w:rPr>
            </w:pPr>
          </w:p>
        </w:tc>
        <w:tc>
          <w:tcPr>
            <w:tcW w:w="2100" w:type="dxa"/>
            <w:vAlign w:val="bottom"/>
            <w:shd w:val="clear" w:color="auto" w:fill="F7F7F7"/>
          </w:tcPr>
          <w:p>
            <w:pPr>
              <w:spacing w:after="0"/>
              <w:rPr>
                <w:sz w:val="20"/>
                <w:szCs w:val="20"/>
                <w:color w:val="auto"/>
              </w:rPr>
            </w:pPr>
          </w:p>
        </w:tc>
      </w:tr>
      <w:tr>
        <w:trPr>
          <w:trHeight w:val="350"/>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Caixa.Depósitos</w:t>
            </w:r>
          </w:p>
        </w:tc>
        <w:tc>
          <w:tcPr>
            <w:tcW w:w="1720" w:type="dxa"/>
            <w:vAlign w:val="bottom"/>
          </w:tcPr>
          <w:p>
            <w:pPr>
              <w:ind w:left="140"/>
              <w:spacing w:after="0"/>
              <w:rPr>
                <w:sz w:val="20"/>
                <w:szCs w:val="20"/>
                <w:color w:val="auto"/>
              </w:rPr>
            </w:pPr>
            <w:r>
              <w:rPr>
                <w:rFonts w:ascii="Arial" w:cs="Arial" w:eastAsia="Arial" w:hAnsi="Arial"/>
                <w:sz w:val="20"/>
                <w:szCs w:val="20"/>
                <w:color w:val="auto"/>
              </w:rPr>
              <w:t>+</w:t>
            </w:r>
          </w:p>
        </w:tc>
        <w:tc>
          <w:tcPr>
            <w:tcW w:w="2040" w:type="dxa"/>
            <w:vAlign w:val="bottom"/>
          </w:tcPr>
          <w:p>
            <w:pPr>
              <w:spacing w:after="0"/>
              <w:rPr>
                <w:sz w:val="24"/>
                <w:szCs w:val="24"/>
                <w:color w:val="auto"/>
              </w:rPr>
            </w:pPr>
          </w:p>
        </w:tc>
        <w:tc>
          <w:tcPr>
            <w:tcW w:w="2100" w:type="dxa"/>
            <w:vAlign w:val="bottom"/>
          </w:tcPr>
          <w:p>
            <w:pPr>
              <w:spacing w:after="0"/>
              <w:rPr>
                <w:sz w:val="24"/>
                <w:szCs w:val="24"/>
                <w:color w:val="auto"/>
              </w:rPr>
            </w:pPr>
          </w:p>
        </w:tc>
      </w:tr>
      <w:tr>
        <w:trPr>
          <w:trHeight w:val="245"/>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Grau Concentração</w:t>
            </w:r>
          </w:p>
        </w:tc>
        <w:tc>
          <w:tcPr>
            <w:tcW w:w="1720" w:type="dxa"/>
            <w:vAlign w:val="bottom"/>
            <w:shd w:val="clear" w:color="auto" w:fill="F7F7F7"/>
          </w:tcPr>
          <w:p>
            <w:pPr>
              <w:spacing w:after="0"/>
              <w:rPr>
                <w:sz w:val="21"/>
                <w:szCs w:val="21"/>
                <w:color w:val="auto"/>
              </w:rPr>
            </w:pPr>
          </w:p>
        </w:tc>
        <w:tc>
          <w:tcPr>
            <w:tcW w:w="2040" w:type="dxa"/>
            <w:vAlign w:val="bottom"/>
            <w:shd w:val="clear" w:color="auto" w:fill="F7F7F7"/>
          </w:tcPr>
          <w:p>
            <w:pPr>
              <w:ind w:left="360"/>
              <w:spacing w:after="0"/>
              <w:rPr>
                <w:sz w:val="20"/>
                <w:szCs w:val="20"/>
                <w:color w:val="auto"/>
              </w:rPr>
            </w:pPr>
            <w:r>
              <w:rPr>
                <w:rFonts w:ascii="Arial" w:cs="Arial" w:eastAsia="Arial" w:hAnsi="Arial"/>
                <w:sz w:val="20"/>
                <w:szCs w:val="20"/>
                <w:color w:val="auto"/>
              </w:rPr>
              <w:t>+</w:t>
            </w:r>
          </w:p>
        </w:tc>
        <w:tc>
          <w:tcPr>
            <w:tcW w:w="2100" w:type="dxa"/>
            <w:vAlign w:val="bottom"/>
            <w:shd w:val="clear" w:color="auto" w:fill="F7F7F7"/>
          </w:tcPr>
          <w:p>
            <w:pPr>
              <w:ind w:left="260"/>
              <w:spacing w:after="0"/>
              <w:rPr>
                <w:sz w:val="20"/>
                <w:szCs w:val="20"/>
                <w:color w:val="auto"/>
              </w:rPr>
            </w:pPr>
            <w:r>
              <w:rPr>
                <w:rFonts w:ascii="Arial" w:cs="Arial" w:eastAsia="Arial" w:hAnsi="Arial"/>
                <w:sz w:val="20"/>
                <w:szCs w:val="20"/>
                <w:color w:val="auto"/>
              </w:rPr>
              <w:t>+</w:t>
            </w:r>
          </w:p>
        </w:tc>
      </w:tr>
      <w:tr>
        <w:trPr>
          <w:trHeight w:val="239"/>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Liquidez</w:t>
            </w:r>
          </w:p>
        </w:tc>
        <w:tc>
          <w:tcPr>
            <w:tcW w:w="1720" w:type="dxa"/>
            <w:vAlign w:val="bottom"/>
          </w:tcPr>
          <w:p>
            <w:pPr>
              <w:spacing w:after="0"/>
              <w:rPr>
                <w:sz w:val="20"/>
                <w:szCs w:val="20"/>
                <w:color w:val="auto"/>
              </w:rPr>
            </w:pPr>
          </w:p>
        </w:tc>
        <w:tc>
          <w:tcPr>
            <w:tcW w:w="2040" w:type="dxa"/>
            <w:vAlign w:val="bottom"/>
          </w:tcPr>
          <w:p>
            <w:pPr>
              <w:spacing w:after="0"/>
              <w:rPr>
                <w:sz w:val="20"/>
                <w:szCs w:val="20"/>
                <w:color w:val="auto"/>
              </w:rPr>
            </w:pPr>
          </w:p>
        </w:tc>
        <w:tc>
          <w:tcPr>
            <w:tcW w:w="2100" w:type="dxa"/>
            <w:vAlign w:val="bottom"/>
          </w:tcPr>
          <w:p>
            <w:pPr>
              <w:ind w:left="260"/>
              <w:spacing w:after="0"/>
              <w:rPr>
                <w:sz w:val="20"/>
                <w:szCs w:val="20"/>
                <w:color w:val="auto"/>
              </w:rPr>
            </w:pPr>
            <w:r>
              <w:rPr>
                <w:rFonts w:ascii="Arial" w:cs="Arial" w:eastAsia="Arial" w:hAnsi="Arial"/>
                <w:sz w:val="20"/>
                <w:szCs w:val="20"/>
                <w:color w:val="auto"/>
              </w:rPr>
              <w:t>Não significativo</w:t>
            </w: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Market Share</w:t>
            </w:r>
          </w:p>
        </w:tc>
        <w:tc>
          <w:tcPr>
            <w:tcW w:w="1720" w:type="dxa"/>
            <w:vAlign w:val="bottom"/>
            <w:shd w:val="clear" w:color="auto" w:fill="F7F7F7"/>
          </w:tcPr>
          <w:p>
            <w:pPr>
              <w:spacing w:after="0"/>
              <w:rPr>
                <w:sz w:val="20"/>
                <w:szCs w:val="20"/>
                <w:color w:val="auto"/>
              </w:rPr>
            </w:pPr>
          </w:p>
        </w:tc>
        <w:tc>
          <w:tcPr>
            <w:tcW w:w="2040" w:type="dxa"/>
            <w:vAlign w:val="bottom"/>
            <w:shd w:val="clear" w:color="auto" w:fill="F7F7F7"/>
          </w:tcPr>
          <w:p>
            <w:pPr>
              <w:ind w:left="360"/>
              <w:spacing w:after="0"/>
              <w:rPr>
                <w:sz w:val="20"/>
                <w:szCs w:val="20"/>
                <w:color w:val="auto"/>
              </w:rPr>
            </w:pPr>
            <w:r>
              <w:rPr>
                <w:rFonts w:ascii="Arial" w:cs="Arial" w:eastAsia="Arial" w:hAnsi="Arial"/>
                <w:sz w:val="20"/>
                <w:szCs w:val="20"/>
                <w:color w:val="auto"/>
              </w:rPr>
              <w:t>-</w:t>
            </w:r>
          </w:p>
        </w:tc>
        <w:tc>
          <w:tcPr>
            <w:tcW w:w="2100" w:type="dxa"/>
            <w:vAlign w:val="bottom"/>
            <w:shd w:val="clear" w:color="auto" w:fill="F7F7F7"/>
          </w:tcPr>
          <w:p>
            <w:pPr>
              <w:ind w:left="260"/>
              <w:spacing w:after="0"/>
              <w:rPr>
                <w:sz w:val="20"/>
                <w:szCs w:val="20"/>
                <w:color w:val="auto"/>
              </w:rPr>
            </w:pPr>
            <w:r>
              <w:rPr>
                <w:rFonts w:ascii="Arial" w:cs="Arial" w:eastAsia="Arial" w:hAnsi="Arial"/>
                <w:sz w:val="20"/>
                <w:szCs w:val="20"/>
                <w:color w:val="auto"/>
              </w:rPr>
              <w:t>+</w:t>
            </w:r>
          </w:p>
        </w:tc>
      </w:tr>
      <w:tr>
        <w:trPr>
          <w:trHeight w:val="248"/>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PIB</w:t>
            </w:r>
          </w:p>
        </w:tc>
        <w:tc>
          <w:tcPr>
            <w:tcW w:w="1720" w:type="dxa"/>
            <w:vAlign w:val="bottom"/>
          </w:tcPr>
          <w:p>
            <w:pPr>
              <w:spacing w:after="0"/>
              <w:rPr>
                <w:sz w:val="21"/>
                <w:szCs w:val="21"/>
                <w:color w:val="auto"/>
              </w:rPr>
            </w:pPr>
          </w:p>
        </w:tc>
        <w:tc>
          <w:tcPr>
            <w:tcW w:w="2040" w:type="dxa"/>
            <w:vAlign w:val="bottom"/>
          </w:tcPr>
          <w:p>
            <w:pPr>
              <w:spacing w:after="0"/>
              <w:rPr>
                <w:sz w:val="21"/>
                <w:szCs w:val="21"/>
                <w:color w:val="auto"/>
              </w:rPr>
            </w:pPr>
          </w:p>
        </w:tc>
        <w:tc>
          <w:tcPr>
            <w:tcW w:w="2100" w:type="dxa"/>
            <w:vAlign w:val="bottom"/>
          </w:tcPr>
          <w:p>
            <w:pPr>
              <w:ind w:left="260"/>
              <w:spacing w:after="0"/>
              <w:rPr>
                <w:sz w:val="20"/>
                <w:szCs w:val="20"/>
                <w:color w:val="auto"/>
              </w:rPr>
            </w:pPr>
            <w:r>
              <w:rPr>
                <w:rFonts w:ascii="Arial" w:cs="Arial" w:eastAsia="Arial" w:hAnsi="Arial"/>
                <w:sz w:val="20"/>
                <w:szCs w:val="20"/>
                <w:color w:val="auto"/>
              </w:rPr>
              <w:t>+</w:t>
            </w:r>
          </w:p>
        </w:tc>
      </w:tr>
      <w:tr>
        <w:trPr>
          <w:trHeight w:val="108"/>
        </w:trPr>
        <w:tc>
          <w:tcPr>
            <w:tcW w:w="2480" w:type="dxa"/>
            <w:vAlign w:val="bottom"/>
          </w:tcPr>
          <w:p>
            <w:pPr>
              <w:spacing w:after="0"/>
              <w:rPr>
                <w:sz w:val="9"/>
                <w:szCs w:val="9"/>
                <w:color w:val="auto"/>
              </w:rPr>
            </w:pPr>
          </w:p>
        </w:tc>
        <w:tc>
          <w:tcPr>
            <w:tcW w:w="1720" w:type="dxa"/>
            <w:vAlign w:val="bottom"/>
          </w:tcPr>
          <w:p>
            <w:pPr>
              <w:spacing w:after="0"/>
              <w:rPr>
                <w:sz w:val="9"/>
                <w:szCs w:val="9"/>
                <w:color w:val="auto"/>
              </w:rPr>
            </w:pPr>
          </w:p>
        </w:tc>
        <w:tc>
          <w:tcPr>
            <w:tcW w:w="2040" w:type="dxa"/>
            <w:vAlign w:val="bottom"/>
          </w:tcPr>
          <w:p>
            <w:pPr>
              <w:spacing w:after="0"/>
              <w:rPr>
                <w:sz w:val="9"/>
                <w:szCs w:val="9"/>
                <w:color w:val="auto"/>
              </w:rPr>
            </w:pPr>
          </w:p>
        </w:tc>
        <w:tc>
          <w:tcPr>
            <w:tcW w:w="2100" w:type="dxa"/>
            <w:vAlign w:val="bottom"/>
          </w:tcPr>
          <w:p>
            <w:pPr>
              <w:spacing w:after="0"/>
              <w:rPr>
                <w:sz w:val="9"/>
                <w:szCs w:val="9"/>
                <w:color w:val="auto"/>
              </w:rPr>
            </w:pPr>
          </w:p>
        </w:tc>
      </w:tr>
      <w:tr>
        <w:trPr>
          <w:trHeight w:val="239"/>
        </w:trPr>
        <w:tc>
          <w:tcPr>
            <w:tcW w:w="2480" w:type="dxa"/>
            <w:vAlign w:val="bottom"/>
            <w:shd w:val="clear" w:color="auto" w:fill="F7F7F7"/>
          </w:tcPr>
          <w:p>
            <w:pPr>
              <w:ind w:left="120"/>
              <w:spacing w:after="0"/>
              <w:rPr>
                <w:sz w:val="20"/>
                <w:szCs w:val="20"/>
                <w:color w:val="auto"/>
              </w:rPr>
            </w:pPr>
            <w:r>
              <w:rPr>
                <w:rFonts w:ascii="Arial" w:cs="Arial" w:eastAsia="Arial" w:hAnsi="Arial"/>
                <w:sz w:val="20"/>
                <w:szCs w:val="20"/>
                <w:b w:val="1"/>
                <w:bCs w:val="1"/>
                <w:color w:val="auto"/>
              </w:rPr>
              <w:t>Receita Serviços</w:t>
            </w:r>
          </w:p>
        </w:tc>
        <w:tc>
          <w:tcPr>
            <w:tcW w:w="1720" w:type="dxa"/>
            <w:vAlign w:val="bottom"/>
            <w:shd w:val="clear" w:color="auto" w:fill="F7F7F7"/>
          </w:tcPr>
          <w:p>
            <w:pPr>
              <w:spacing w:after="0"/>
              <w:rPr>
                <w:sz w:val="20"/>
                <w:szCs w:val="20"/>
                <w:color w:val="auto"/>
              </w:rPr>
            </w:pPr>
          </w:p>
        </w:tc>
        <w:tc>
          <w:tcPr>
            <w:tcW w:w="2040" w:type="dxa"/>
            <w:vAlign w:val="bottom"/>
            <w:shd w:val="clear" w:color="auto" w:fill="F7F7F7"/>
          </w:tcPr>
          <w:p>
            <w:pPr>
              <w:spacing w:after="0"/>
              <w:rPr>
                <w:sz w:val="20"/>
                <w:szCs w:val="20"/>
                <w:color w:val="auto"/>
              </w:rPr>
            </w:pPr>
          </w:p>
        </w:tc>
        <w:tc>
          <w:tcPr>
            <w:tcW w:w="2100" w:type="dxa"/>
            <w:vAlign w:val="bottom"/>
            <w:shd w:val="clear" w:color="auto" w:fill="F7F7F7"/>
          </w:tcPr>
          <w:p>
            <w:pPr>
              <w:ind w:left="260"/>
              <w:spacing w:after="0"/>
              <w:rPr>
                <w:sz w:val="20"/>
                <w:szCs w:val="20"/>
                <w:color w:val="auto"/>
              </w:rPr>
            </w:pPr>
            <w:r>
              <w:rPr>
                <w:rFonts w:ascii="Arial" w:cs="Arial" w:eastAsia="Arial" w:hAnsi="Arial"/>
                <w:sz w:val="20"/>
                <w:szCs w:val="20"/>
                <w:color w:val="auto"/>
              </w:rPr>
              <w:t>-</w:t>
            </w:r>
          </w:p>
        </w:tc>
      </w:tr>
      <w:tr>
        <w:trPr>
          <w:trHeight w:val="248"/>
        </w:trPr>
        <w:tc>
          <w:tcPr>
            <w:tcW w:w="2480" w:type="dxa"/>
            <w:vAlign w:val="bottom"/>
          </w:tcPr>
          <w:p>
            <w:pPr>
              <w:ind w:left="120"/>
              <w:spacing w:after="0"/>
              <w:rPr>
                <w:sz w:val="20"/>
                <w:szCs w:val="20"/>
                <w:color w:val="auto"/>
              </w:rPr>
            </w:pPr>
            <w:r>
              <w:rPr>
                <w:rFonts w:ascii="Arial" w:cs="Arial" w:eastAsia="Arial" w:hAnsi="Arial"/>
                <w:sz w:val="20"/>
                <w:szCs w:val="20"/>
                <w:b w:val="1"/>
                <w:bCs w:val="1"/>
                <w:color w:val="auto"/>
              </w:rPr>
              <w:t>Risco Crédito</w:t>
            </w:r>
          </w:p>
        </w:tc>
        <w:tc>
          <w:tcPr>
            <w:tcW w:w="1720" w:type="dxa"/>
            <w:vAlign w:val="bottom"/>
          </w:tcPr>
          <w:p>
            <w:pPr>
              <w:spacing w:after="0"/>
              <w:rPr>
                <w:sz w:val="21"/>
                <w:szCs w:val="21"/>
                <w:color w:val="auto"/>
              </w:rPr>
            </w:pPr>
          </w:p>
        </w:tc>
        <w:tc>
          <w:tcPr>
            <w:tcW w:w="2040" w:type="dxa"/>
            <w:vAlign w:val="bottom"/>
          </w:tcPr>
          <w:p>
            <w:pPr>
              <w:ind w:left="360"/>
              <w:spacing w:after="0"/>
              <w:rPr>
                <w:sz w:val="20"/>
                <w:szCs w:val="20"/>
                <w:color w:val="auto"/>
              </w:rPr>
            </w:pPr>
            <w:r>
              <w:rPr>
                <w:rFonts w:ascii="Arial" w:cs="Arial" w:eastAsia="Arial" w:hAnsi="Arial"/>
                <w:sz w:val="20"/>
                <w:szCs w:val="20"/>
                <w:color w:val="auto"/>
              </w:rPr>
              <w:t>+</w:t>
            </w:r>
          </w:p>
        </w:tc>
        <w:tc>
          <w:tcPr>
            <w:tcW w:w="2100" w:type="dxa"/>
            <w:vAlign w:val="bottom"/>
          </w:tcPr>
          <w:p>
            <w:pPr>
              <w:ind w:left="260"/>
              <w:spacing w:after="0"/>
              <w:rPr>
                <w:sz w:val="20"/>
                <w:szCs w:val="20"/>
                <w:color w:val="auto"/>
              </w:rPr>
            </w:pPr>
            <w:r>
              <w:rPr>
                <w:rFonts w:ascii="Arial" w:cs="Arial" w:eastAsia="Arial" w:hAnsi="Arial"/>
                <w:sz w:val="20"/>
                <w:szCs w:val="20"/>
                <w:color w:val="auto"/>
              </w:rPr>
              <w:t>Não significativo</w:t>
            </w:r>
          </w:p>
        </w:tc>
      </w:tr>
      <w:tr>
        <w:trPr>
          <w:trHeight w:val="32"/>
        </w:trPr>
        <w:tc>
          <w:tcPr>
            <w:tcW w:w="2480" w:type="dxa"/>
            <w:vAlign w:val="bottom"/>
            <w:tcBorders>
              <w:bottom w:val="single" w:sz="8" w:color="auto"/>
            </w:tcBorders>
          </w:tcPr>
          <w:p>
            <w:pPr>
              <w:spacing w:after="0"/>
              <w:rPr>
                <w:sz w:val="2"/>
                <w:szCs w:val="2"/>
                <w:color w:val="auto"/>
              </w:rPr>
            </w:pPr>
          </w:p>
        </w:tc>
        <w:tc>
          <w:tcPr>
            <w:tcW w:w="1720" w:type="dxa"/>
            <w:vAlign w:val="bottom"/>
            <w:tcBorders>
              <w:bottom w:val="single" w:sz="8" w:color="auto"/>
            </w:tcBorders>
          </w:tcPr>
          <w:p>
            <w:pPr>
              <w:spacing w:after="0"/>
              <w:rPr>
                <w:sz w:val="2"/>
                <w:szCs w:val="2"/>
                <w:color w:val="auto"/>
              </w:rPr>
            </w:pPr>
          </w:p>
        </w:tc>
        <w:tc>
          <w:tcPr>
            <w:tcW w:w="2040" w:type="dxa"/>
            <w:vAlign w:val="bottom"/>
            <w:tcBorders>
              <w:bottom w:val="single" w:sz="8" w:color="auto"/>
            </w:tcBorders>
          </w:tcPr>
          <w:p>
            <w:pPr>
              <w:spacing w:after="0"/>
              <w:rPr>
                <w:sz w:val="2"/>
                <w:szCs w:val="2"/>
                <w:color w:val="auto"/>
              </w:rPr>
            </w:pPr>
          </w:p>
        </w:tc>
        <w:tc>
          <w:tcPr>
            <w:tcW w:w="210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ectPr>
          <w:pgSz w:w="11900" w:h="16838" w:orient="portrait"/>
          <w:cols w:equalWidth="0" w:num="1">
            <w:col w:w="9320"/>
          </w:cols>
          <w:pgMar w:left="1440" w:top="991" w:right="1146" w:bottom="923" w:gutter="0" w:footer="0" w:header="0"/>
        </w:sectPr>
      </w:pPr>
    </w:p>
    <w:p>
      <w:pPr>
        <w:spacing w:after="0" w:line="111" w:lineRule="exact"/>
        <w:rPr>
          <w:sz w:val="20"/>
          <w:szCs w:val="20"/>
          <w:color w:val="auto"/>
        </w:rPr>
      </w:pPr>
    </w:p>
    <w:p>
      <w:pPr>
        <w:jc w:val="center"/>
        <w:ind w:right="-259"/>
        <w:spacing w:after="0"/>
        <w:rPr>
          <w:sz w:val="20"/>
          <w:szCs w:val="20"/>
          <w:color w:val="auto"/>
        </w:rPr>
      </w:pPr>
      <w:r>
        <w:rPr>
          <w:rFonts w:ascii="Arial" w:cs="Arial" w:eastAsia="Arial" w:hAnsi="Arial"/>
          <w:sz w:val="19"/>
          <w:szCs w:val="19"/>
          <w:color w:val="auto"/>
        </w:rPr>
        <w:t>Fonte:</w:t>
      </w:r>
      <w:r>
        <w:rPr>
          <w:rFonts w:ascii="Arial" w:cs="Arial" w:eastAsia="Arial" w:hAnsi="Arial"/>
          <w:sz w:val="20"/>
          <w:szCs w:val="20"/>
          <w:color w:val="auto"/>
        </w:rPr>
        <w:t xml:space="preserve"> :</w:t>
      </w:r>
      <w:r>
        <w:rPr>
          <w:rFonts w:ascii="Arial" w:cs="Arial" w:eastAsia="Arial" w:hAnsi="Arial"/>
          <w:sz w:val="19"/>
          <w:szCs w:val="19"/>
          <w:color w:val="auto"/>
        </w:rPr>
        <w:t xml:space="preserve"> Desenvolvido a partir das fontes citadas</w:t>
      </w:r>
    </w:p>
    <w:p>
      <w:pPr>
        <w:sectPr>
          <w:pgSz w:w="11900" w:h="16838" w:orient="portrait"/>
          <w:cols w:equalWidth="0" w:num="1">
            <w:col w:w="9320"/>
          </w:cols>
          <w:pgMar w:left="1440" w:top="991" w:right="1146" w:bottom="923" w:gutter="0" w:footer="0" w:header="0"/>
          <w:type w:val="continuous"/>
        </w:sectPr>
      </w:pPr>
    </w:p>
    <w:p>
      <w:pPr>
        <w:jc w:val="right"/>
        <w:spacing w:after="0"/>
        <w:rPr>
          <w:sz w:val="20"/>
          <w:szCs w:val="20"/>
          <w:color w:val="auto"/>
        </w:rPr>
      </w:pPr>
      <w:r>
        <w:rPr>
          <w:rFonts w:ascii="Arial" w:cs="Arial" w:eastAsia="Arial" w:hAnsi="Arial"/>
          <w:sz w:val="24"/>
          <w:szCs w:val="24"/>
          <w:color w:val="auto"/>
        </w:rPr>
        <w:t>35</w:t>
      </w:r>
    </w:p>
    <w:p>
      <w:pPr>
        <w:spacing w:after="0" w:line="200" w:lineRule="exact"/>
        <w:rPr>
          <w:sz w:val="20"/>
          <w:szCs w:val="20"/>
          <w:color w:val="auto"/>
        </w:rPr>
      </w:pPr>
    </w:p>
    <w:p>
      <w:pPr>
        <w:spacing w:after="0" w:line="246" w:lineRule="exact"/>
        <w:rPr>
          <w:sz w:val="20"/>
          <w:szCs w:val="20"/>
          <w:color w:val="auto"/>
        </w:rPr>
      </w:pPr>
    </w:p>
    <w:p>
      <w:pPr>
        <w:ind w:left="260"/>
        <w:spacing w:after="0" w:line="327" w:lineRule="auto"/>
        <w:rPr>
          <w:sz w:val="20"/>
          <w:szCs w:val="20"/>
          <w:color w:val="auto"/>
        </w:rPr>
      </w:pPr>
      <w:r>
        <w:rPr>
          <w:rFonts w:ascii="Arial" w:cs="Arial" w:eastAsia="Arial" w:hAnsi="Arial"/>
          <w:sz w:val="24"/>
          <w:szCs w:val="24"/>
          <w:color w:val="auto"/>
        </w:rPr>
        <w:t>estudos pesquisados e na teoria econômica, através da coleta, tratamento e análise de dados.</w:t>
      </w:r>
    </w:p>
    <w:p>
      <w:pPr>
        <w:sectPr>
          <w:pgSz w:w="11900" w:h="16838" w:orient="portrait"/>
          <w:cols w:equalWidth="0" w:num="1">
            <w:col w:w="9320"/>
          </w:cols>
          <w:pgMar w:left="1440" w:top="991" w:right="1146" w:bottom="1440" w:gutter="0" w:footer="0" w:header="0"/>
        </w:sectPr>
      </w:pPr>
    </w:p>
    <w:p>
      <w:pPr>
        <w:ind w:left="9100"/>
        <w:spacing w:after="0"/>
        <w:rPr>
          <w:sz w:val="20"/>
          <w:szCs w:val="20"/>
          <w:color w:val="auto"/>
        </w:rPr>
      </w:pPr>
      <w:r>
        <w:rPr>
          <w:rFonts w:ascii="Arial" w:cs="Arial" w:eastAsia="Arial" w:hAnsi="Arial"/>
          <w:sz w:val="20"/>
          <w:szCs w:val="20"/>
          <w:color w:val="auto"/>
        </w:rPr>
        <w:t>36</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3 PROCEDIMENTOS METODOLÓGICOS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both"/>
        <w:ind w:left="260" w:firstLine="850"/>
        <w:spacing w:after="0" w:line="317" w:lineRule="auto"/>
        <w:rPr>
          <w:sz w:val="20"/>
          <w:szCs w:val="20"/>
          <w:color w:val="auto"/>
        </w:rPr>
      </w:pPr>
      <w:r>
        <w:rPr>
          <w:rFonts w:ascii="Arial" w:cs="Arial" w:eastAsia="Arial" w:hAnsi="Arial"/>
          <w:sz w:val="24"/>
          <w:szCs w:val="24"/>
          <w:color w:val="auto"/>
        </w:rPr>
        <w:t>Neste capítulo serão descritos os principais procedimentos metodológicos, técnicas e ferramentas que serão utilizados neste trabalho, visando organizar as etapas da pesquisa e permitir um maior nível de reproducibilidade, revisão e refutabilidade da mesma.</w:t>
      </w:r>
    </w:p>
    <w:p>
      <w:pPr>
        <w:spacing w:after="0" w:line="96" w:lineRule="exact"/>
        <w:rPr>
          <w:sz w:val="20"/>
          <w:szCs w:val="20"/>
          <w:color w:val="auto"/>
        </w:rPr>
      </w:pPr>
    </w:p>
    <w:p>
      <w:pPr>
        <w:jc w:val="both"/>
        <w:ind w:left="260" w:firstLine="850"/>
        <w:spacing w:after="0" w:line="317" w:lineRule="auto"/>
        <w:rPr>
          <w:sz w:val="20"/>
          <w:szCs w:val="20"/>
          <w:color w:val="auto"/>
        </w:rPr>
      </w:pPr>
      <w:r>
        <w:rPr>
          <w:rFonts w:ascii="Arial" w:cs="Arial" w:eastAsia="Arial" w:hAnsi="Arial"/>
          <w:sz w:val="24"/>
          <w:szCs w:val="24"/>
          <w:color w:val="auto"/>
        </w:rPr>
        <w:t>Este trabalho está sendo desenvolvido e editado em ambiente R Markdown com utilização de linguagem Latex para padronização de textos, figuras e tabelas, e as linguagens R e Python para coleta, limpeza, tratamento, análise, visualização, modelagem e estimação econométrica dos conjuntos de dados.</w:t>
      </w:r>
    </w:p>
    <w:p>
      <w:pPr>
        <w:spacing w:after="0" w:line="96" w:lineRule="exact"/>
        <w:rPr>
          <w:sz w:val="20"/>
          <w:szCs w:val="20"/>
          <w:color w:val="auto"/>
        </w:rPr>
      </w:pPr>
    </w:p>
    <w:p>
      <w:pPr>
        <w:jc w:val="both"/>
        <w:ind w:left="260" w:firstLine="850"/>
        <w:spacing w:after="0" w:line="334" w:lineRule="auto"/>
        <w:rPr>
          <w:sz w:val="20"/>
          <w:szCs w:val="20"/>
          <w:color w:val="auto"/>
        </w:rPr>
      </w:pPr>
      <w:r>
        <w:rPr>
          <w:rFonts w:ascii="Arial" w:cs="Arial" w:eastAsia="Arial" w:hAnsi="Arial"/>
          <w:sz w:val="23"/>
          <w:szCs w:val="23"/>
          <w:color w:val="auto"/>
        </w:rPr>
        <w:t>Serão selecionadas as instituições bancárias na categoria de Banco Comercial, Banco e Investimento, Banco de Desenvolvimento e Caixa Econômicas que realizaram operações de crédito. Para fins de análise de dados, este trabalho atuará no intervalo de tempo entre o primeiro trimestre de 1999 e o terceiro trimestre e 2020.</w:t>
      </w:r>
    </w:p>
    <w:p>
      <w:pPr>
        <w:spacing w:after="0" w:line="81"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Para efeitos de identificação de variáveis macroeconômicas que atuam como componentes implícitos e explícitos do spread serão avaliadas a taxa Selic, Taxa de Compulsório, Base Monetária, Oferta de Crédito, Oferta de Moeda. Estes dados serão obtidos de forma secundária nos bancos de dados abertos do Banco Central, IPEA, IBGE e Receita Federal do Brasil.</w:t>
      </w:r>
    </w:p>
    <w:p>
      <w:pPr>
        <w:spacing w:after="0" w:line="101" w:lineRule="exact"/>
        <w:rPr>
          <w:sz w:val="20"/>
          <w:szCs w:val="20"/>
          <w:color w:val="auto"/>
        </w:rPr>
      </w:pPr>
    </w:p>
    <w:p>
      <w:pPr>
        <w:jc w:val="both"/>
        <w:ind w:left="260" w:right="40" w:firstLine="850"/>
        <w:spacing w:after="0" w:line="334" w:lineRule="auto"/>
        <w:rPr>
          <w:sz w:val="20"/>
          <w:szCs w:val="20"/>
          <w:color w:val="auto"/>
        </w:rPr>
      </w:pPr>
      <w:r>
        <w:rPr>
          <w:rFonts w:ascii="Arial" w:cs="Arial" w:eastAsia="Arial" w:hAnsi="Arial"/>
          <w:sz w:val="23"/>
          <w:szCs w:val="23"/>
          <w:color w:val="auto"/>
        </w:rPr>
        <w:t>Os dados de resultados, operação, indicadores e estrutura de capital das instituições bancárias serão obtidos de forma secundária nos banco de dados abertos do Banco Central e da Comissão de Valores Monetários, consistindo em demonstrações contábeis trimestrais padronizadas informadas a estas instituições supervisoras.</w:t>
      </w:r>
    </w:p>
    <w:p>
      <w:pPr>
        <w:spacing w:after="0" w:line="81" w:lineRule="exact"/>
        <w:rPr>
          <w:sz w:val="20"/>
          <w:szCs w:val="20"/>
          <w:color w:val="auto"/>
        </w:rPr>
      </w:pPr>
    </w:p>
    <w:p>
      <w:pPr>
        <w:jc w:val="both"/>
        <w:ind w:left="260" w:right="40" w:firstLine="850"/>
        <w:spacing w:after="0" w:line="317" w:lineRule="auto"/>
        <w:rPr>
          <w:sz w:val="20"/>
          <w:szCs w:val="20"/>
          <w:color w:val="auto"/>
        </w:rPr>
      </w:pPr>
      <w:r>
        <w:rPr>
          <w:rFonts w:ascii="Arial" w:cs="Arial" w:eastAsia="Arial" w:hAnsi="Arial"/>
          <w:sz w:val="24"/>
          <w:szCs w:val="24"/>
          <w:color w:val="auto"/>
        </w:rPr>
        <w:t>Para construção dos modelos econométricos a serem estimados se partirá de alguns pressupostos teóricos norteadores obtidos através da pesquisa bibliográfica e concepções desenvolvidas antes e durante a pesquisa, com intuíto embasar a seleção das variáveis a serem testadas e incluídas no modelo final.</w:t>
      </w:r>
    </w:p>
    <w:p>
      <w:pPr>
        <w:spacing w:after="0" w:line="96" w:lineRule="exact"/>
        <w:rPr>
          <w:sz w:val="20"/>
          <w:szCs w:val="20"/>
          <w:color w:val="auto"/>
        </w:rPr>
      </w:pPr>
    </w:p>
    <w:p>
      <w:pPr>
        <w:jc w:val="both"/>
        <w:ind w:left="260" w:firstLine="850"/>
        <w:spacing w:after="0" w:line="334" w:lineRule="auto"/>
        <w:rPr>
          <w:sz w:val="20"/>
          <w:szCs w:val="20"/>
          <w:color w:val="auto"/>
        </w:rPr>
      </w:pPr>
      <w:r>
        <w:rPr>
          <w:rFonts w:ascii="Arial" w:cs="Arial" w:eastAsia="Arial" w:hAnsi="Arial"/>
          <w:sz w:val="23"/>
          <w:szCs w:val="23"/>
          <w:color w:val="auto"/>
        </w:rPr>
        <w:t>Será assumido que o spread 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pPr>
        <w:spacing w:after="0" w:line="81" w:lineRule="exact"/>
        <w:rPr>
          <w:sz w:val="20"/>
          <w:szCs w:val="20"/>
          <w:color w:val="auto"/>
        </w:rPr>
      </w:pPr>
    </w:p>
    <w:p>
      <w:pPr>
        <w:jc w:val="both"/>
        <w:ind w:left="260" w:firstLine="850"/>
        <w:spacing w:after="0" w:line="317" w:lineRule="auto"/>
        <w:rPr>
          <w:sz w:val="20"/>
          <w:szCs w:val="20"/>
          <w:color w:val="auto"/>
        </w:rPr>
      </w:pPr>
      <w:r>
        <w:rPr>
          <w:rFonts w:ascii="Arial" w:cs="Arial" w:eastAsia="Arial" w:hAnsi="Arial"/>
          <w:sz w:val="24"/>
          <w:szCs w:val="24"/>
          <w:color w:val="auto"/>
        </w:rPr>
        <w:t>O spread (</w:t>
      </w:r>
      <w:r>
        <w:rPr>
          <w:rFonts w:ascii="Arial" w:cs="Arial" w:eastAsia="Arial" w:hAnsi="Arial"/>
          <w:sz w:val="24"/>
          <w:szCs w:val="24"/>
          <w:i w:val="1"/>
          <w:iCs w:val="1"/>
          <w:color w:val="auto"/>
        </w:rPr>
        <w:t>SP R</w:t>
      </w:r>
      <w:r>
        <w:rPr>
          <w:rFonts w:ascii="Arial" w:cs="Arial" w:eastAsia="Arial" w:hAnsi="Arial"/>
          <w:sz w:val="24"/>
          <w:szCs w:val="24"/>
          <w:color w:val="auto"/>
        </w:rPr>
        <w:t>) será abordado dentro de uma concepção de precificação, diante um conjunto de variáveis explícitas como despesa de captação (</w:t>
      </w:r>
      <w:r>
        <w:rPr>
          <w:rFonts w:ascii="Arial" w:cs="Arial" w:eastAsia="Arial" w:hAnsi="Arial"/>
          <w:sz w:val="24"/>
          <w:szCs w:val="24"/>
          <w:i w:val="1"/>
          <w:iCs w:val="1"/>
          <w:color w:val="auto"/>
        </w:rPr>
        <w:t>D</w:t>
      </w:r>
      <w:r>
        <w:rPr>
          <w:rFonts w:ascii="Arial" w:cs="Arial" w:eastAsia="Arial" w:hAnsi="Arial"/>
          <w:sz w:val="24"/>
          <w:szCs w:val="24"/>
          <w:color w:val="auto"/>
        </w:rPr>
        <w:t>), capital em-prestado (</w:t>
      </w:r>
      <w:r>
        <w:rPr>
          <w:rFonts w:ascii="Arial" w:cs="Arial" w:eastAsia="Arial" w:hAnsi="Arial"/>
          <w:sz w:val="24"/>
          <w:szCs w:val="24"/>
          <w:i w:val="1"/>
          <w:iCs w:val="1"/>
          <w:color w:val="auto"/>
        </w:rPr>
        <w:t>E</w:t>
      </w:r>
      <w:r>
        <w:rPr>
          <w:rFonts w:ascii="Arial" w:cs="Arial" w:eastAsia="Arial" w:hAnsi="Arial"/>
          <w:sz w:val="24"/>
          <w:szCs w:val="24"/>
          <w:color w:val="auto"/>
        </w:rPr>
        <w:t>) — insumo das operações de crédito —, impostos variáveis (</w:t>
      </w:r>
      <w:r>
        <w:rPr>
          <w:rFonts w:ascii="Arial" w:cs="Arial" w:eastAsia="Arial" w:hAnsi="Arial"/>
          <w:sz w:val="24"/>
          <w:szCs w:val="24"/>
          <w:i w:val="1"/>
          <w:iCs w:val="1"/>
          <w:color w:val="auto"/>
        </w:rPr>
        <w:t>II</w:t>
      </w:r>
      <w:r>
        <w:rPr>
          <w:rFonts w:ascii="Arial" w:cs="Arial" w:eastAsia="Arial" w:hAnsi="Arial"/>
          <w:sz w:val="24"/>
          <w:szCs w:val="24"/>
          <w:color w:val="auto"/>
        </w:rPr>
        <w:t>),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lucro líquido (</w:t>
      </w:r>
      <w:r>
        <w:rPr>
          <w:rFonts w:ascii="Arial" w:cs="Arial" w:eastAsia="Arial" w:hAnsi="Arial"/>
          <w:sz w:val="24"/>
          <w:szCs w:val="24"/>
          <w:i w:val="1"/>
          <w:iCs w:val="1"/>
          <w:color w:val="auto"/>
        </w:rPr>
        <w:t>M L</w:t>
      </w:r>
      <w:r>
        <w:rPr>
          <w:rFonts w:ascii="Arial" w:cs="Arial" w:eastAsia="Arial" w:hAnsi="Arial"/>
          <w:sz w:val="24"/>
          <w:szCs w:val="24"/>
          <w:color w:val="auto"/>
        </w:rPr>
        <w:t>) e inadimplência (</w:t>
      </w:r>
      <w:r>
        <w:rPr>
          <w:rFonts w:ascii="Arial" w:cs="Arial" w:eastAsia="Arial" w:hAnsi="Arial"/>
          <w:sz w:val="24"/>
          <w:szCs w:val="24"/>
          <w:i w:val="1"/>
          <w:iCs w:val="1"/>
          <w:color w:val="auto"/>
        </w:rPr>
        <w:t>IN D</w:t>
      </w:r>
      <w:r>
        <w:rPr>
          <w:rFonts w:ascii="Arial" w:cs="Arial" w:eastAsia="Arial" w:hAnsi="Arial"/>
          <w:sz w:val="24"/>
          <w:szCs w:val="24"/>
          <w:color w:val="auto"/>
        </w:rPr>
        <w:t>).</w:t>
      </w:r>
    </w:p>
    <w:p>
      <w:pPr>
        <w:sectPr>
          <w:pgSz w:w="11900" w:h="16838" w:orient="portrait"/>
          <w:cols w:equalWidth="0" w:num="1">
            <w:col w:w="9360"/>
          </w:cols>
          <w:pgMar w:left="1440" w:top="1028" w:right="1106" w:bottom="592" w:gutter="0" w:footer="0" w:header="0"/>
        </w:sectPr>
      </w:pPr>
    </w:p>
    <w:p>
      <w:pPr>
        <w:ind w:left="9060"/>
        <w:spacing w:after="0"/>
        <w:rPr>
          <w:sz w:val="20"/>
          <w:szCs w:val="20"/>
          <w:color w:val="auto"/>
        </w:rPr>
      </w:pPr>
      <w:r>
        <w:rPr>
          <w:rFonts w:ascii="Arial" w:cs="Arial" w:eastAsia="Arial" w:hAnsi="Arial"/>
          <w:sz w:val="24"/>
          <w:szCs w:val="24"/>
          <w:color w:val="auto"/>
        </w:rPr>
        <w:t>37</w:t>
      </w: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Spr</w:t>
      </w:r>
      <w:r>
        <w:rPr>
          <w:rFonts w:ascii="Arial" w:cs="Arial" w:eastAsia="Arial" w:hAnsi="Arial"/>
          <w:sz w:val="24"/>
          <w:szCs w:val="24"/>
          <w:color w:val="auto"/>
        </w:rPr>
        <w:t xml:space="preserve"> =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E, D, II, DA, M L, IN D</w:t>
      </w:r>
      <w:r>
        <w:rPr>
          <w:rFonts w:ascii="Arial" w:cs="Arial" w:eastAsia="Arial" w:hAnsi="Arial"/>
          <w:sz w:val="24"/>
          <w:szCs w:val="24"/>
          <w:color w:val="auto"/>
        </w:rPr>
        <w:t>)</w:t>
      </w:r>
    </w:p>
    <w:p>
      <w:pPr>
        <w:spacing w:after="0" w:line="375"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Na visão microeconômica, assume-se que o spread bancário não se configura na margem de lucro dos bancos, não cabendo abordagem de spread bruto, direto e líquido. E que o spread bancário se relaciona com os resultados das instituições, colaborando com a solidez do setor, não cabendo a inclusão no modelo de variáveis que rementam a resultados e calculadas a partir destas.</w:t>
      </w:r>
    </w:p>
    <w:p>
      <w:pPr>
        <w:spacing w:after="0" w:line="101"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Na abordagem macroeconômica, o spread bancário é tido como um indicador fundamental e determinante para o nível de desenvolvimento econômico de deter-minado país ou região a medida que se relaciona com a determinação de nível e crédito produtivo capaz de gerar renda, influenciado por variáveis macroeconômicas relacionadas a regulação e políticas monetárias e fiscais.</w:t>
      </w:r>
    </w:p>
    <w:p>
      <w:pPr>
        <w:spacing w:after="0" w:line="101" w:lineRule="exact"/>
        <w:rPr>
          <w:sz w:val="20"/>
          <w:szCs w:val="20"/>
          <w:color w:val="auto"/>
        </w:rPr>
      </w:pPr>
    </w:p>
    <w:p>
      <w:pPr>
        <w:jc w:val="both"/>
        <w:ind w:left="260" w:firstLine="850"/>
        <w:spacing w:after="0" w:line="314" w:lineRule="auto"/>
        <w:rPr>
          <w:sz w:val="20"/>
          <w:szCs w:val="20"/>
          <w:color w:val="auto"/>
        </w:rPr>
      </w:pPr>
      <w:r>
        <w:rPr>
          <w:rFonts w:ascii="Arial" w:cs="Arial" w:eastAsia="Arial" w:hAnsi="Arial"/>
          <w:sz w:val="24"/>
          <w:szCs w:val="24"/>
          <w:color w:val="auto"/>
        </w:rPr>
        <w:t>Nesse sentido aqui é estabelecida a compreensão que o nível de atividade econômica, industrial, produtividade, desemprego e produto interno bruto de mercados, países e regiões guardam relação com o spread bancário, e não o contrário, mesmo que aja a compreensão da abordagem em torno das expectativas dos agentes, será mantida a abordagem econômica clássica, não considerando essas variáveis como determinantes do spread ex-post.</w:t>
      </w:r>
    </w:p>
    <w:p>
      <w:pPr>
        <w:spacing w:after="0" w:line="181"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SprEp</w:t>
      </w:r>
      <w:r>
        <w:rPr>
          <w:rFonts w:ascii="Arial" w:cs="Arial" w:eastAsia="Arial" w:hAnsi="Arial"/>
          <w:sz w:val="24"/>
          <w:szCs w:val="24"/>
          <w:color w:val="auto"/>
        </w:rPr>
        <w:t xml:space="preserve"> =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SEL, COM P, IP CA, BM, M P, V M</w:t>
      </w:r>
      <w:r>
        <w:rPr>
          <w:rFonts w:ascii="Arial" w:cs="Arial" w:eastAsia="Arial" w:hAnsi="Arial"/>
          <w:sz w:val="24"/>
          <w:szCs w:val="24"/>
          <w:color w:val="auto"/>
        </w:rPr>
        <w:t>)</w:t>
      </w:r>
    </w:p>
    <w:p>
      <w:pPr>
        <w:spacing w:after="0" w:line="200" w:lineRule="exact"/>
        <w:rPr>
          <w:sz w:val="20"/>
          <w:szCs w:val="20"/>
          <w:color w:val="auto"/>
        </w:rPr>
      </w:pPr>
    </w:p>
    <w:p>
      <w:pPr>
        <w:spacing w:after="0" w:line="284" w:lineRule="exact"/>
        <w:rPr>
          <w:sz w:val="20"/>
          <w:szCs w:val="20"/>
          <w:color w:val="auto"/>
        </w:rPr>
      </w:pPr>
    </w:p>
    <w:p>
      <w:pPr>
        <w:jc w:val="both"/>
        <w:ind w:left="260" w:right="40" w:firstLine="850"/>
        <w:spacing w:after="0" w:line="272" w:lineRule="auto"/>
        <w:rPr>
          <w:sz w:val="20"/>
          <w:szCs w:val="20"/>
          <w:color w:val="auto"/>
        </w:rPr>
      </w:pPr>
      <w:r>
        <w:rPr>
          <w:rFonts w:ascii="Arial" w:cs="Arial" w:eastAsia="Arial" w:hAnsi="Arial"/>
          <w:sz w:val="24"/>
          <w:szCs w:val="24"/>
          <w:color w:val="auto"/>
        </w:rPr>
        <w:t>O primeiro modelo a ser desenvolvido buscará testar e selecionar variáveis macroeconômicas e microeconômicas que exerçam significativa influência, de forma implícita e explícita no spread bancário ex-post. Partindo da definição geral tautológica de Spread (</w:t>
      </w:r>
      <w:r>
        <w:rPr>
          <w:rFonts w:ascii="Arial" w:cs="Arial" w:eastAsia="Arial" w:hAnsi="Arial"/>
          <w:sz w:val="24"/>
          <w:szCs w:val="24"/>
          <w:i w:val="1"/>
          <w:iCs w:val="1"/>
          <w:color w:val="auto"/>
        </w:rPr>
        <w:t>Spr</w:t>
      </w:r>
      <w:r>
        <w:rPr>
          <w:rFonts w:ascii="Arial" w:cs="Arial" w:eastAsia="Arial" w:hAnsi="Arial"/>
          <w:sz w:val="24"/>
          <w:szCs w:val="24"/>
          <w:color w:val="auto"/>
        </w:rPr>
        <w:t>), resultado da diferença entre a taxa de aplicação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apl</w:t>
      </w:r>
      <w:r>
        <w:rPr>
          <w:rFonts w:ascii="Arial" w:cs="Arial" w:eastAsia="Arial" w:hAnsi="Arial"/>
          <w:sz w:val="24"/>
          <w:szCs w:val="24"/>
          <w:color w:val="auto"/>
        </w:rPr>
        <w:t>) e a taxa de captação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w:t>
      </w:r>
    </w:p>
    <w:p>
      <w:pPr>
        <w:spacing w:after="0" w:line="3"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Spr</w:t>
      </w:r>
      <w:r>
        <w:rPr>
          <w:rFonts w:ascii="Arial" w:cs="Arial" w:eastAsia="Arial" w:hAnsi="Arial"/>
          <w:sz w:val="24"/>
          <w:szCs w:val="24"/>
          <w:color w:val="auto"/>
        </w:rPr>
        <w:t xml:space="preserve"> =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apl</w:t>
      </w:r>
      <w:r>
        <w:rPr>
          <w:rFonts w:ascii="Arial" w:cs="Arial" w:eastAsia="Arial" w:hAnsi="Arial"/>
          <w:sz w:val="24"/>
          <w:szCs w:val="24"/>
          <w:color w:val="auto"/>
        </w:rPr>
        <w:t xml:space="preserve"> −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cap</w:t>
      </w:r>
    </w:p>
    <w:p>
      <w:pPr>
        <w:spacing w:after="0" w:line="272" w:lineRule="exact"/>
        <w:rPr>
          <w:sz w:val="20"/>
          <w:szCs w:val="20"/>
          <w:color w:val="auto"/>
        </w:rPr>
      </w:pPr>
    </w:p>
    <w:p>
      <w:pPr>
        <w:jc w:val="both"/>
        <w:ind w:left="260" w:right="40" w:firstLine="850"/>
        <w:spacing w:after="0" w:line="273" w:lineRule="auto"/>
        <w:rPr>
          <w:sz w:val="20"/>
          <w:szCs w:val="20"/>
          <w:color w:val="auto"/>
        </w:rPr>
      </w:pPr>
      <w:r>
        <w:rPr>
          <w:rFonts w:ascii="Arial" w:cs="Arial" w:eastAsia="Arial" w:hAnsi="Arial"/>
          <w:sz w:val="24"/>
          <w:szCs w:val="24"/>
          <w:color w:val="auto"/>
        </w:rPr>
        <w:t>Em termos de resultado a taxa de aplicação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apl</w:t>
      </w:r>
      <w:r>
        <w:rPr>
          <w:rFonts w:ascii="Arial" w:cs="Arial" w:eastAsia="Arial" w:hAnsi="Arial"/>
          <w:sz w:val="24"/>
          <w:szCs w:val="24"/>
          <w:color w:val="auto"/>
        </w:rPr>
        <w:t>) é obtida da relação entre a receita das operações de crédito (</w:t>
      </w:r>
      <w:r>
        <w:rPr>
          <w:rFonts w:ascii="Arial" w:cs="Arial" w:eastAsia="Arial" w:hAnsi="Arial"/>
          <w:sz w:val="24"/>
          <w:szCs w:val="24"/>
          <w:i w:val="1"/>
          <w:iCs w:val="1"/>
          <w:color w:val="auto"/>
        </w:rPr>
        <w:t>R</w:t>
      </w:r>
      <w:r>
        <w:rPr>
          <w:rFonts w:ascii="Arial" w:cs="Arial" w:eastAsia="Arial" w:hAnsi="Arial"/>
          <w:sz w:val="24"/>
          <w:szCs w:val="24"/>
          <w:color w:val="auto"/>
        </w:rPr>
        <w:t>) e das operações de crédito (</w:t>
      </w:r>
      <w:r>
        <w:rPr>
          <w:rFonts w:ascii="Arial" w:cs="Arial" w:eastAsia="Arial" w:hAnsi="Arial"/>
          <w:sz w:val="24"/>
          <w:szCs w:val="24"/>
          <w:i w:val="1"/>
          <w:iCs w:val="1"/>
          <w:color w:val="auto"/>
        </w:rPr>
        <w:t>E</w:t>
      </w:r>
      <w:r>
        <w:rPr>
          <w:rFonts w:ascii="Arial" w:cs="Arial" w:eastAsia="Arial" w:hAnsi="Arial"/>
          <w:sz w:val="24"/>
          <w:szCs w:val="24"/>
          <w:color w:val="auto"/>
        </w:rPr>
        <w:t>). Já a taxa de captação é extraída da relação entre as despesas de captação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 em relação do montante capitado (</w:t>
      </w:r>
      <w:r>
        <w:rPr>
          <w:rFonts w:ascii="Arial" w:cs="Arial" w:eastAsia="Arial" w:hAnsi="Arial"/>
          <w:sz w:val="24"/>
          <w:szCs w:val="24"/>
          <w:i w:val="1"/>
          <w:iCs w:val="1"/>
          <w:color w:val="auto"/>
        </w:rPr>
        <w:t>C</w:t>
      </w:r>
      <w:r>
        <w:rPr>
          <w:rFonts w:ascii="Arial" w:cs="Arial" w:eastAsia="Arial" w:hAnsi="Arial"/>
          <w:sz w:val="24"/>
          <w:szCs w:val="24"/>
          <w:color w:val="auto"/>
        </w:rPr>
        <w:t>)</w:t>
      </w:r>
    </w:p>
    <w:p>
      <w:pPr>
        <w:spacing w:after="0" w:line="382" w:lineRule="exact"/>
        <w:rPr>
          <w:sz w:val="20"/>
          <w:szCs w:val="20"/>
          <w:color w:val="auto"/>
        </w:rPr>
      </w:pPr>
    </w:p>
    <w:p>
      <w:pPr>
        <w:jc w:val="center"/>
        <w:ind w:right="-199"/>
        <w:spacing w:after="0"/>
        <w:rPr>
          <w:sz w:val="20"/>
          <w:szCs w:val="20"/>
          <w:color w:val="auto"/>
        </w:rPr>
      </w:pPr>
      <w:r>
        <w:rPr>
          <w:rFonts w:ascii="Arial" w:cs="Arial" w:eastAsia="Arial" w:hAnsi="Arial"/>
          <w:sz w:val="24"/>
          <w:szCs w:val="24"/>
          <w:i w:val="1"/>
          <w:iCs w:val="1"/>
          <w:color w:val="auto"/>
        </w:rPr>
        <w:t>SprEp</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bscript"/>
        </w:rPr>
        <w:t>E</w:t>
      </w:r>
      <w:r>
        <w:rPr>
          <w:rFonts w:ascii="Arial" w:cs="Arial" w:eastAsia="Arial" w:hAnsi="Arial"/>
          <w:sz w:val="47"/>
          <w:szCs w:val="47"/>
          <w:i w:val="1"/>
          <w:iCs w:val="1"/>
          <w:color w:val="auto"/>
          <w:vertAlign w:val="superscript"/>
        </w:rPr>
        <w:t>R</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D</w:t>
      </w:r>
      <w:r>
        <w:rPr>
          <w:rFonts w:ascii="Arial" w:cs="Arial" w:eastAsia="Arial" w:hAnsi="Arial"/>
          <w:sz w:val="47"/>
          <w:szCs w:val="47"/>
          <w:i w:val="1"/>
          <w:iCs w:val="1"/>
          <w:color w:val="auto"/>
          <w:vertAlign w:val="subscript"/>
        </w:rPr>
        <w:t>C</w:t>
      </w:r>
      <w:r>
        <w:rPr>
          <w:rFonts w:ascii="Arial" w:cs="Arial" w:eastAsia="Arial" w:hAnsi="Arial"/>
          <w:sz w:val="31"/>
          <w:szCs w:val="31"/>
          <w:i w:val="1"/>
          <w:iCs w:val="1"/>
          <w:color w:val="auto"/>
          <w:vertAlign w:val="superscript"/>
        </w:rPr>
        <w:t>cap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3051175</wp:posOffset>
                </wp:positionH>
                <wp:positionV relativeFrom="paragraph">
                  <wp:posOffset>-165100</wp:posOffset>
                </wp:positionV>
                <wp:extent cx="118745" cy="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87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25pt,-13pt" to="249.6pt,-1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3385820</wp:posOffset>
                </wp:positionH>
                <wp:positionV relativeFrom="paragraph">
                  <wp:posOffset>-165100</wp:posOffset>
                </wp:positionV>
                <wp:extent cx="287655" cy="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6.6pt,-13pt" to="289.25pt,-13pt" o:allowincell="f" strokecolor="#000000" strokeweight="0.398pt"/>
            </w:pict>
          </mc:Fallback>
        </mc:AlternateContent>
      </w:r>
    </w:p>
    <w:p>
      <w:pPr>
        <w:spacing w:after="0" w:line="161" w:lineRule="exact"/>
        <w:rPr>
          <w:sz w:val="20"/>
          <w:szCs w:val="20"/>
          <w:color w:val="auto"/>
        </w:rPr>
      </w:pPr>
    </w:p>
    <w:p>
      <w:pPr>
        <w:jc w:val="both"/>
        <w:ind w:left="260" w:right="40" w:firstLine="850"/>
        <w:spacing w:after="0" w:line="284" w:lineRule="auto"/>
        <w:rPr>
          <w:sz w:val="20"/>
          <w:szCs w:val="20"/>
          <w:color w:val="auto"/>
        </w:rPr>
      </w:pPr>
      <w:r>
        <w:rPr>
          <w:rFonts w:ascii="Arial" w:cs="Arial" w:eastAsia="Arial" w:hAnsi="Arial"/>
          <w:sz w:val="24"/>
          <w:szCs w:val="24"/>
          <w:color w:val="auto"/>
        </w:rPr>
        <w:t>A receita das operações de crédito (</w:t>
      </w:r>
      <w:r>
        <w:rPr>
          <w:rFonts w:ascii="Arial" w:cs="Arial" w:eastAsia="Arial" w:hAnsi="Arial"/>
          <w:sz w:val="24"/>
          <w:szCs w:val="24"/>
          <w:i w:val="1"/>
          <w:iCs w:val="1"/>
          <w:color w:val="auto"/>
        </w:rPr>
        <w:t>R</w:t>
      </w:r>
      <w:r>
        <w:rPr>
          <w:rFonts w:ascii="Arial" w:cs="Arial" w:eastAsia="Arial" w:hAnsi="Arial"/>
          <w:sz w:val="24"/>
          <w:szCs w:val="24"/>
          <w:color w:val="auto"/>
        </w:rPr>
        <w:t>) é obtida levando em consideração as operações de crédito - capital emprestado - (</w:t>
      </w:r>
      <w:r>
        <w:rPr>
          <w:rFonts w:ascii="Arial" w:cs="Arial" w:eastAsia="Arial" w:hAnsi="Arial"/>
          <w:sz w:val="24"/>
          <w:szCs w:val="24"/>
          <w:i w:val="1"/>
          <w:iCs w:val="1"/>
          <w:color w:val="auto"/>
        </w:rPr>
        <w:t>E</w:t>
      </w:r>
      <w:r>
        <w:rPr>
          <w:rFonts w:ascii="Arial" w:cs="Arial" w:eastAsia="Arial" w:hAnsi="Arial"/>
          <w:sz w:val="24"/>
          <w:szCs w:val="24"/>
          <w:color w:val="auto"/>
        </w:rPr>
        <w:t>) e uma taxa de juros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jr</w:t>
      </w:r>
      <w:r>
        <w:rPr>
          <w:rFonts w:ascii="Arial" w:cs="Arial" w:eastAsia="Arial" w:hAnsi="Arial"/>
          <w:sz w:val="24"/>
          <w:szCs w:val="24"/>
          <w:color w:val="auto"/>
        </w:rPr>
        <w:t>), que contempla os custos de captação, os custos operacionais, inadimplência, impostos</w:t>
      </w:r>
    </w:p>
    <w:p>
      <w:pPr>
        <w:sectPr>
          <w:pgSz w:w="11900" w:h="16838" w:orient="portrait"/>
          <w:cols w:equalWidth="0" w:num="1">
            <w:col w:w="9360"/>
          </w:cols>
          <w:pgMar w:left="1440" w:top="991" w:right="1106" w:bottom="666" w:gutter="0" w:footer="0" w:header="0"/>
        </w:sectPr>
      </w:pPr>
    </w:p>
    <w:p>
      <w:pPr>
        <w:ind w:left="9060"/>
        <w:spacing w:after="0"/>
        <w:rPr>
          <w:sz w:val="20"/>
          <w:szCs w:val="20"/>
          <w:color w:val="auto"/>
        </w:rPr>
      </w:pPr>
      <w:r>
        <w:rPr>
          <w:rFonts w:ascii="Arial" w:cs="Arial" w:eastAsia="Arial" w:hAnsi="Arial"/>
          <w:sz w:val="24"/>
          <w:szCs w:val="24"/>
          <w:color w:val="auto"/>
        </w:rPr>
        <w:t>38</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diretos e indiretos e margem líquida.</w:t>
      </w:r>
    </w:p>
    <w:p>
      <w:pPr>
        <w:spacing w:after="0" w:line="217" w:lineRule="exact"/>
        <w:rPr>
          <w:sz w:val="20"/>
          <w:szCs w:val="20"/>
          <w:color w:val="auto"/>
        </w:rPr>
      </w:pPr>
    </w:p>
    <w:p>
      <w:pPr>
        <w:ind w:left="4360" w:hanging="237"/>
        <w:spacing w:after="0" w:line="357" w:lineRule="exact"/>
        <w:tabs>
          <w:tab w:leader="none" w:pos="4360" w:val="left"/>
        </w:tabs>
        <w:numPr>
          <w:ilvl w:val="0"/>
          <w:numId w:val="17"/>
        </w:numPr>
        <w:rPr>
          <w:rFonts w:ascii="Arial" w:cs="Arial" w:eastAsia="Arial" w:hAnsi="Arial"/>
          <w:sz w:val="24"/>
          <w:szCs w:val="24"/>
          <w:i w:val="1"/>
          <w:iCs w:val="1"/>
          <w:color w:val="auto"/>
        </w:rPr>
      </w:pPr>
      <w:r>
        <w:rPr>
          <w:rFonts w:ascii="Arial" w:cs="Arial" w:eastAsia="Arial" w:hAnsi="Arial"/>
          <w:sz w:val="24"/>
          <w:szCs w:val="24"/>
          <w:color w:val="auto"/>
        </w:rPr>
        <w:t>= (</w:t>
      </w:r>
      <w:r>
        <w:rPr>
          <w:rFonts w:ascii="Arial" w:cs="Arial" w:eastAsia="Arial" w:hAnsi="Arial"/>
          <w:sz w:val="24"/>
          <w:szCs w:val="24"/>
          <w:i w:val="1"/>
          <w:iCs w:val="1"/>
          <w:color w:val="auto"/>
        </w:rPr>
        <w:t>E</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jr</w:t>
      </w:r>
      <w:r>
        <w:rPr>
          <w:rFonts w:ascii="Arial" w:cs="Arial" w:eastAsia="Arial" w:hAnsi="Arial"/>
          <w:sz w:val="24"/>
          <w:szCs w:val="24"/>
          <w:color w:val="auto"/>
        </w:rPr>
        <w:t>)</w:t>
      </w:r>
    </w:p>
    <w:p>
      <w:pPr>
        <w:spacing w:after="0" w:line="333" w:lineRule="exact"/>
        <w:rPr>
          <w:sz w:val="20"/>
          <w:szCs w:val="20"/>
          <w:color w:val="auto"/>
        </w:rPr>
      </w:pPr>
    </w:p>
    <w:p>
      <w:pPr>
        <w:jc w:val="both"/>
        <w:ind w:left="260" w:firstLine="850"/>
        <w:spacing w:after="0" w:line="245" w:lineRule="auto"/>
        <w:rPr>
          <w:sz w:val="20"/>
          <w:szCs w:val="20"/>
          <w:color w:val="auto"/>
        </w:rPr>
      </w:pPr>
      <w:r>
        <w:rPr>
          <w:rFonts w:ascii="Arial" w:cs="Arial" w:eastAsia="Arial" w:hAnsi="Arial"/>
          <w:sz w:val="24"/>
          <w:szCs w:val="24"/>
          <w:color w:val="auto"/>
        </w:rPr>
        <w:t>A receita das operações de crédito pode ser decomposta levando em conside-ração as despesas administrativas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adm</w:t>
      </w:r>
      <w:r>
        <w:rPr>
          <w:rFonts w:ascii="Arial" w:cs="Arial" w:eastAsia="Arial" w:hAnsi="Arial"/>
          <w:sz w:val="24"/>
          <w:szCs w:val="24"/>
          <w:color w:val="auto"/>
        </w:rPr>
        <w:t>), provisões de inadimplência (</w:t>
      </w:r>
      <w:r>
        <w:rPr>
          <w:rFonts w:ascii="Arial" w:cs="Arial" w:eastAsia="Arial" w:hAnsi="Arial"/>
          <w:sz w:val="24"/>
          <w:szCs w:val="24"/>
          <w:i w:val="1"/>
          <w:iCs w:val="1"/>
          <w:color w:val="auto"/>
        </w:rPr>
        <w:t>P</w:t>
      </w:r>
      <w:r>
        <w:rPr>
          <w:rFonts w:ascii="Arial" w:cs="Arial" w:eastAsia="Arial" w:hAnsi="Arial"/>
          <w:sz w:val="31"/>
          <w:szCs w:val="31"/>
          <w:i w:val="1"/>
          <w:iCs w:val="1"/>
          <w:color w:val="auto"/>
          <w:vertAlign w:val="subscript"/>
        </w:rPr>
        <w:t>inad</w:t>
      </w:r>
      <w:r>
        <w:rPr>
          <w:rFonts w:ascii="Arial" w:cs="Arial" w:eastAsia="Arial" w:hAnsi="Arial"/>
          <w:sz w:val="24"/>
          <w:szCs w:val="24"/>
          <w:color w:val="auto"/>
        </w:rPr>
        <w:t>) custos de captação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 impostos variáveis (</w:t>
      </w:r>
      <w:r>
        <w:rPr>
          <w:rFonts w:ascii="Arial" w:cs="Arial" w:eastAsia="Arial" w:hAnsi="Arial"/>
          <w:sz w:val="24"/>
          <w:szCs w:val="24"/>
          <w:i w:val="1"/>
          <w:iCs w:val="1"/>
          <w:color w:val="auto"/>
        </w:rPr>
        <w:t>Imp</w:t>
      </w:r>
      <w:r>
        <w:rPr>
          <w:rFonts w:ascii="Arial" w:cs="Arial" w:eastAsia="Arial" w:hAnsi="Arial"/>
          <w:sz w:val="31"/>
          <w:szCs w:val="31"/>
          <w:i w:val="1"/>
          <w:iCs w:val="1"/>
          <w:color w:val="auto"/>
          <w:vertAlign w:val="subscript"/>
        </w:rPr>
        <w:t>ind</w:t>
      </w:r>
      <w:r>
        <w:rPr>
          <w:rFonts w:ascii="Arial" w:cs="Arial" w:eastAsia="Arial" w:hAnsi="Arial"/>
          <w:sz w:val="24"/>
          <w:szCs w:val="24"/>
          <w:color w:val="auto"/>
        </w:rPr>
        <w:t>), impostos sobre a renda (</w:t>
      </w:r>
      <w:r>
        <w:rPr>
          <w:rFonts w:ascii="Arial" w:cs="Arial" w:eastAsia="Arial" w:hAnsi="Arial"/>
          <w:sz w:val="24"/>
          <w:szCs w:val="24"/>
          <w:i w:val="1"/>
          <w:iCs w:val="1"/>
          <w:color w:val="auto"/>
        </w:rPr>
        <w:t>Imp</w:t>
      </w:r>
      <w:r>
        <w:rPr>
          <w:rFonts w:ascii="Arial" w:cs="Arial" w:eastAsia="Arial" w:hAnsi="Arial"/>
          <w:sz w:val="31"/>
          <w:szCs w:val="31"/>
          <w:i w:val="1"/>
          <w:iCs w:val="1"/>
          <w:color w:val="auto"/>
          <w:vertAlign w:val="subscript"/>
        </w:rPr>
        <w:t>dir</w:t>
      </w:r>
      <w:r>
        <w:rPr>
          <w:rFonts w:ascii="Arial" w:cs="Arial" w:eastAsia="Arial" w:hAnsi="Arial"/>
          <w:sz w:val="24"/>
          <w:szCs w:val="24"/>
          <w:color w:val="auto"/>
        </w:rPr>
        <w:t>) e margem líquida (</w:t>
      </w:r>
      <w:r>
        <w:rPr>
          <w:rFonts w:ascii="Arial" w:cs="Arial" w:eastAsia="Arial" w:hAnsi="Arial"/>
          <w:sz w:val="24"/>
          <w:szCs w:val="24"/>
          <w:i w:val="1"/>
          <w:iCs w:val="1"/>
          <w:color w:val="auto"/>
        </w:rPr>
        <w:t>M gLqd</w:t>
      </w:r>
      <w:r>
        <w:rPr>
          <w:rFonts w:ascii="Arial" w:cs="Arial" w:eastAsia="Arial" w:hAnsi="Arial"/>
          <w:sz w:val="24"/>
          <w:szCs w:val="24"/>
          <w:color w:val="auto"/>
        </w:rPr>
        <w:t>).</w:t>
      </w:r>
    </w:p>
    <w:p>
      <w:pPr>
        <w:spacing w:after="0" w:line="182" w:lineRule="exact"/>
        <w:rPr>
          <w:sz w:val="20"/>
          <w:szCs w:val="20"/>
          <w:color w:val="auto"/>
        </w:rPr>
      </w:pPr>
    </w:p>
    <w:p>
      <w:pPr>
        <w:ind w:left="2260" w:hanging="252"/>
        <w:spacing w:after="0"/>
        <w:tabs>
          <w:tab w:leader="none" w:pos="2260" w:val="left"/>
        </w:tabs>
        <w:numPr>
          <w:ilvl w:val="0"/>
          <w:numId w:val="18"/>
        </w:numPr>
        <w:rPr>
          <w:rFonts w:ascii="Arial" w:cs="Arial" w:eastAsia="Arial" w:hAnsi="Arial"/>
          <w:sz w:val="24"/>
          <w:szCs w:val="24"/>
          <w:i w:val="1"/>
          <w:iCs w:val="1"/>
          <w:color w:val="auto"/>
        </w:rPr>
      </w:pPr>
      <w:r>
        <w:rPr>
          <w:rFonts w:ascii="Arial" w:cs="Arial" w:eastAsia="Arial" w:hAnsi="Arial"/>
          <w:sz w:val="24"/>
          <w:szCs w:val="24"/>
          <w:color w:val="auto"/>
        </w:rPr>
        <w:t xml:space="preserve">=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adm</w:t>
      </w:r>
      <w:r>
        <w:rPr>
          <w:rFonts w:ascii="Arial" w:cs="Arial" w:eastAsia="Arial" w:hAnsi="Arial"/>
          <w:sz w:val="24"/>
          <w:szCs w:val="24"/>
          <w:color w:val="auto"/>
        </w:rPr>
        <w:t xml:space="preserve"> + </w:t>
      </w:r>
      <w:r>
        <w:rPr>
          <w:rFonts w:ascii="Arial" w:cs="Arial" w:eastAsia="Arial" w:hAnsi="Arial"/>
          <w:sz w:val="24"/>
          <w:szCs w:val="24"/>
          <w:i w:val="1"/>
          <w:iCs w:val="1"/>
          <w:color w:val="auto"/>
        </w:rPr>
        <w:t>P</w:t>
      </w:r>
      <w:r>
        <w:rPr>
          <w:rFonts w:ascii="Arial" w:cs="Arial" w:eastAsia="Arial" w:hAnsi="Arial"/>
          <w:sz w:val="31"/>
          <w:szCs w:val="31"/>
          <w:i w:val="1"/>
          <w:iCs w:val="1"/>
          <w:color w:val="auto"/>
          <w:vertAlign w:val="subscript"/>
        </w:rPr>
        <w:t>inad</w:t>
      </w:r>
      <w:r>
        <w:rPr>
          <w:rFonts w:ascii="Arial" w:cs="Arial" w:eastAsia="Arial" w:hAnsi="Arial"/>
          <w:sz w:val="24"/>
          <w:szCs w:val="24"/>
          <w:color w:val="auto"/>
        </w:rPr>
        <w:t xml:space="preserve"> +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 xml:space="preserve"> + </w:t>
      </w:r>
      <w:r>
        <w:rPr>
          <w:rFonts w:ascii="Arial" w:cs="Arial" w:eastAsia="Arial" w:hAnsi="Arial"/>
          <w:sz w:val="24"/>
          <w:szCs w:val="24"/>
          <w:i w:val="1"/>
          <w:iCs w:val="1"/>
          <w:color w:val="auto"/>
        </w:rPr>
        <w:t>Imp</w:t>
      </w:r>
      <w:r>
        <w:rPr>
          <w:rFonts w:ascii="Arial" w:cs="Arial" w:eastAsia="Arial" w:hAnsi="Arial"/>
          <w:sz w:val="31"/>
          <w:szCs w:val="31"/>
          <w:i w:val="1"/>
          <w:iCs w:val="1"/>
          <w:color w:val="auto"/>
          <w:vertAlign w:val="subscript"/>
        </w:rPr>
        <w:t>ind</w:t>
      </w:r>
      <w:r>
        <w:rPr>
          <w:rFonts w:ascii="Arial" w:cs="Arial" w:eastAsia="Arial" w:hAnsi="Arial"/>
          <w:sz w:val="24"/>
          <w:szCs w:val="24"/>
          <w:color w:val="auto"/>
        </w:rPr>
        <w:t xml:space="preserve"> + </w:t>
      </w:r>
      <w:r>
        <w:rPr>
          <w:rFonts w:ascii="Arial" w:cs="Arial" w:eastAsia="Arial" w:hAnsi="Arial"/>
          <w:sz w:val="24"/>
          <w:szCs w:val="24"/>
          <w:i w:val="1"/>
          <w:iCs w:val="1"/>
          <w:color w:val="auto"/>
        </w:rPr>
        <w:t>Imp</w:t>
      </w:r>
      <w:r>
        <w:rPr>
          <w:rFonts w:ascii="Arial" w:cs="Arial" w:eastAsia="Arial" w:hAnsi="Arial"/>
          <w:sz w:val="31"/>
          <w:szCs w:val="31"/>
          <w:i w:val="1"/>
          <w:iCs w:val="1"/>
          <w:color w:val="auto"/>
          <w:vertAlign w:val="subscript"/>
        </w:rPr>
        <w:t>dir</w:t>
      </w:r>
      <w:r>
        <w:rPr>
          <w:rFonts w:ascii="Arial" w:cs="Arial" w:eastAsia="Arial" w:hAnsi="Arial"/>
          <w:sz w:val="24"/>
          <w:szCs w:val="24"/>
          <w:color w:val="auto"/>
        </w:rPr>
        <w:t xml:space="preserve"> + </w:t>
      </w:r>
      <w:r>
        <w:rPr>
          <w:rFonts w:ascii="Arial" w:cs="Arial" w:eastAsia="Arial" w:hAnsi="Arial"/>
          <w:sz w:val="24"/>
          <w:szCs w:val="24"/>
          <w:i w:val="1"/>
          <w:iCs w:val="1"/>
          <w:color w:val="auto"/>
        </w:rPr>
        <w:t>M gLqd</w:t>
      </w:r>
    </w:p>
    <w:p>
      <w:pPr>
        <w:spacing w:after="0" w:line="347" w:lineRule="exact"/>
        <w:rPr>
          <w:sz w:val="20"/>
          <w:szCs w:val="20"/>
          <w:color w:val="auto"/>
        </w:rPr>
      </w:pPr>
    </w:p>
    <w:p>
      <w:pPr>
        <w:jc w:val="both"/>
        <w:ind w:left="260" w:firstLine="858"/>
        <w:spacing w:after="0" w:line="279" w:lineRule="auto"/>
        <w:rPr>
          <w:sz w:val="20"/>
          <w:szCs w:val="20"/>
          <w:color w:val="auto"/>
        </w:rPr>
      </w:pPr>
      <w:r>
        <w:rPr>
          <w:rFonts w:ascii="Arial" w:cs="Arial" w:eastAsia="Arial" w:hAnsi="Arial"/>
          <w:sz w:val="24"/>
          <w:szCs w:val="24"/>
          <w:color w:val="auto"/>
        </w:rPr>
        <w:t>A decomposiçao da receita pode ser ampliada com a inserção das variáveis componentes. O primeiro bloco da composição consiste na inserção das taxas e alíquo-tas aplicados sobre o capital emprestado (</w:t>
      </w:r>
      <w:r>
        <w:rPr>
          <w:rFonts w:ascii="Arial" w:cs="Arial" w:eastAsia="Arial" w:hAnsi="Arial"/>
          <w:sz w:val="24"/>
          <w:szCs w:val="24"/>
          <w:i w:val="1"/>
          <w:iCs w:val="1"/>
          <w:color w:val="auto"/>
        </w:rPr>
        <w:t>E</w:t>
      </w:r>
      <w:r>
        <w:rPr>
          <w:rFonts w:ascii="Arial" w:cs="Arial" w:eastAsia="Arial" w:hAnsi="Arial"/>
          <w:sz w:val="24"/>
          <w:szCs w:val="24"/>
          <w:color w:val="auto"/>
        </w:rPr>
        <w:t>) e captação (</w:t>
      </w:r>
      <w:r>
        <w:rPr>
          <w:rFonts w:ascii="Arial" w:cs="Arial" w:eastAsia="Arial" w:hAnsi="Arial"/>
          <w:sz w:val="24"/>
          <w:szCs w:val="24"/>
          <w:i w:val="1"/>
          <w:iCs w:val="1"/>
          <w:color w:val="auto"/>
        </w:rPr>
        <w:t>C</w:t>
      </w:r>
      <w:r>
        <w:rPr>
          <w:rFonts w:ascii="Arial" w:cs="Arial" w:eastAsia="Arial" w:hAnsi="Arial"/>
          <w:sz w:val="24"/>
          <w:szCs w:val="24"/>
          <w:color w:val="auto"/>
        </w:rPr>
        <w:t>), sendo elas as despesas administrativas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adm</w:t>
      </w:r>
      <w:r>
        <w:rPr>
          <w:rFonts w:ascii="Arial" w:cs="Arial" w:eastAsia="Arial" w:hAnsi="Arial"/>
          <w:sz w:val="24"/>
          <w:szCs w:val="24"/>
          <w:color w:val="auto"/>
        </w:rPr>
        <w:t>), inadimplência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ind</w:t>
      </w:r>
      <w:r>
        <w:rPr>
          <w:rFonts w:ascii="Arial" w:cs="Arial" w:eastAsia="Arial" w:hAnsi="Arial"/>
          <w:sz w:val="24"/>
          <w:szCs w:val="24"/>
          <w:color w:val="auto"/>
        </w:rPr>
        <w:t>), captação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 recolhimento compulsório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comp</w:t>
      </w:r>
      <w:r>
        <w:rPr>
          <w:rFonts w:ascii="Arial" w:cs="Arial" w:eastAsia="Arial" w:hAnsi="Arial"/>
          <w:sz w:val="24"/>
          <w:szCs w:val="24"/>
          <w:color w:val="auto"/>
        </w:rPr>
        <w:t>), aplicação de compulsório(</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ac</w:t>
      </w:r>
      <w:r>
        <w:rPr>
          <w:rFonts w:ascii="Arial" w:cs="Arial" w:eastAsia="Arial" w:hAnsi="Arial"/>
          <w:sz w:val="24"/>
          <w:szCs w:val="24"/>
          <w:color w:val="auto"/>
        </w:rPr>
        <w:t>), fundo garantidor de crédito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fgc</w:t>
      </w:r>
      <w:r>
        <w:rPr>
          <w:rFonts w:ascii="Arial" w:cs="Arial" w:eastAsia="Arial" w:hAnsi="Arial"/>
          <w:sz w:val="24"/>
          <w:szCs w:val="24"/>
          <w:color w:val="auto"/>
        </w:rPr>
        <w:t>).</w:t>
      </w:r>
    </w:p>
    <w:p>
      <w:pPr>
        <w:spacing w:after="0" w:line="112" w:lineRule="exact"/>
        <w:rPr>
          <w:sz w:val="20"/>
          <w:szCs w:val="20"/>
          <w:color w:val="auto"/>
        </w:rPr>
      </w:pPr>
    </w:p>
    <w:p>
      <w:pPr>
        <w:jc w:val="both"/>
        <w:ind w:left="260" w:right="40" w:firstLine="850"/>
        <w:spacing w:after="0" w:line="313" w:lineRule="auto"/>
        <w:rPr>
          <w:sz w:val="20"/>
          <w:szCs w:val="20"/>
          <w:color w:val="auto"/>
        </w:rPr>
      </w:pPr>
      <w:r>
        <w:rPr>
          <w:rFonts w:ascii="Arial" w:cs="Arial" w:eastAsia="Arial" w:hAnsi="Arial"/>
          <w:sz w:val="24"/>
          <w:szCs w:val="24"/>
          <w:color w:val="auto"/>
        </w:rP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 </w:t>
      </w:r>
      <w:r>
        <w:rPr>
          <w:rFonts w:ascii="Arial" w:cs="Arial" w:eastAsia="Arial" w:hAnsi="Arial"/>
          <w:sz w:val="24"/>
          <w:szCs w:val="24"/>
          <w:i w:val="1"/>
          <w:iCs w:val="1"/>
          <w:color w:val="auto"/>
        </w:rPr>
        <w:t>C</w:t>
      </w:r>
      <w:r>
        <w:rPr>
          <w:rFonts w:ascii="Arial" w:cs="Arial" w:eastAsia="Arial" w:hAnsi="Arial"/>
          <w:sz w:val="24"/>
          <w:szCs w:val="24"/>
          <w:color w:val="auto"/>
        </w:rPr>
        <w:t xml:space="preserve"> = </w:t>
      </w:r>
      <w:r>
        <w:rPr>
          <w:rFonts w:ascii="Arial" w:cs="Arial" w:eastAsia="Arial" w:hAnsi="Arial"/>
          <w:sz w:val="24"/>
          <w:szCs w:val="24"/>
          <w:i w:val="1"/>
          <w:iCs w:val="1"/>
          <w:color w:val="auto"/>
        </w:rPr>
        <w:t>E/</w:t>
      </w:r>
      <w:r>
        <w:rPr>
          <w:rFonts w:ascii="Arial" w:cs="Arial" w:eastAsia="Arial" w:hAnsi="Arial"/>
          <w:sz w:val="24"/>
          <w:szCs w:val="24"/>
          <w:color w:val="auto"/>
        </w:rPr>
        <w:t xml:space="preserve">(1 −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comp</w:t>
      </w:r>
      <w:r>
        <w:rPr>
          <w:rFonts w:ascii="Arial" w:cs="Arial" w:eastAsia="Arial" w:hAnsi="Arial"/>
          <w:sz w:val="24"/>
          <w:szCs w:val="24"/>
          <w:color w:val="auto"/>
        </w:rPr>
        <w:t xml:space="preserve"> −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fgc</w:t>
      </w:r>
      <w:r>
        <w:rPr>
          <w:rFonts w:ascii="Arial" w:cs="Arial" w:eastAsia="Arial" w:hAnsi="Arial"/>
          <w:sz w:val="24"/>
          <w:szCs w:val="24"/>
          <w:color w:val="auto"/>
        </w:rPr>
        <w:t>).</w:t>
      </w:r>
    </w:p>
    <w:p>
      <w:pPr>
        <w:jc w:val="both"/>
        <w:ind w:left="260" w:right="40" w:firstLine="858"/>
        <w:spacing w:after="0" w:line="269" w:lineRule="auto"/>
        <w:rPr>
          <w:sz w:val="20"/>
          <w:szCs w:val="20"/>
          <w:color w:val="auto"/>
        </w:rPr>
      </w:pPr>
      <w:r>
        <w:rPr>
          <w:rFonts w:ascii="Arial" w:cs="Arial" w:eastAsia="Arial" w:hAnsi="Arial"/>
          <w:sz w:val="24"/>
          <w:szCs w:val="24"/>
          <w:color w:val="auto"/>
        </w:rPr>
        <w:t>O segundo bloco da decomposição da receita consiste na inseção de variáveis referente as taxas e alíquotas aplicados sobre a própria receita (</w:t>
      </w:r>
      <w:r>
        <w:rPr>
          <w:rFonts w:ascii="Arial" w:cs="Arial" w:eastAsia="Arial" w:hAnsi="Arial"/>
          <w:sz w:val="24"/>
          <w:szCs w:val="24"/>
          <w:i w:val="1"/>
          <w:iCs w:val="1"/>
          <w:color w:val="auto"/>
        </w:rPr>
        <w:t>R</w:t>
      </w:r>
      <w:r>
        <w:rPr>
          <w:rFonts w:ascii="Arial" w:cs="Arial" w:eastAsia="Arial" w:hAnsi="Arial"/>
          <w:sz w:val="24"/>
          <w:szCs w:val="24"/>
          <w:color w:val="auto"/>
        </w:rPr>
        <w:t>), contemplando o PIS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pis</w:t>
      </w:r>
      <w:r>
        <w:rPr>
          <w:rFonts w:ascii="Arial" w:cs="Arial" w:eastAsia="Arial" w:hAnsi="Arial"/>
          <w:sz w:val="24"/>
          <w:szCs w:val="24"/>
          <w:color w:val="auto"/>
        </w:rPr>
        <w:t>), COFINS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cof</w:t>
      </w:r>
      <w:r>
        <w:rPr>
          <w:rFonts w:ascii="Arial" w:cs="Arial" w:eastAsia="Arial" w:hAnsi="Arial"/>
          <w:sz w:val="24"/>
          <w:szCs w:val="24"/>
          <w:color w:val="auto"/>
        </w:rPr>
        <w:t xml:space="preserve"> ), imposto de renda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ir</w:t>
      </w:r>
      <w:r>
        <w:rPr>
          <w:rFonts w:ascii="Arial" w:cs="Arial" w:eastAsia="Arial" w:hAnsi="Arial"/>
          <w:sz w:val="24"/>
          <w:szCs w:val="24"/>
          <w:color w:val="auto"/>
        </w:rPr>
        <w:t>), contribuição social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cs</w:t>
      </w:r>
      <w:r>
        <w:rPr>
          <w:rFonts w:ascii="Arial" w:cs="Arial" w:eastAsia="Arial" w:hAnsi="Arial"/>
          <w:sz w:val="24"/>
          <w:szCs w:val="24"/>
          <w:color w:val="auto"/>
        </w:rPr>
        <w:t>) e lucro líquido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ll</w:t>
      </w:r>
      <w:r>
        <w:rPr>
          <w:rFonts w:ascii="Arial" w:cs="Arial" w:eastAsia="Arial" w:hAnsi="Arial"/>
          <w:sz w:val="24"/>
          <w:szCs w:val="24"/>
          <w:color w:val="auto"/>
        </w:rPr>
        <w:t>), assumindo a forma abaixo.</w:t>
      </w:r>
    </w:p>
    <w:p>
      <w:pPr>
        <w:ind w:left="7680"/>
        <w:spacing w:after="0" w:line="183" w:lineRule="auto"/>
        <w:rPr>
          <w:sz w:val="20"/>
          <w:szCs w:val="20"/>
          <w:color w:val="auto"/>
        </w:rPr>
      </w:pPr>
      <w:r>
        <w:rPr>
          <w:rFonts w:ascii="Arial" w:cs="Arial" w:eastAsia="Arial" w:hAnsi="Arial"/>
          <w:sz w:val="37"/>
          <w:szCs w:val="37"/>
          <w:i w:val="1"/>
          <w:iCs w:val="1"/>
          <w:color w:val="auto"/>
          <w:vertAlign w:val="superscript"/>
        </w:rPr>
        <w:t>i</w:t>
      </w:r>
      <w:r>
        <w:rPr>
          <w:rFonts w:ascii="Arial" w:cs="Arial" w:eastAsia="Arial" w:hAnsi="Arial"/>
          <w:sz w:val="14"/>
          <w:szCs w:val="14"/>
          <w:i w:val="1"/>
          <w:iCs w:val="1"/>
          <w:color w:val="auto"/>
        </w:rPr>
        <w:t>ll</w:t>
      </w:r>
    </w:p>
    <w:p>
      <w:pPr>
        <w:ind w:left="820"/>
        <w:spacing w:after="0" w:line="510" w:lineRule="exact"/>
        <w:rPr>
          <w:sz w:val="20"/>
          <w:szCs w:val="20"/>
          <w:color w:val="auto"/>
        </w:rPr>
      </w:pPr>
      <w:r>
        <w:rPr>
          <w:rFonts w:ascii="Arial" w:cs="Arial" w:eastAsia="Arial" w:hAnsi="Arial"/>
          <w:sz w:val="38"/>
          <w:szCs w:val="38"/>
          <w:i w:val="1"/>
          <w:iCs w:val="1"/>
          <w:color w:val="auto"/>
          <w:vertAlign w:val="superscript"/>
        </w:rPr>
        <w:t>R</w:t>
      </w:r>
      <w:r>
        <w:rPr>
          <w:rFonts w:ascii="Arial" w:cs="Arial" w:eastAsia="Arial" w:hAnsi="Arial"/>
          <w:sz w:val="37"/>
          <w:szCs w:val="37"/>
          <w:color w:val="auto"/>
          <w:vertAlign w:val="superscript"/>
        </w:rPr>
        <w:t xml:space="preserve"> = </w:t>
      </w:r>
      <w:r>
        <w:rPr>
          <w:rFonts w:ascii="Arial" w:cs="Arial" w:eastAsia="Arial" w:hAnsi="Arial"/>
          <w:sz w:val="38"/>
          <w:szCs w:val="38"/>
          <w:i w:val="1"/>
          <w:iCs w:val="1"/>
          <w:color w:val="auto"/>
          <w:vertAlign w:val="superscript"/>
        </w:rPr>
        <w:t>i</w:t>
      </w:r>
      <w:r>
        <w:rPr>
          <w:rFonts w:ascii="Arial" w:cs="Arial" w:eastAsia="Arial" w:hAnsi="Arial"/>
          <w:sz w:val="14"/>
          <w:szCs w:val="14"/>
          <w:i w:val="1"/>
          <w:iCs w:val="1"/>
          <w:color w:val="auto"/>
        </w:rPr>
        <w:t>adm</w:t>
      </w:r>
      <w:r>
        <w:rPr>
          <w:rFonts w:ascii="Arial Unicode MS" w:cs="Arial Unicode MS" w:eastAsia="Arial Unicode MS" w:hAnsi="Arial Unicode MS"/>
          <w:sz w:val="38"/>
          <w:szCs w:val="38"/>
          <w:color w:val="auto"/>
        </w:rPr>
        <w:t xml:space="preserve"> </w:t>
      </w:r>
      <w:r>
        <w:rPr>
          <w:rFonts w:ascii="Arial Unicode MS" w:cs="Arial Unicode MS" w:eastAsia="Arial Unicode MS" w:hAnsi="Arial Unicode MS"/>
          <w:sz w:val="38"/>
          <w:szCs w:val="38"/>
          <w:color w:val="auto"/>
          <w:vertAlign w:val="super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perscript"/>
        </w:rPr>
        <w:t>E</w:t>
      </w:r>
      <w:r>
        <w:rPr>
          <w:rFonts w:ascii="Arial" w:cs="Arial" w:eastAsia="Arial" w:hAnsi="Arial"/>
          <w:sz w:val="38"/>
          <w:szCs w:val="38"/>
          <w:color w:val="auto"/>
        </w:rPr>
        <w:t xml:space="preserve"> </w:t>
      </w:r>
      <w:r>
        <w:rPr>
          <w:rFonts w:ascii="Arial" w:cs="Arial" w:eastAsia="Arial" w:hAnsi="Arial"/>
          <w:sz w:val="38"/>
          <w:szCs w:val="38"/>
          <w:color w:val="auto"/>
          <w:vertAlign w:val="super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perscript"/>
        </w:rPr>
        <w:t>i</w:t>
      </w:r>
      <w:r>
        <w:rPr>
          <w:rFonts w:ascii="Arial" w:cs="Arial" w:eastAsia="Arial" w:hAnsi="Arial"/>
          <w:sz w:val="14"/>
          <w:szCs w:val="14"/>
          <w:i w:val="1"/>
          <w:iCs w:val="1"/>
          <w:color w:val="auto"/>
        </w:rPr>
        <w:t>ind</w:t>
      </w:r>
      <w:r>
        <w:rPr>
          <w:rFonts w:ascii="Arial Unicode MS" w:cs="Arial Unicode MS" w:eastAsia="Arial Unicode MS" w:hAnsi="Arial Unicode MS"/>
          <w:sz w:val="38"/>
          <w:szCs w:val="38"/>
          <w:color w:val="auto"/>
        </w:rPr>
        <w:t xml:space="preserve"> </w:t>
      </w:r>
      <w:r>
        <w:rPr>
          <w:rFonts w:ascii="Arial Unicode MS" w:cs="Arial Unicode MS" w:eastAsia="Arial Unicode MS" w:hAnsi="Arial Unicode MS"/>
          <w:sz w:val="38"/>
          <w:szCs w:val="38"/>
          <w:color w:val="auto"/>
          <w:vertAlign w:val="super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perscript"/>
        </w:rPr>
        <w:t>E</w:t>
      </w:r>
      <w:r>
        <w:rPr>
          <w:rFonts w:ascii="Arial" w:cs="Arial" w:eastAsia="Arial" w:hAnsi="Arial"/>
          <w:sz w:val="38"/>
          <w:szCs w:val="38"/>
          <w:color w:val="auto"/>
        </w:rPr>
        <w:t xml:space="preserve"> </w:t>
      </w:r>
      <w:r>
        <w:rPr>
          <w:rFonts w:ascii="Arial" w:cs="Arial" w:eastAsia="Arial" w:hAnsi="Arial"/>
          <w:sz w:val="38"/>
          <w:szCs w:val="38"/>
          <w:color w:val="auto"/>
          <w:vertAlign w:val="super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perscript"/>
        </w:rPr>
        <w:t>i</w:t>
      </w:r>
      <w:r>
        <w:rPr>
          <w:rFonts w:ascii="Arial" w:cs="Arial" w:eastAsia="Arial" w:hAnsi="Arial"/>
          <w:sz w:val="14"/>
          <w:szCs w:val="14"/>
          <w:i w:val="1"/>
          <w:iCs w:val="1"/>
          <w:color w:val="auto"/>
        </w:rPr>
        <w:t>cap</w:t>
      </w:r>
      <w:r>
        <w:rPr>
          <w:rFonts w:ascii="Arial Unicode MS" w:cs="Arial Unicode MS" w:eastAsia="Arial Unicode MS" w:hAnsi="Arial Unicode MS"/>
          <w:sz w:val="38"/>
          <w:szCs w:val="38"/>
          <w:color w:val="auto"/>
        </w:rPr>
        <w:t xml:space="preserve"> </w:t>
      </w:r>
      <w:r>
        <w:rPr>
          <w:rFonts w:ascii="Arial Unicode MS" w:cs="Arial Unicode MS" w:eastAsia="Arial Unicode MS" w:hAnsi="Arial Unicode MS"/>
          <w:sz w:val="38"/>
          <w:szCs w:val="38"/>
          <w:color w:val="auto"/>
          <w:vertAlign w:val="super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perscript"/>
        </w:rPr>
        <w:t>C</w:t>
      </w:r>
      <w:r>
        <w:rPr>
          <w:rFonts w:ascii="Arial" w:cs="Arial" w:eastAsia="Arial" w:hAnsi="Arial"/>
          <w:sz w:val="38"/>
          <w:szCs w:val="38"/>
          <w:color w:val="auto"/>
        </w:rPr>
        <w:t xml:space="preserve"> </w:t>
      </w:r>
      <w:r>
        <w:rPr>
          <w:rFonts w:ascii="Arial" w:cs="Arial" w:eastAsia="Arial" w:hAnsi="Arial"/>
          <w:sz w:val="38"/>
          <w:szCs w:val="38"/>
          <w:color w:val="auto"/>
          <w:vertAlign w:val="super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perscript"/>
        </w:rPr>
        <w:t>i</w:t>
      </w:r>
      <w:r>
        <w:rPr>
          <w:rFonts w:ascii="Arial" w:cs="Arial" w:eastAsia="Arial" w:hAnsi="Arial"/>
          <w:sz w:val="14"/>
          <w:szCs w:val="14"/>
          <w:i w:val="1"/>
          <w:iCs w:val="1"/>
          <w:color w:val="auto"/>
        </w:rPr>
        <w:t>comp</w:t>
      </w:r>
      <w:r>
        <w:rPr>
          <w:rFonts w:ascii="Arial Unicode MS" w:cs="Arial Unicode MS" w:eastAsia="Arial Unicode MS" w:hAnsi="Arial Unicode MS"/>
          <w:sz w:val="38"/>
          <w:szCs w:val="38"/>
          <w:color w:val="auto"/>
        </w:rPr>
        <w:t xml:space="preserve"> </w:t>
      </w:r>
      <w:r>
        <w:rPr>
          <w:rFonts w:ascii="Arial Unicode MS" w:cs="Arial Unicode MS" w:eastAsia="Arial Unicode MS" w:hAnsi="Arial Unicode MS"/>
          <w:sz w:val="38"/>
          <w:szCs w:val="38"/>
          <w:color w:val="auto"/>
          <w:vertAlign w:val="super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perscript"/>
        </w:rPr>
        <w:t>i</w:t>
      </w:r>
      <w:r>
        <w:rPr>
          <w:rFonts w:ascii="Arial" w:cs="Arial" w:eastAsia="Arial" w:hAnsi="Arial"/>
          <w:sz w:val="14"/>
          <w:szCs w:val="14"/>
          <w:i w:val="1"/>
          <w:iCs w:val="1"/>
          <w:color w:val="auto"/>
        </w:rPr>
        <w:t>ac</w:t>
      </w:r>
      <w:r>
        <w:rPr>
          <w:rFonts w:ascii="Arial Unicode MS" w:cs="Arial Unicode MS" w:eastAsia="Arial Unicode MS" w:hAnsi="Arial Unicode MS"/>
          <w:sz w:val="38"/>
          <w:szCs w:val="38"/>
          <w:color w:val="auto"/>
        </w:rPr>
        <w:t xml:space="preserve"> </w:t>
      </w:r>
      <w:r>
        <w:rPr>
          <w:rFonts w:ascii="Arial Unicode MS" w:cs="Arial Unicode MS" w:eastAsia="Arial Unicode MS" w:hAnsi="Arial Unicode MS"/>
          <w:sz w:val="38"/>
          <w:szCs w:val="38"/>
          <w:color w:val="auto"/>
          <w:vertAlign w:val="super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perscript"/>
        </w:rPr>
        <w:t>C</w:t>
      </w:r>
      <w:r>
        <w:rPr>
          <w:rFonts w:ascii="Arial" w:cs="Arial" w:eastAsia="Arial" w:hAnsi="Arial"/>
          <w:sz w:val="38"/>
          <w:szCs w:val="38"/>
          <w:color w:val="auto"/>
        </w:rPr>
        <w:t xml:space="preserve"> </w:t>
      </w:r>
      <w:r>
        <w:rPr>
          <w:rFonts w:ascii="Arial" w:cs="Arial" w:eastAsia="Arial" w:hAnsi="Arial"/>
          <w:sz w:val="38"/>
          <w:szCs w:val="38"/>
          <w:color w:val="auto"/>
          <w:vertAlign w:val="super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perscript"/>
        </w:rPr>
        <w:t>i</w:t>
      </w:r>
      <w:r>
        <w:rPr>
          <w:rFonts w:ascii="Arial" w:cs="Arial" w:eastAsia="Arial" w:hAnsi="Arial"/>
          <w:sz w:val="14"/>
          <w:szCs w:val="14"/>
          <w:i w:val="1"/>
          <w:iCs w:val="1"/>
          <w:color w:val="auto"/>
        </w:rPr>
        <w:t>fgc</w:t>
      </w:r>
      <w:r>
        <w:rPr>
          <w:rFonts w:ascii="Arial Unicode MS" w:cs="Arial Unicode MS" w:eastAsia="Arial Unicode MS" w:hAnsi="Arial Unicode MS"/>
          <w:sz w:val="38"/>
          <w:szCs w:val="38"/>
          <w:color w:val="auto"/>
        </w:rPr>
        <w:t xml:space="preserve"> </w:t>
      </w:r>
      <w:r>
        <w:rPr>
          <w:rFonts w:ascii="Arial Unicode MS" w:cs="Arial Unicode MS" w:eastAsia="Arial Unicode MS" w:hAnsi="Arial Unicode MS"/>
          <w:sz w:val="38"/>
          <w:szCs w:val="38"/>
          <w:color w:val="auto"/>
          <w:vertAlign w:val="super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perscript"/>
        </w:rPr>
        <w:t>C</w:t>
      </w:r>
      <w:r>
        <w:rPr>
          <w:rFonts w:ascii="Arial" w:cs="Arial" w:eastAsia="Arial" w:hAnsi="Arial"/>
          <w:sz w:val="38"/>
          <w:szCs w:val="38"/>
          <w:color w:val="auto"/>
        </w:rPr>
        <w:t xml:space="preserve"> </w:t>
      </w:r>
      <w:r>
        <w:rPr>
          <w:rFonts w:ascii="Arial" w:cs="Arial" w:eastAsia="Arial" w:hAnsi="Arial"/>
          <w:sz w:val="38"/>
          <w:szCs w:val="38"/>
          <w:color w:val="auto"/>
          <w:vertAlign w:val="superscript"/>
        </w:rPr>
        <w:t>+</w:t>
      </w:r>
      <w:r>
        <w:rPr>
          <w:rFonts w:ascii="Arial" w:cs="Arial" w:eastAsia="Arial" w:hAnsi="Arial"/>
          <w:sz w:val="38"/>
          <w:szCs w:val="38"/>
          <w:color w:val="auto"/>
        </w:rPr>
        <w:t xml:space="preserve"> </w:t>
      </w:r>
      <w:r>
        <w:rPr>
          <w:rFonts w:ascii="Arial" w:cs="Arial" w:eastAsia="Arial" w:hAnsi="Arial"/>
          <w:sz w:val="38"/>
          <w:szCs w:val="38"/>
          <w:color w:val="auto"/>
          <w:vertAlign w:val="subscript"/>
        </w:rPr>
        <w:t>1</w:t>
      </w:r>
      <w:r>
        <w:rPr>
          <w:rFonts w:ascii="Arial" w:cs="Arial" w:eastAsia="Arial" w:hAnsi="Arial"/>
          <w:sz w:val="38"/>
          <w:szCs w:val="38"/>
          <w:color w:val="auto"/>
        </w:rPr>
        <w:t xml:space="preserve"> </w:t>
      </w:r>
      <w:r>
        <w:rPr>
          <w:rFonts w:ascii="Arial" w:cs="Arial" w:eastAsia="Arial" w:hAnsi="Arial"/>
          <w:sz w:val="38"/>
          <w:szCs w:val="38"/>
          <w:color w:val="auto"/>
          <w:vertAlign w:val="sub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bscript"/>
        </w:rPr>
        <w:t>i</w:t>
      </w:r>
      <w:r>
        <w:rPr>
          <w:rFonts w:ascii="Arial" w:cs="Arial" w:eastAsia="Arial" w:hAnsi="Arial"/>
          <w:sz w:val="25"/>
          <w:szCs w:val="25"/>
          <w:i w:val="1"/>
          <w:iCs w:val="1"/>
          <w:color w:val="auto"/>
          <w:vertAlign w:val="subscript"/>
        </w:rPr>
        <w:t>r</w:t>
      </w:r>
      <w:r>
        <w:rPr>
          <w:rFonts w:ascii="Arial" w:cs="Arial" w:eastAsia="Arial" w:hAnsi="Arial"/>
          <w:sz w:val="38"/>
          <w:szCs w:val="38"/>
          <w:color w:val="auto"/>
        </w:rPr>
        <w:t xml:space="preserve"> </w:t>
      </w:r>
      <w:r>
        <w:rPr>
          <w:rFonts w:ascii="Arial" w:cs="Arial" w:eastAsia="Arial" w:hAnsi="Arial"/>
          <w:sz w:val="38"/>
          <w:szCs w:val="38"/>
          <w:color w:val="auto"/>
          <w:vertAlign w:val="sub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bscript"/>
        </w:rPr>
        <w:t>i</w:t>
      </w:r>
      <w:r>
        <w:rPr>
          <w:rFonts w:ascii="Arial" w:cs="Arial" w:eastAsia="Arial" w:hAnsi="Arial"/>
          <w:sz w:val="25"/>
          <w:szCs w:val="25"/>
          <w:i w:val="1"/>
          <w:iCs w:val="1"/>
          <w:color w:val="auto"/>
          <w:vertAlign w:val="subscript"/>
        </w:rPr>
        <w:t>cs</w:t>
      </w:r>
      <w:r>
        <w:rPr>
          <w:rFonts w:ascii="Arial Unicode MS" w:cs="Arial Unicode MS" w:eastAsia="Arial Unicode MS" w:hAnsi="Arial Unicode MS"/>
          <w:sz w:val="38"/>
          <w:szCs w:val="38"/>
          <w:color w:val="auto"/>
        </w:rPr>
        <w:t xml:space="preserve"> </w:t>
      </w:r>
      <w:r>
        <w:rPr>
          <w:rFonts w:ascii="Arial Unicode MS" w:cs="Arial Unicode MS" w:eastAsia="Arial Unicode MS" w:hAnsi="Arial Unicode MS"/>
          <w:sz w:val="38"/>
          <w:szCs w:val="38"/>
          <w:color w:val="auto"/>
          <w:vertAlign w:val="superscript"/>
        </w:rPr>
        <w:t>∗</w:t>
      </w:r>
      <w:r>
        <w:rPr>
          <w:rFonts w:ascii="Arial" w:cs="Arial" w:eastAsia="Arial" w:hAnsi="Arial"/>
          <w:sz w:val="38"/>
          <w:szCs w:val="38"/>
          <w:color w:val="auto"/>
        </w:rPr>
        <w:t xml:space="preserve"> </w:t>
      </w:r>
      <w:r>
        <w:rPr>
          <w:rFonts w:ascii="Arial" w:cs="Arial" w:eastAsia="Arial" w:hAnsi="Arial"/>
          <w:sz w:val="38"/>
          <w:szCs w:val="38"/>
          <w:i w:val="1"/>
          <w:iCs w:val="1"/>
          <w:color w:val="auto"/>
          <w:vertAlign w:val="superscript"/>
        </w:rPr>
        <w:t>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4590415</wp:posOffset>
                </wp:positionH>
                <wp:positionV relativeFrom="paragraph">
                  <wp:posOffset>-281305</wp:posOffset>
                </wp:positionV>
                <wp:extent cx="707390" cy="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7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1.45pt,-22.1499pt" to="417.15pt,-22.1499pt" o:allowincell="f" strokecolor="#000000" strokeweight="0.398pt"/>
            </w:pict>
          </mc:Fallback>
        </mc:AlternateContent>
      </w:r>
    </w:p>
    <w:p>
      <w:pPr>
        <w:spacing w:after="0" w:line="54" w:lineRule="exact"/>
        <w:rPr>
          <w:sz w:val="20"/>
          <w:szCs w:val="20"/>
          <w:color w:val="auto"/>
        </w:rPr>
      </w:pPr>
    </w:p>
    <w:p>
      <w:pPr>
        <w:jc w:val="both"/>
        <w:ind w:left="260" w:right="40" w:firstLine="850"/>
        <w:spacing w:after="0" w:line="289" w:lineRule="auto"/>
        <w:rPr>
          <w:sz w:val="20"/>
          <w:szCs w:val="20"/>
          <w:color w:val="auto"/>
        </w:rPr>
      </w:pPr>
      <w:r>
        <w:rPr>
          <w:rFonts w:ascii="Arial" w:cs="Arial" w:eastAsia="Arial" w:hAnsi="Arial"/>
          <w:sz w:val="24"/>
          <w:szCs w:val="24"/>
          <w:color w:val="auto"/>
        </w:rPr>
        <w:t>Ao isolar as variáveis e realizar as substituições e deduções algébricas obtemos a equação abaixo</w:t>
      </w:r>
      <w:r>
        <w:rPr>
          <w:rFonts w:ascii="Arial" w:cs="Arial" w:eastAsia="Arial" w:hAnsi="Arial"/>
          <w:sz w:val="31"/>
          <w:szCs w:val="31"/>
          <w:color w:val="auto"/>
        </w:rPr>
        <w:t xml:space="preserve"> </w:t>
      </w:r>
      <w:r>
        <w:rPr>
          <w:rFonts w:ascii="Arial" w:cs="Arial" w:eastAsia="Arial" w:hAnsi="Arial"/>
          <w:sz w:val="31"/>
          <w:szCs w:val="31"/>
          <w:color w:val="auto"/>
          <w:vertAlign w:val="superscript"/>
        </w:rPr>
        <w:t>1</w:t>
      </w:r>
      <w:r>
        <w:rPr>
          <w:rFonts w:ascii="Arial" w:cs="Arial" w:eastAsia="Arial" w:hAnsi="Arial"/>
          <w:sz w:val="24"/>
          <w:szCs w:val="24"/>
          <w:color w:val="auto"/>
        </w:rPr>
        <w:t>, onde o numerador da equação se configura no montante de custo e despesas incluídos nas operações de crédito e denominador contempla margem líquida e alíquotas dos impostos diretos e indiretos.</w:t>
      </w:r>
    </w:p>
    <w:p>
      <w:pPr>
        <w:spacing w:after="0" w:line="307" w:lineRule="exact"/>
        <w:rPr>
          <w:sz w:val="20"/>
          <w:szCs w:val="20"/>
          <w:color w:val="auto"/>
        </w:rPr>
      </w:pPr>
    </w:p>
    <w:tbl>
      <w:tblPr>
        <w:tblLayout w:type="fixed"/>
        <w:tblInd w:w="2620" w:type="dxa"/>
        <w:tblCellMar>
          <w:top w:w="0" w:type="dxa"/>
          <w:left w:w="0" w:type="dxa"/>
          <w:bottom w:w="0" w:type="dxa"/>
          <w:right w:w="0" w:type="dxa"/>
        </w:tblCellMar>
      </w:tblPr>
      <w:tr>
        <w:trPr>
          <w:trHeight w:val="237"/>
        </w:trPr>
        <w:tc>
          <w:tcPr>
            <w:tcW w:w="520" w:type="dxa"/>
            <w:vAlign w:val="bottom"/>
          </w:tcPr>
          <w:p>
            <w:pPr>
              <w:spacing w:after="0"/>
              <w:rPr>
                <w:sz w:val="20"/>
                <w:szCs w:val="20"/>
                <w:color w:val="auto"/>
              </w:rPr>
            </w:pPr>
          </w:p>
        </w:tc>
        <w:tc>
          <w:tcPr>
            <w:tcW w:w="1920" w:type="dxa"/>
            <w:vAlign w:val="bottom"/>
            <w:gridSpan w:val="4"/>
            <w:vMerge w:val="restart"/>
          </w:tcPr>
          <w:p>
            <w:pPr>
              <w:spacing w:after="0" w:line="357" w:lineRule="exact"/>
              <w:rPr>
                <w:sz w:val="20"/>
                <w:szCs w:val="20"/>
                <w:color w:val="auto"/>
              </w:rPr>
            </w:pPr>
            <w:r>
              <w:rPr>
                <w:rFonts w:ascii="Arial" w:cs="Arial" w:eastAsia="Arial" w:hAnsi="Arial"/>
                <w:sz w:val="24"/>
                <w:szCs w:val="24"/>
                <w:i w:val="1"/>
                <w:iCs w:val="1"/>
                <w:color w:val="auto"/>
              </w:rPr>
              <w:t>E</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adm</w:t>
            </w:r>
            <w:r>
              <w:rPr>
                <w:rFonts w:ascii="Arial" w:cs="Arial" w:eastAsia="Arial" w:hAnsi="Arial"/>
                <w:sz w:val="24"/>
                <w:szCs w:val="24"/>
                <w:color w:val="auto"/>
              </w:rPr>
              <w:t xml:space="preserve"> +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ind</w:t>
            </w:r>
            <w:r>
              <w:rPr>
                <w:rFonts w:ascii="Arial" w:cs="Arial" w:eastAsia="Arial" w:hAnsi="Arial"/>
                <w:sz w:val="24"/>
                <w:szCs w:val="24"/>
                <w:color w:val="auto"/>
              </w:rPr>
              <w:t xml:space="preserve"> + (</w:t>
            </w:r>
          </w:p>
        </w:tc>
        <w:tc>
          <w:tcPr>
            <w:tcW w:w="1700" w:type="dxa"/>
            <w:vAlign w:val="bottom"/>
            <w:tcBorders>
              <w:bottom w:val="single" w:sz="8" w:color="auto"/>
            </w:tcBorders>
          </w:tcPr>
          <w:p>
            <w:pPr>
              <w:spacing w:after="0" w:line="215" w:lineRule="exact"/>
              <w:rPr>
                <w:sz w:val="20"/>
                <w:szCs w:val="20"/>
                <w:color w:val="auto"/>
              </w:rPr>
            </w:pPr>
            <w:r>
              <w:rPr>
                <w:rFonts w:ascii="Arial" w:cs="Arial" w:eastAsia="Arial" w:hAnsi="Arial"/>
                <w:sz w:val="16"/>
                <w:szCs w:val="16"/>
                <w:i w:val="1"/>
                <w:iCs w:val="1"/>
                <w:color w:val="auto"/>
              </w:rPr>
              <w:t>i</w:t>
            </w:r>
            <w:r>
              <w:rPr>
                <w:rFonts w:ascii="Arial" w:cs="Arial" w:eastAsia="Arial" w:hAnsi="Arial"/>
                <w:sz w:val="11"/>
                <w:szCs w:val="11"/>
                <w:i w:val="1"/>
                <w:iCs w:val="1"/>
                <w:color w:val="auto"/>
              </w:rPr>
              <w:t>cap</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fgc</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comp</w:t>
            </w:r>
            <w:r>
              <w:rPr>
                <w:rFonts w:ascii="Arial Unicode MS" w:cs="Arial Unicode MS" w:eastAsia="Arial Unicode MS" w:hAnsi="Arial Unicode MS"/>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ac</w:t>
            </w:r>
            <w:r>
              <w:rPr>
                <w:rFonts w:ascii="Arial" w:cs="Arial" w:eastAsia="Arial" w:hAnsi="Arial"/>
                <w:sz w:val="16"/>
                <w:szCs w:val="16"/>
                <w:color w:val="auto"/>
              </w:rPr>
              <w:t>)</w:t>
            </w:r>
          </w:p>
        </w:tc>
        <w:tc>
          <w:tcPr>
            <w:tcW w:w="20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201"/>
        </w:trPr>
        <w:tc>
          <w:tcPr>
            <w:tcW w:w="520" w:type="dxa"/>
            <w:vAlign w:val="bottom"/>
          </w:tcPr>
          <w:p>
            <w:pPr>
              <w:spacing w:after="0" w:line="201" w:lineRule="exact"/>
              <w:rPr>
                <w:sz w:val="20"/>
                <w:szCs w:val="20"/>
                <w:color w:val="auto"/>
              </w:rPr>
            </w:pPr>
            <w:r>
              <w:rPr>
                <w:rFonts w:ascii="Arial" w:cs="Arial" w:eastAsia="Arial" w:hAnsi="Arial"/>
                <w:sz w:val="23"/>
                <w:szCs w:val="23"/>
                <w:i w:val="1"/>
                <w:iCs w:val="1"/>
                <w:color w:val="auto"/>
              </w:rPr>
              <w:t>R</w:t>
            </w:r>
            <w:r>
              <w:rPr>
                <w:rFonts w:ascii="Arial" w:cs="Arial" w:eastAsia="Arial" w:hAnsi="Arial"/>
                <w:sz w:val="23"/>
                <w:szCs w:val="23"/>
                <w:color w:val="auto"/>
              </w:rPr>
              <w:t xml:space="preserve"> =</w:t>
            </w:r>
          </w:p>
        </w:tc>
        <w:tc>
          <w:tcPr>
            <w:tcW w:w="1920" w:type="dxa"/>
            <w:vAlign w:val="bottom"/>
            <w:tcBorders>
              <w:bottom w:val="single" w:sz="8" w:color="auto"/>
            </w:tcBorders>
            <w:gridSpan w:val="4"/>
            <w:vMerge w:val="continue"/>
          </w:tcPr>
          <w:p>
            <w:pPr>
              <w:spacing w:after="0"/>
              <w:rPr>
                <w:sz w:val="17"/>
                <w:szCs w:val="17"/>
                <w:color w:val="auto"/>
              </w:rPr>
            </w:pPr>
          </w:p>
        </w:tc>
        <w:tc>
          <w:tcPr>
            <w:tcW w:w="1700" w:type="dxa"/>
            <w:vAlign w:val="bottom"/>
            <w:tcBorders>
              <w:bottom w:val="single" w:sz="8" w:color="auto"/>
            </w:tcBorders>
          </w:tcPr>
          <w:p>
            <w:pPr>
              <w:ind w:left="320"/>
              <w:spacing w:after="0"/>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11"/>
                <w:szCs w:val="11"/>
                <w:i w:val="1"/>
                <w:iCs w:val="1"/>
                <w:color w:val="auto"/>
              </w:rPr>
              <w:t>comp</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fgc</w:t>
            </w:r>
          </w:p>
        </w:tc>
        <w:tc>
          <w:tcPr>
            <w:tcW w:w="200" w:type="dxa"/>
            <w:vAlign w:val="bottom"/>
            <w:tcBorders>
              <w:bottom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153"/>
        </w:trPr>
        <w:tc>
          <w:tcPr>
            <w:tcW w:w="520" w:type="dxa"/>
            <w:vAlign w:val="bottom"/>
          </w:tcPr>
          <w:p>
            <w:pPr>
              <w:spacing w:after="0"/>
              <w:rPr>
                <w:sz w:val="13"/>
                <w:szCs w:val="13"/>
                <w:color w:val="auto"/>
              </w:rPr>
            </w:pPr>
          </w:p>
        </w:tc>
        <w:tc>
          <w:tcPr>
            <w:tcW w:w="1080" w:type="dxa"/>
            <w:vAlign w:val="bottom"/>
            <w:vMerge w:val="restart"/>
          </w:tcPr>
          <w:p>
            <w:pPr>
              <w:ind w:left="680"/>
              <w:spacing w:after="0"/>
              <w:rPr>
                <w:sz w:val="20"/>
                <w:szCs w:val="20"/>
                <w:color w:val="auto"/>
              </w:rPr>
            </w:pPr>
            <w:r>
              <w:rPr>
                <w:rFonts w:ascii="Arial" w:cs="Arial" w:eastAsia="Arial" w:hAnsi="Arial"/>
                <w:sz w:val="24"/>
                <w:szCs w:val="24"/>
                <w:color w:val="auto"/>
              </w:rPr>
              <w:t>1 −</w:t>
            </w:r>
          </w:p>
        </w:tc>
        <w:tc>
          <w:tcPr>
            <w:tcW w:w="40" w:type="dxa"/>
            <w:vAlign w:val="bottom"/>
          </w:tcPr>
          <w:p>
            <w:pPr>
              <w:spacing w:after="0"/>
              <w:rPr>
                <w:sz w:val="13"/>
                <w:szCs w:val="13"/>
                <w:color w:val="auto"/>
              </w:rPr>
            </w:pPr>
          </w:p>
        </w:tc>
        <w:tc>
          <w:tcPr>
            <w:tcW w:w="800" w:type="dxa"/>
            <w:vAlign w:val="bottom"/>
            <w:gridSpan w:val="2"/>
          </w:tcPr>
          <w:p>
            <w:pPr>
              <w:jc w:val="center"/>
              <w:ind w:right="80"/>
              <w:spacing w:after="0" w:line="154" w:lineRule="exact"/>
              <w:rPr>
                <w:sz w:val="20"/>
                <w:szCs w:val="20"/>
                <w:color w:val="auto"/>
              </w:rPr>
            </w:pPr>
            <w:r>
              <w:rPr>
                <w:rFonts w:ascii="Arial" w:cs="Arial" w:eastAsia="Arial" w:hAnsi="Arial"/>
                <w:sz w:val="17"/>
                <w:szCs w:val="17"/>
                <w:i w:val="1"/>
                <w:iCs w:val="1"/>
                <w:color w:val="auto"/>
                <w:vertAlign w:val="superscript"/>
              </w:rPr>
              <w:t>i</w:t>
            </w:r>
            <w:r>
              <w:rPr>
                <w:rFonts w:ascii="Arial" w:cs="Arial" w:eastAsia="Arial" w:hAnsi="Arial"/>
                <w:sz w:val="8"/>
                <w:szCs w:val="8"/>
                <w:i w:val="1"/>
                <w:iCs w:val="1"/>
                <w:color w:val="auto"/>
              </w:rPr>
              <w:t>ll</w:t>
            </w:r>
          </w:p>
        </w:tc>
        <w:tc>
          <w:tcPr>
            <w:tcW w:w="1700" w:type="dxa"/>
            <w:vAlign w:val="bottom"/>
            <w:vMerge w:val="restart"/>
          </w:tcPr>
          <w:p>
            <w:pPr>
              <w:ind w:left="20"/>
              <w:spacing w:after="0"/>
              <w:rPr>
                <w:sz w:val="20"/>
                <w:szCs w:val="20"/>
                <w:color w:val="auto"/>
              </w:rPr>
            </w:pPr>
            <w:r>
              <w:rPr>
                <w:rFonts w:ascii="Arial" w:cs="Arial" w:eastAsia="Arial" w:hAnsi="Arial"/>
                <w:sz w:val="48"/>
                <w:szCs w:val="48"/>
                <w:color w:val="auto"/>
                <w:vertAlign w:val="superscript"/>
              </w:rPr>
              <w:t>+</w:t>
            </w:r>
            <w:r>
              <w:rPr>
                <w:rFonts w:ascii="Arial" w:cs="Arial" w:eastAsia="Arial" w:hAnsi="Arial"/>
                <w:sz w:val="47"/>
                <w:szCs w:val="47"/>
                <w:color w:val="auto"/>
                <w:vertAlign w:val="superscript"/>
              </w:rPr>
              <w:t xml:space="preserve"> </w:t>
            </w:r>
            <w:r>
              <w:rPr>
                <w:rFonts w:ascii="Arial" w:cs="Arial" w:eastAsia="Arial" w:hAnsi="Arial"/>
                <w:sz w:val="47"/>
                <w:szCs w:val="47"/>
                <w:i w:val="1"/>
                <w:iCs w:val="1"/>
                <w:color w:val="auto"/>
                <w:vertAlign w:val="superscript"/>
              </w:rPr>
              <w:t>i</w:t>
            </w:r>
            <w:r>
              <w:rPr>
                <w:rFonts w:ascii="Arial" w:cs="Arial" w:eastAsia="Arial" w:hAnsi="Arial"/>
                <w:sz w:val="15"/>
                <w:szCs w:val="15"/>
                <w:i w:val="1"/>
                <w:iCs w:val="1"/>
                <w:color w:val="auto"/>
              </w:rPr>
              <w:t>pis</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cof</w:t>
            </w:r>
          </w:p>
        </w:tc>
        <w:tc>
          <w:tcPr>
            <w:tcW w:w="2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90"/>
        </w:trPr>
        <w:tc>
          <w:tcPr>
            <w:tcW w:w="520" w:type="dxa"/>
            <w:vAlign w:val="bottom"/>
          </w:tcPr>
          <w:p>
            <w:pPr>
              <w:spacing w:after="0"/>
              <w:rPr>
                <w:sz w:val="24"/>
                <w:szCs w:val="24"/>
                <w:color w:val="auto"/>
              </w:rPr>
            </w:pPr>
          </w:p>
        </w:tc>
        <w:tc>
          <w:tcPr>
            <w:tcW w:w="1080" w:type="dxa"/>
            <w:vAlign w:val="bottom"/>
            <w:vMerge w:val="continue"/>
          </w:tcPr>
          <w:p>
            <w:pPr>
              <w:spacing w:after="0"/>
              <w:rPr>
                <w:sz w:val="24"/>
                <w:szCs w:val="24"/>
                <w:color w:val="auto"/>
              </w:rPr>
            </w:pPr>
          </w:p>
        </w:tc>
        <w:tc>
          <w:tcPr>
            <w:tcW w:w="40" w:type="dxa"/>
            <w:vAlign w:val="bottom"/>
          </w:tcPr>
          <w:p>
            <w:pPr>
              <w:spacing w:after="0"/>
              <w:rPr>
                <w:sz w:val="24"/>
                <w:szCs w:val="24"/>
                <w:color w:val="auto"/>
              </w:rPr>
            </w:pPr>
          </w:p>
        </w:tc>
        <w:tc>
          <w:tcPr>
            <w:tcW w:w="740" w:type="dxa"/>
            <w:vAlign w:val="bottom"/>
            <w:tcBorders>
              <w:top w:val="single" w:sz="8" w:color="auto"/>
            </w:tcBorders>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ir</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cs</w:t>
            </w:r>
          </w:p>
        </w:tc>
        <w:tc>
          <w:tcPr>
            <w:tcW w:w="60" w:type="dxa"/>
            <w:vAlign w:val="bottom"/>
          </w:tcPr>
          <w:p>
            <w:pPr>
              <w:spacing w:after="0"/>
              <w:rPr>
                <w:sz w:val="24"/>
                <w:szCs w:val="24"/>
                <w:color w:val="auto"/>
              </w:rPr>
            </w:pPr>
          </w:p>
        </w:tc>
        <w:tc>
          <w:tcPr>
            <w:tcW w:w="1700" w:type="dxa"/>
            <w:vAlign w:val="bottom"/>
            <w:vMerge w:val="continue"/>
          </w:tcPr>
          <w:p>
            <w:pPr>
              <w:spacing w:after="0"/>
              <w:rPr>
                <w:sz w:val="24"/>
                <w:szCs w:val="24"/>
                <w:color w:val="auto"/>
              </w:rPr>
            </w:pPr>
          </w:p>
        </w:tc>
        <w:tc>
          <w:tcPr>
            <w:tcW w:w="200" w:type="dxa"/>
            <w:vAlign w:val="bottom"/>
          </w:tcPr>
          <w:p>
            <w:pPr>
              <w:spacing w:after="0"/>
              <w:rPr>
                <w:sz w:val="24"/>
                <w:szCs w:val="24"/>
                <w:color w:val="auto"/>
              </w:rPr>
            </w:pPr>
          </w:p>
        </w:tc>
        <w:tc>
          <w:tcPr>
            <w:tcW w:w="0" w:type="dxa"/>
            <w:vAlign w:val="bottom"/>
          </w:tcPr>
          <w:p>
            <w:pPr>
              <w:spacing w:after="0"/>
              <w:rPr>
                <w:sz w:val="1"/>
                <w:szCs w:val="1"/>
                <w:color w:val="auto"/>
              </w:rPr>
            </w:pPr>
          </w:p>
        </w:tc>
      </w:tr>
    </w:tbl>
    <w:p>
      <w:pPr>
        <w:jc w:val="both"/>
        <w:ind w:left="260" w:right="40" w:firstLine="850"/>
        <w:spacing w:after="0" w:line="260" w:lineRule="auto"/>
        <w:rPr>
          <w:sz w:val="20"/>
          <w:szCs w:val="20"/>
          <w:color w:val="auto"/>
        </w:rPr>
      </w:pPr>
      <w:r>
        <w:rPr>
          <w:rFonts w:ascii="Arial" w:cs="Arial" w:eastAsia="Arial" w:hAnsi="Arial"/>
          <w:sz w:val="24"/>
          <w:szCs w:val="24"/>
          <w:color w:val="auto"/>
        </w:rPr>
        <w:t>O denominador da equação ao ser manipulado algebricamente, assume a função de multiplicador das despesas e custo de captação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emp</w:t>
      </w:r>
      <w:r>
        <w:rPr>
          <w:rFonts w:ascii="Arial" w:cs="Arial" w:eastAsia="Arial" w:hAnsi="Arial"/>
          <w:sz w:val="24"/>
          <w:szCs w:val="24"/>
          <w:color w:val="auto"/>
        </w:rPr>
        <w:t>), embutindo nestes a margem líquida e alíquotas dos impostos diretos e indiretos.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262890</wp:posOffset>
                </wp:positionV>
                <wp:extent cx="2302510" cy="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20.7pt" to="194.25pt,20.7pt" o:allowincell="f" strokecolor="#000000" strokeweight="0.398pt"/>
            </w:pict>
          </mc:Fallback>
        </mc:AlternateContent>
      </w:r>
    </w:p>
    <w:p>
      <w:pPr>
        <w:sectPr>
          <w:pgSz w:w="11900" w:h="16838" w:orient="portrait"/>
          <w:cols w:equalWidth="0" w:num="1">
            <w:col w:w="9360"/>
          </w:cols>
          <w:pgMar w:left="1440" w:top="991" w:right="1106" w:bottom="410" w:gutter="0" w:footer="0" w:header="0"/>
        </w:sectPr>
      </w:pPr>
    </w:p>
    <w:p>
      <w:pPr>
        <w:spacing w:after="0" w:line="200" w:lineRule="exact"/>
        <w:rPr>
          <w:sz w:val="20"/>
          <w:szCs w:val="20"/>
          <w:color w:val="auto"/>
        </w:rPr>
      </w:pPr>
    </w:p>
    <w:p>
      <w:pPr>
        <w:spacing w:after="0" w:line="252" w:lineRule="exact"/>
        <w:rPr>
          <w:sz w:val="20"/>
          <w:szCs w:val="20"/>
          <w:color w:val="auto"/>
        </w:rPr>
      </w:pPr>
    </w:p>
    <w:p>
      <w:pPr>
        <w:jc w:val="both"/>
        <w:ind w:left="540" w:right="40" w:hanging="281"/>
        <w:spacing w:after="0" w:line="222" w:lineRule="auto"/>
        <w:tabs>
          <w:tab w:leader="none" w:pos="540" w:val="left"/>
        </w:tabs>
        <w:numPr>
          <w:ilvl w:val="0"/>
          <w:numId w:val="19"/>
        </w:numPr>
        <w:rPr>
          <w:rFonts w:ascii="Arial" w:cs="Arial" w:eastAsia="Arial" w:hAnsi="Arial"/>
          <w:sz w:val="28"/>
          <w:szCs w:val="28"/>
          <w:color w:val="auto"/>
          <w:vertAlign w:val="superscript"/>
        </w:rPr>
      </w:pPr>
      <w:r>
        <w:rPr>
          <w:rFonts w:ascii="Arial" w:cs="Arial" w:eastAsia="Arial" w:hAnsi="Arial"/>
          <w:sz w:val="20"/>
          <w:szCs w:val="20"/>
          <w:color w:val="auto"/>
        </w:rPr>
        <w:t>No sentido que a decomposição da Receita almeja identificar mecanismos e variáveis de sua formação, não estão sendo considerados abatimentos da base de cálculo do imposto de renda e contribuição social do Lucro Líquido</w:t>
      </w:r>
    </w:p>
    <w:p>
      <w:pPr>
        <w:sectPr>
          <w:pgSz w:w="11900" w:h="16838" w:orient="portrait"/>
          <w:cols w:equalWidth="0" w:num="1">
            <w:col w:w="9360"/>
          </w:cols>
          <w:pgMar w:left="1440" w:top="991" w:right="1106" w:bottom="410" w:gutter="0" w:footer="0" w:header="0"/>
          <w:type w:val="continuous"/>
        </w:sectPr>
      </w:pPr>
    </w:p>
    <w:p>
      <w:pPr>
        <w:ind w:left="9060"/>
        <w:spacing w:after="0"/>
        <w:rPr>
          <w:sz w:val="20"/>
          <w:szCs w:val="20"/>
          <w:color w:val="auto"/>
        </w:rPr>
      </w:pPr>
      <w:r>
        <w:rPr>
          <w:rFonts w:ascii="Arial" w:cs="Arial" w:eastAsia="Arial" w:hAnsi="Arial"/>
          <w:sz w:val="24"/>
          <w:szCs w:val="24"/>
          <w:color w:val="auto"/>
        </w:rPr>
        <w:t>39</w:t>
      </w:r>
    </w:p>
    <w:p>
      <w:pPr>
        <w:spacing w:after="0" w:line="200" w:lineRule="exact"/>
        <w:rPr>
          <w:sz w:val="20"/>
          <w:szCs w:val="20"/>
          <w:color w:val="auto"/>
        </w:rPr>
      </w:pPr>
    </w:p>
    <w:p>
      <w:pPr>
        <w:spacing w:after="0" w:line="393" w:lineRule="exact"/>
        <w:rPr>
          <w:sz w:val="20"/>
          <w:szCs w:val="20"/>
          <w:color w:val="auto"/>
        </w:rPr>
      </w:pPr>
    </w:p>
    <w:p>
      <w:pPr>
        <w:ind w:left="5040"/>
        <w:spacing w:after="0"/>
        <w:rPr>
          <w:sz w:val="20"/>
          <w:szCs w:val="20"/>
          <w:color w:val="auto"/>
        </w:rPr>
      </w:pPr>
      <w:r>
        <w:rPr>
          <w:rFonts w:ascii="Arial" w:cs="Arial" w:eastAsia="Arial" w:hAnsi="Arial"/>
          <w:sz w:val="24"/>
          <w:szCs w:val="24"/>
          <w:color w:val="auto"/>
        </w:rPr>
        <w:t>1</w:t>
      </w:r>
    </w:p>
    <w:p>
      <w:pPr>
        <w:ind w:left="3240"/>
        <w:spacing w:after="0" w:line="181" w:lineRule="auto"/>
        <w:rPr>
          <w:sz w:val="20"/>
          <w:szCs w:val="20"/>
          <w:color w:val="auto"/>
        </w:rPr>
      </w:pPr>
      <w:r>
        <w:rPr>
          <w:rFonts w:ascii="Arial" w:cs="Arial" w:eastAsia="Arial" w:hAnsi="Arial"/>
          <w:sz w:val="30"/>
          <w:szCs w:val="30"/>
          <w:i w:val="1"/>
          <w:iCs w:val="1"/>
          <w:color w:val="auto"/>
          <w:vertAlign w:val="superscript"/>
        </w:rPr>
        <w:t>i</w:t>
      </w:r>
      <w:r>
        <w:rPr>
          <w:rFonts w:ascii="Arial" w:cs="Arial" w:eastAsia="Arial" w:hAnsi="Arial"/>
          <w:sz w:val="22"/>
          <w:szCs w:val="22"/>
          <w:i w:val="1"/>
          <w:iCs w:val="1"/>
          <w:color w:val="auto"/>
          <w:vertAlign w:val="superscript"/>
        </w:rPr>
        <w:t>apl</w:t>
      </w:r>
      <w:r>
        <w:rPr>
          <w:rFonts w:ascii="Arial" w:cs="Arial" w:eastAsia="Arial" w:hAnsi="Arial"/>
          <w:sz w:val="30"/>
          <w:szCs w:val="30"/>
          <w:color w:val="auto"/>
          <w:vertAlign w:val="superscript"/>
        </w:rPr>
        <w:t xml:space="preserve"> = </w:t>
      </w:r>
      <w:r>
        <w:rPr>
          <w:rFonts w:ascii="Arial" w:cs="Arial" w:eastAsia="Arial" w:hAnsi="Arial"/>
          <w:sz w:val="30"/>
          <w:szCs w:val="30"/>
          <w:color w:val="auto"/>
        </w:rPr>
        <w:t>1</w:t>
      </w:r>
      <w:r>
        <w:rPr>
          <w:rFonts w:ascii="Arial" w:cs="Arial" w:eastAsia="Arial" w:hAnsi="Arial"/>
          <w:sz w:val="17"/>
          <w:szCs w:val="17"/>
          <w:color w:val="auto"/>
        </w:rPr>
        <w:t xml:space="preserve"> −</w:t>
      </w:r>
      <w:r>
        <w:rPr>
          <w:rFonts w:ascii="Arial" w:cs="Arial" w:eastAsia="Arial" w:hAnsi="Arial"/>
          <w:sz w:val="22"/>
          <w:szCs w:val="22"/>
          <w:color w:val="auto"/>
        </w:rPr>
        <w:t xml:space="preserve">  </w:t>
      </w:r>
      <w:r>
        <w:rPr>
          <w:rFonts w:ascii="Arial" w:cs="Arial" w:eastAsia="Arial" w:hAnsi="Arial"/>
          <w:sz w:val="22"/>
          <w:szCs w:val="22"/>
          <w:i w:val="1"/>
          <w:iCs w:val="1"/>
          <w:color w:val="auto"/>
          <w:vertAlign w:val="superscript"/>
        </w:rPr>
        <w:t>i</w:t>
      </w:r>
      <w:r>
        <w:rPr>
          <w:rFonts w:ascii="Arial" w:cs="Arial" w:eastAsia="Arial" w:hAnsi="Arial"/>
          <w:sz w:val="17"/>
          <w:szCs w:val="17"/>
          <w:i w:val="1"/>
          <w:iCs w:val="1"/>
          <w:color w:val="auto"/>
          <w:vertAlign w:val="superscript"/>
        </w:rPr>
        <w:t>ll</w:t>
      </w:r>
      <w:r>
        <w:rPr>
          <w:rFonts w:ascii="Arial" w:cs="Arial" w:eastAsia="Arial" w:hAnsi="Arial"/>
          <w:sz w:val="17"/>
          <w:szCs w:val="17"/>
          <w:color w:val="auto"/>
        </w:rPr>
        <w:t xml:space="preserve">    + </w:t>
      </w:r>
      <w:r>
        <w:rPr>
          <w:rFonts w:ascii="Arial" w:cs="Arial" w:eastAsia="Arial" w:hAnsi="Arial"/>
          <w:sz w:val="17"/>
          <w:szCs w:val="17"/>
          <w:i w:val="1"/>
          <w:iCs w:val="1"/>
          <w:color w:val="auto"/>
        </w:rPr>
        <w:t>i</w:t>
      </w:r>
      <w:r>
        <w:rPr>
          <w:rFonts w:ascii="Arial" w:cs="Arial" w:eastAsia="Arial" w:hAnsi="Arial"/>
          <w:sz w:val="17"/>
          <w:szCs w:val="17"/>
          <w:color w:val="auto"/>
        </w:rPr>
        <w:t xml:space="preserve">  + </w:t>
      </w:r>
      <w:r>
        <w:rPr>
          <w:rFonts w:ascii="Arial" w:cs="Arial" w:eastAsia="Arial" w:hAnsi="Arial"/>
          <w:sz w:val="17"/>
          <w:szCs w:val="17"/>
          <w:i w:val="1"/>
          <w:iCs w:val="1"/>
          <w:color w:val="auto"/>
        </w:rPr>
        <w:t>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2470150</wp:posOffset>
                </wp:positionH>
                <wp:positionV relativeFrom="paragraph">
                  <wp:posOffset>-100330</wp:posOffset>
                </wp:positionV>
                <wp:extent cx="1546225" cy="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46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4.5pt,-7.8999pt" to="316.25pt,-7.8999pt" o:allowincell="f" strokecolor="#000000" strokeweight="0.398pt"/>
            </w:pict>
          </mc:Fallback>
        </mc:AlternateContent>
      </w:r>
    </w:p>
    <w:p>
      <w:pPr>
        <w:ind w:left="4400"/>
        <w:spacing w:after="0" w:line="190" w:lineRule="auto"/>
        <w:tabs>
          <w:tab w:leader="none" w:pos="4720" w:val="left"/>
          <w:tab w:leader="none" w:pos="5440" w:val="left"/>
          <w:tab w:leader="none" w:pos="6040" w:val="left"/>
        </w:tabs>
        <w:rPr>
          <w:sz w:val="20"/>
          <w:szCs w:val="20"/>
          <w:color w:val="auto"/>
        </w:rPr>
      </w:pPr>
      <w:r>
        <w:rPr>
          <w:rFonts w:ascii="Arial" w:cs="Arial" w:eastAsia="Arial" w:hAnsi="Arial"/>
          <w:sz w:val="29"/>
          <w:szCs w:val="29"/>
          <w:color w:val="auto"/>
          <w:vertAlign w:val="subscript"/>
        </w:rPr>
        <w:t>−</w:t>
      </w:r>
      <w:r>
        <w:rPr>
          <w:rFonts w:ascii="Arial" w:cs="Arial" w:eastAsia="Arial" w:hAnsi="Arial"/>
          <w:sz w:val="29"/>
          <w:szCs w:val="29"/>
          <w:color w:val="auto"/>
        </w:rPr>
        <w:tab/>
      </w:r>
      <w:r>
        <w:rPr>
          <w:rFonts w:ascii="Arial" w:cs="Arial" w:eastAsia="Arial" w:hAnsi="Arial"/>
          <w:sz w:val="29"/>
          <w:szCs w:val="29"/>
          <w:color w:val="auto"/>
          <w:vertAlign w:val="subscript"/>
        </w:rPr>
        <w:t>−</w:t>
      </w:r>
      <w:r>
        <w:rPr>
          <w:sz w:val="20"/>
          <w:szCs w:val="20"/>
          <w:color w:val="auto"/>
        </w:rPr>
        <w:tab/>
      </w:r>
      <w:r>
        <w:rPr>
          <w:rFonts w:ascii="Arial" w:cs="Arial" w:eastAsia="Arial" w:hAnsi="Arial"/>
          <w:sz w:val="15"/>
          <w:szCs w:val="15"/>
          <w:i w:val="1"/>
          <w:iCs w:val="1"/>
          <w:color w:val="auto"/>
          <w:vertAlign w:val="subscript"/>
        </w:rPr>
        <w:t>pis</w:t>
      </w:r>
      <w:r>
        <w:rPr>
          <w:sz w:val="20"/>
          <w:szCs w:val="20"/>
          <w:color w:val="auto"/>
        </w:rPr>
        <w:tab/>
      </w:r>
      <w:r>
        <w:rPr>
          <w:rFonts w:ascii="Arial" w:cs="Arial" w:eastAsia="Arial" w:hAnsi="Arial"/>
          <w:sz w:val="15"/>
          <w:szCs w:val="15"/>
          <w:i w:val="1"/>
          <w:iCs w:val="1"/>
          <w:color w:val="auto"/>
          <w:vertAlign w:val="subscript"/>
        </w:rPr>
        <w:t>cof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2745105</wp:posOffset>
                </wp:positionH>
                <wp:positionV relativeFrom="paragraph">
                  <wp:posOffset>-148590</wp:posOffset>
                </wp:positionV>
                <wp:extent cx="474345" cy="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4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6.15pt,-11.6999pt" to="253.5pt,-11.6999pt" o:allowincell="f" strokecolor="#000000" strokeweight="0.398pt"/>
            </w:pict>
          </mc:Fallback>
        </mc:AlternateContent>
      </w:r>
    </w:p>
    <w:p>
      <w:pPr>
        <w:spacing w:after="0" w:line="130" w:lineRule="exact"/>
        <w:rPr>
          <w:sz w:val="20"/>
          <w:szCs w:val="20"/>
          <w:color w:val="auto"/>
        </w:rPr>
      </w:pPr>
    </w:p>
    <w:p>
      <w:pPr>
        <w:jc w:val="both"/>
        <w:ind w:left="260" w:firstLine="850"/>
        <w:spacing w:after="0" w:line="314" w:lineRule="auto"/>
        <w:rPr>
          <w:sz w:val="20"/>
          <w:szCs w:val="20"/>
          <w:color w:val="auto"/>
        </w:rPr>
      </w:pPr>
      <w:r>
        <w:rPr>
          <w:rFonts w:ascii="Arial" w:cs="Arial" w:eastAsia="Arial" w:hAnsi="Arial"/>
          <w:sz w:val="24"/>
          <w:szCs w:val="24"/>
          <w:color w:val="auto"/>
        </w:rPr>
        <w:t>Ao simplificar a equação decomposta da receita, encontramos uma forma similar ao forma tautológica inicial, um montante multiplicado a uma taxa para chegar na receita. A diferença é que a forma inicial considera o capital emprestado e uma taxa de juros — onde estão embutidos todos os custos e margem de lucro. A segunda forma considera as despesas com a operação de crédito e um multiplicador destes gastos — embutindo a margem líquida e impostos variáveis.</w:t>
      </w:r>
    </w:p>
    <w:p>
      <w:pPr>
        <w:spacing w:after="0" w:line="180" w:lineRule="exact"/>
        <w:rPr>
          <w:sz w:val="20"/>
          <w:szCs w:val="20"/>
          <w:color w:val="auto"/>
        </w:rPr>
      </w:pPr>
    </w:p>
    <w:p>
      <w:pPr>
        <w:jc w:val="center"/>
        <w:ind w:right="-219"/>
        <w:spacing w:after="0" w:line="552" w:lineRule="exact"/>
        <w:rPr>
          <w:sz w:val="20"/>
          <w:szCs w:val="20"/>
          <w:color w:val="auto"/>
        </w:rPr>
      </w:pPr>
      <w:r>
        <w:rPr>
          <w:rFonts w:ascii="Arial" w:cs="Arial" w:eastAsia="Arial" w:hAnsi="Arial"/>
          <w:sz w:val="48"/>
          <w:szCs w:val="48"/>
          <w:i w:val="1"/>
          <w:iCs w:val="1"/>
          <w:color w:val="auto"/>
          <w:vertAlign w:val="superscript"/>
        </w:rPr>
        <w:t>R</w:t>
      </w:r>
      <w:r>
        <w:rPr>
          <w:rFonts w:ascii="Arial" w:cs="Arial" w:eastAsia="Arial" w:hAnsi="Arial"/>
          <w:sz w:val="47"/>
          <w:szCs w:val="47"/>
          <w:color w:val="auto"/>
          <w:vertAlign w:val="superscript"/>
        </w:rPr>
        <w:t xml:space="preserve"> = </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emp</w:t>
      </w:r>
      <w:r>
        <w:rPr>
          <w:rFonts w:ascii="Arial Unicode MS" w:cs="Arial Unicode MS" w:eastAsia="Arial Unicode MS" w:hAnsi="Arial Unicode MS"/>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apl</w:t>
      </w:r>
    </w:p>
    <w:p>
      <w:pPr>
        <w:spacing w:after="0" w:line="66" w:lineRule="exact"/>
        <w:rPr>
          <w:sz w:val="20"/>
          <w:szCs w:val="20"/>
          <w:color w:val="auto"/>
        </w:rPr>
      </w:pPr>
    </w:p>
    <w:p>
      <w:pPr>
        <w:jc w:val="both"/>
        <w:ind w:left="260"/>
        <w:spacing w:after="0" w:line="257" w:lineRule="auto"/>
        <w:rPr>
          <w:sz w:val="20"/>
          <w:szCs w:val="20"/>
          <w:color w:val="auto"/>
        </w:rPr>
      </w:pPr>
      <w:r>
        <w:rPr>
          <w:rFonts w:ascii="Arial" w:cs="Arial" w:eastAsia="Arial" w:hAnsi="Arial"/>
          <w:sz w:val="24"/>
          <w:szCs w:val="24"/>
          <w:color w:val="auto"/>
        </w:rPr>
        <w:t>Retornando a concepção inicial da taxa de juros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jr</w:t>
      </w:r>
      <w:r>
        <w:rPr>
          <w:rFonts w:ascii="Arial" w:cs="Arial" w:eastAsia="Arial" w:hAnsi="Arial"/>
          <w:sz w:val="24"/>
          <w:szCs w:val="24"/>
          <w:color w:val="auto"/>
        </w:rPr>
        <w:t>) aplicada sobre o capital em-prestado (</w:t>
      </w:r>
      <w:r>
        <w:rPr>
          <w:rFonts w:ascii="Arial" w:cs="Arial" w:eastAsia="Arial" w:hAnsi="Arial"/>
          <w:sz w:val="24"/>
          <w:szCs w:val="24"/>
          <w:i w:val="1"/>
          <w:iCs w:val="1"/>
          <w:color w:val="auto"/>
        </w:rPr>
        <w:t>E</w:t>
      </w:r>
      <w:r>
        <w:rPr>
          <w:rFonts w:ascii="Arial" w:cs="Arial" w:eastAsia="Arial" w:hAnsi="Arial"/>
          <w:sz w:val="24"/>
          <w:szCs w:val="24"/>
          <w:color w:val="auto"/>
        </w:rPr>
        <w:t>), que pode ser obtida manipulando o multiplicador de aplicação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apl</w:t>
      </w:r>
      <w:r>
        <w:rPr>
          <w:rFonts w:ascii="Arial" w:cs="Arial" w:eastAsia="Arial" w:hAnsi="Arial"/>
          <w:sz w:val="24"/>
          <w:szCs w:val="24"/>
          <w:color w:val="auto"/>
        </w:rPr>
        <w:t>) incorporando as taxas referentes a custos, despesas e provisões.</w:t>
      </w:r>
    </w:p>
    <w:p>
      <w:pPr>
        <w:spacing w:after="0" w:line="131" w:lineRule="exact"/>
        <w:rPr>
          <w:sz w:val="20"/>
          <w:szCs w:val="20"/>
          <w:color w:val="auto"/>
        </w:rPr>
      </w:pPr>
    </w:p>
    <w:tbl>
      <w:tblPr>
        <w:tblLayout w:type="fixed"/>
        <w:tblInd w:w="2860" w:type="dxa"/>
        <w:tblCellMar>
          <w:top w:w="0" w:type="dxa"/>
          <w:left w:w="0" w:type="dxa"/>
          <w:bottom w:w="0" w:type="dxa"/>
          <w:right w:w="0" w:type="dxa"/>
        </w:tblCellMar>
      </w:tblPr>
      <w:tr>
        <w:trPr>
          <w:trHeight w:val="273"/>
        </w:trPr>
        <w:tc>
          <w:tcPr>
            <w:tcW w:w="2020" w:type="dxa"/>
            <w:vAlign w:val="bottom"/>
            <w:gridSpan w:val="3"/>
            <w:vMerge w:val="restart"/>
          </w:tcPr>
          <w:p>
            <w:pPr>
              <w:ind w:left="580"/>
              <w:spacing w:after="0"/>
              <w:rPr>
                <w:sz w:val="20"/>
                <w:szCs w:val="20"/>
                <w:color w:val="auto"/>
              </w:rPr>
            </w:pPr>
            <w:r>
              <w:rPr>
                <w:rFonts w:ascii="Arial" w:cs="Arial" w:eastAsia="Arial" w:hAnsi="Arial"/>
                <w:sz w:val="48"/>
                <w:szCs w:val="48"/>
                <w:i w:val="1"/>
                <w:iCs w:val="1"/>
                <w:color w:val="auto"/>
                <w:w w:val="88"/>
                <w:vertAlign w:val="superscript"/>
              </w:rPr>
              <w:t>i</w:t>
            </w:r>
            <w:r>
              <w:rPr>
                <w:rFonts w:ascii="Arial" w:cs="Arial" w:eastAsia="Arial" w:hAnsi="Arial"/>
                <w:sz w:val="15"/>
                <w:szCs w:val="15"/>
                <w:i w:val="1"/>
                <w:iCs w:val="1"/>
                <w:color w:val="auto"/>
                <w:w w:val="88"/>
              </w:rPr>
              <w:t>adm</w:t>
            </w:r>
            <w:r>
              <w:rPr>
                <w:rFonts w:ascii="Arial" w:cs="Arial" w:eastAsia="Arial" w:hAnsi="Arial"/>
                <w:sz w:val="48"/>
                <w:szCs w:val="48"/>
                <w:color w:val="auto"/>
                <w:w w:val="88"/>
              </w:rPr>
              <w:t xml:space="preserve"> </w:t>
            </w:r>
            <w:r>
              <w:rPr>
                <w:rFonts w:ascii="Arial" w:cs="Arial" w:eastAsia="Arial" w:hAnsi="Arial"/>
                <w:sz w:val="48"/>
                <w:szCs w:val="48"/>
                <w:color w:val="auto"/>
                <w:w w:val="88"/>
                <w:vertAlign w:val="superscript"/>
              </w:rPr>
              <w:t>+</w:t>
            </w:r>
            <w:r>
              <w:rPr>
                <w:rFonts w:ascii="Arial" w:cs="Arial" w:eastAsia="Arial" w:hAnsi="Arial"/>
                <w:sz w:val="48"/>
                <w:szCs w:val="48"/>
                <w:color w:val="auto"/>
                <w:w w:val="88"/>
              </w:rPr>
              <w:t xml:space="preserve"> </w:t>
            </w:r>
            <w:r>
              <w:rPr>
                <w:rFonts w:ascii="Arial" w:cs="Arial" w:eastAsia="Arial" w:hAnsi="Arial"/>
                <w:sz w:val="48"/>
                <w:szCs w:val="48"/>
                <w:i w:val="1"/>
                <w:iCs w:val="1"/>
                <w:color w:val="auto"/>
                <w:w w:val="88"/>
                <w:vertAlign w:val="superscript"/>
              </w:rPr>
              <w:t>i</w:t>
            </w:r>
            <w:r>
              <w:rPr>
                <w:rFonts w:ascii="Arial" w:cs="Arial" w:eastAsia="Arial" w:hAnsi="Arial"/>
                <w:sz w:val="15"/>
                <w:szCs w:val="15"/>
                <w:i w:val="1"/>
                <w:iCs w:val="1"/>
                <w:color w:val="auto"/>
                <w:w w:val="88"/>
              </w:rPr>
              <w:t>ind</w:t>
            </w:r>
            <w:r>
              <w:rPr>
                <w:rFonts w:ascii="Arial" w:cs="Arial" w:eastAsia="Arial" w:hAnsi="Arial"/>
                <w:sz w:val="48"/>
                <w:szCs w:val="48"/>
                <w:color w:val="auto"/>
                <w:w w:val="88"/>
              </w:rPr>
              <w:t xml:space="preserve"> </w:t>
            </w:r>
            <w:r>
              <w:rPr>
                <w:rFonts w:ascii="Arial" w:cs="Arial" w:eastAsia="Arial" w:hAnsi="Arial"/>
                <w:sz w:val="48"/>
                <w:szCs w:val="48"/>
                <w:color w:val="auto"/>
                <w:w w:val="88"/>
                <w:vertAlign w:val="superscript"/>
              </w:rPr>
              <w:t>+</w:t>
            </w:r>
            <w:r>
              <w:rPr>
                <w:rFonts w:ascii="Arial" w:cs="Arial" w:eastAsia="Arial" w:hAnsi="Arial"/>
                <w:sz w:val="47"/>
                <w:szCs w:val="47"/>
                <w:color w:val="auto"/>
                <w:w w:val="88"/>
                <w:vertAlign w:val="superscript"/>
              </w:rPr>
              <w:t xml:space="preserve"> </w:t>
            </w:r>
            <w:r>
              <w:rPr>
                <w:rFonts w:ascii="Arial" w:cs="Arial" w:eastAsia="Arial" w:hAnsi="Arial"/>
                <w:sz w:val="48"/>
                <w:szCs w:val="48"/>
                <w:color w:val="auto"/>
                <w:w w:val="88"/>
                <w:vertAlign w:val="superscript"/>
              </w:rPr>
              <w:t>(</w:t>
            </w:r>
          </w:p>
        </w:tc>
        <w:tc>
          <w:tcPr>
            <w:tcW w:w="1700" w:type="dxa"/>
            <w:vAlign w:val="bottom"/>
            <w:gridSpan w:val="2"/>
            <w:vMerge w:val="restart"/>
          </w:tcPr>
          <w:p>
            <w:pPr>
              <w:jc w:val="right"/>
              <w:spacing w:after="0" w:line="215" w:lineRule="exact"/>
              <w:rPr>
                <w:sz w:val="20"/>
                <w:szCs w:val="20"/>
                <w:color w:val="auto"/>
              </w:rPr>
            </w:pPr>
            <w:r>
              <w:rPr>
                <w:rFonts w:ascii="Arial" w:cs="Arial" w:eastAsia="Arial" w:hAnsi="Arial"/>
                <w:sz w:val="16"/>
                <w:szCs w:val="16"/>
                <w:i w:val="1"/>
                <w:iCs w:val="1"/>
                <w:color w:val="auto"/>
              </w:rPr>
              <w:t>i</w:t>
            </w:r>
            <w:r>
              <w:rPr>
                <w:rFonts w:ascii="Arial" w:cs="Arial" w:eastAsia="Arial" w:hAnsi="Arial"/>
                <w:sz w:val="11"/>
                <w:szCs w:val="11"/>
                <w:i w:val="1"/>
                <w:iCs w:val="1"/>
                <w:color w:val="auto"/>
              </w:rPr>
              <w:t>cap</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fgc</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comp</w:t>
            </w:r>
            <w:r>
              <w:rPr>
                <w:rFonts w:ascii="Arial Unicode MS" w:cs="Arial Unicode MS" w:eastAsia="Arial Unicode MS" w:hAnsi="Arial Unicode MS"/>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ac</w:t>
            </w:r>
            <w:r>
              <w:rPr>
                <w:rFonts w:ascii="Arial" w:cs="Arial" w:eastAsia="Arial" w:hAnsi="Arial"/>
                <w:sz w:val="16"/>
                <w:szCs w:val="16"/>
                <w:color w:val="auto"/>
              </w:rPr>
              <w:t>)</w:t>
            </w:r>
          </w:p>
        </w:tc>
        <w:tc>
          <w:tcPr>
            <w:tcW w:w="140" w:type="dxa"/>
            <w:vAlign w:val="bottom"/>
            <w:vMerge w:val="restart"/>
          </w:tcPr>
          <w:p>
            <w:pPr>
              <w:jc w:val="right"/>
              <w:spacing w:after="0"/>
              <w:rPr>
                <w:sz w:val="20"/>
                <w:szCs w:val="20"/>
                <w:color w:val="auto"/>
              </w:rPr>
            </w:pPr>
            <w:r>
              <w:rPr>
                <w:rFonts w:ascii="Arial" w:cs="Arial" w:eastAsia="Arial" w:hAnsi="Arial"/>
                <w:sz w:val="24"/>
                <w:szCs w:val="24"/>
                <w:color w:val="auto"/>
              </w:rPr>
              <w:t>)</w:t>
            </w:r>
          </w:p>
        </w:tc>
        <w:tc>
          <w:tcPr>
            <w:tcW w:w="0" w:type="dxa"/>
            <w:vAlign w:val="bottom"/>
          </w:tcPr>
          <w:p>
            <w:pPr>
              <w:spacing w:after="0"/>
              <w:rPr>
                <w:sz w:val="1"/>
                <w:szCs w:val="1"/>
                <w:color w:val="auto"/>
              </w:rPr>
            </w:pPr>
          </w:p>
        </w:tc>
      </w:tr>
      <w:tr>
        <w:trPr>
          <w:trHeight w:val="279"/>
        </w:trPr>
        <w:tc>
          <w:tcPr>
            <w:tcW w:w="2020" w:type="dxa"/>
            <w:vAlign w:val="bottom"/>
            <w:gridSpan w:val="3"/>
            <w:vMerge w:val="continue"/>
          </w:tcPr>
          <w:p>
            <w:pPr>
              <w:spacing w:after="0"/>
              <w:rPr>
                <w:sz w:val="24"/>
                <w:szCs w:val="24"/>
                <w:color w:val="auto"/>
              </w:rPr>
            </w:pPr>
          </w:p>
        </w:tc>
        <w:tc>
          <w:tcPr>
            <w:tcW w:w="1700" w:type="dxa"/>
            <w:vAlign w:val="bottom"/>
            <w:gridSpan w:val="2"/>
            <w:vMerge w:val="continue"/>
          </w:tcPr>
          <w:p>
            <w:pPr>
              <w:spacing w:after="0"/>
              <w:rPr>
                <w:sz w:val="24"/>
                <w:szCs w:val="24"/>
                <w:color w:val="auto"/>
              </w:rPr>
            </w:pPr>
          </w:p>
        </w:tc>
        <w:tc>
          <w:tcPr>
            <w:tcW w:w="1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22"/>
        </w:trPr>
        <w:tc>
          <w:tcPr>
            <w:tcW w:w="580" w:type="dxa"/>
            <w:vAlign w:val="bottom"/>
            <w:vMerge w:val="restart"/>
          </w:tcPr>
          <w:p>
            <w:pPr>
              <w:spacing w:after="0" w:line="287" w:lineRule="exact"/>
              <w:rPr>
                <w:sz w:val="20"/>
                <w:szCs w:val="20"/>
                <w:color w:val="auto"/>
              </w:rPr>
            </w:pP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jr</w:t>
            </w:r>
            <w:r>
              <w:rPr>
                <w:rFonts w:ascii="Arial" w:cs="Arial" w:eastAsia="Arial" w:hAnsi="Arial"/>
                <w:sz w:val="24"/>
                <w:szCs w:val="24"/>
                <w:color w:val="auto"/>
              </w:rPr>
              <w:t xml:space="preserve"> =</w:t>
            </w:r>
          </w:p>
        </w:tc>
        <w:tc>
          <w:tcPr>
            <w:tcW w:w="840" w:type="dxa"/>
            <w:vAlign w:val="bottom"/>
            <w:tcBorders>
              <w:bottom w:val="single" w:sz="8" w:color="auto"/>
            </w:tcBorders>
          </w:tcPr>
          <w:p>
            <w:pPr>
              <w:spacing w:after="0"/>
              <w:rPr>
                <w:sz w:val="10"/>
                <w:szCs w:val="10"/>
                <w:color w:val="auto"/>
              </w:rPr>
            </w:pPr>
          </w:p>
        </w:tc>
        <w:tc>
          <w:tcPr>
            <w:tcW w:w="600" w:type="dxa"/>
            <w:vAlign w:val="bottom"/>
            <w:tcBorders>
              <w:bottom w:val="single" w:sz="8" w:color="auto"/>
            </w:tcBorders>
          </w:tcPr>
          <w:p>
            <w:pPr>
              <w:spacing w:after="0"/>
              <w:rPr>
                <w:sz w:val="10"/>
                <w:szCs w:val="10"/>
                <w:color w:val="auto"/>
              </w:rPr>
            </w:pPr>
          </w:p>
        </w:tc>
        <w:tc>
          <w:tcPr>
            <w:tcW w:w="160" w:type="dxa"/>
            <w:vAlign w:val="bottom"/>
            <w:tcBorders>
              <w:bottom w:val="single" w:sz="8" w:color="auto"/>
            </w:tcBorders>
          </w:tcPr>
          <w:p>
            <w:pPr>
              <w:spacing w:after="0"/>
              <w:rPr>
                <w:sz w:val="10"/>
                <w:szCs w:val="10"/>
                <w:color w:val="auto"/>
              </w:rPr>
            </w:pPr>
          </w:p>
        </w:tc>
        <w:tc>
          <w:tcPr>
            <w:tcW w:w="1660" w:type="dxa"/>
            <w:vAlign w:val="bottom"/>
            <w:tcBorders>
              <w:bottom w:val="single" w:sz="8" w:color="auto"/>
            </w:tcBorders>
            <w:gridSpan w:val="2"/>
          </w:tcPr>
          <w:p>
            <w:pPr>
              <w:jc w:val="right"/>
              <w:ind w:right="320"/>
              <w:spacing w:after="0" w:line="102" w:lineRule="exact"/>
              <w:rPr>
                <w:sz w:val="20"/>
                <w:szCs w:val="20"/>
                <w:color w:val="auto"/>
              </w:rPr>
            </w:pPr>
            <w:r>
              <w:rPr>
                <w:rFonts w:ascii="Arial" w:cs="Arial" w:eastAsia="Arial" w:hAnsi="Arial"/>
                <w:sz w:val="11"/>
                <w:szCs w:val="11"/>
                <w:color w:val="auto"/>
              </w:rPr>
              <w:t>1−</w:t>
            </w:r>
            <w:r>
              <w:rPr>
                <w:rFonts w:ascii="Arial" w:cs="Arial" w:eastAsia="Arial" w:hAnsi="Arial"/>
                <w:sz w:val="11"/>
                <w:szCs w:val="11"/>
                <w:i w:val="1"/>
                <w:iCs w:val="1"/>
                <w:color w:val="auto"/>
              </w:rPr>
              <w:t>i</w:t>
            </w:r>
            <w:r>
              <w:rPr>
                <w:rFonts w:ascii="Arial" w:cs="Arial" w:eastAsia="Arial" w:hAnsi="Arial"/>
                <w:sz w:val="8"/>
                <w:szCs w:val="8"/>
                <w:i w:val="1"/>
                <w:iCs w:val="1"/>
                <w:color w:val="auto"/>
              </w:rPr>
              <w:t>comp</w:t>
            </w:r>
            <w:r>
              <w:rPr>
                <w:rFonts w:ascii="Arial" w:cs="Arial" w:eastAsia="Arial" w:hAnsi="Arial"/>
                <w:sz w:val="11"/>
                <w:szCs w:val="11"/>
                <w:color w:val="auto"/>
              </w:rPr>
              <w:t>−</w:t>
            </w:r>
            <w:r>
              <w:rPr>
                <w:rFonts w:ascii="Arial" w:cs="Arial" w:eastAsia="Arial" w:hAnsi="Arial"/>
                <w:sz w:val="11"/>
                <w:szCs w:val="11"/>
                <w:i w:val="1"/>
                <w:iCs w:val="1"/>
                <w:color w:val="auto"/>
              </w:rPr>
              <w:t>i</w:t>
            </w:r>
            <w:r>
              <w:rPr>
                <w:rFonts w:ascii="Arial" w:cs="Arial" w:eastAsia="Arial" w:hAnsi="Arial"/>
                <w:sz w:val="8"/>
                <w:szCs w:val="8"/>
                <w:i w:val="1"/>
                <w:iCs w:val="1"/>
                <w:color w:val="auto"/>
              </w:rPr>
              <w:t>fgc</w:t>
            </w:r>
          </w:p>
        </w:tc>
        <w:tc>
          <w:tcPr>
            <w:tcW w:w="0" w:type="dxa"/>
            <w:vAlign w:val="bottom"/>
          </w:tcPr>
          <w:p>
            <w:pPr>
              <w:spacing w:after="0"/>
              <w:rPr>
                <w:sz w:val="1"/>
                <w:szCs w:val="1"/>
                <w:color w:val="auto"/>
              </w:rPr>
            </w:pPr>
          </w:p>
        </w:tc>
      </w:tr>
      <w:tr>
        <w:trPr>
          <w:trHeight w:val="153"/>
        </w:trPr>
        <w:tc>
          <w:tcPr>
            <w:tcW w:w="580" w:type="dxa"/>
            <w:vAlign w:val="bottom"/>
            <w:vMerge w:val="continue"/>
          </w:tcPr>
          <w:p>
            <w:pPr>
              <w:spacing w:after="0"/>
              <w:rPr>
                <w:sz w:val="13"/>
                <w:szCs w:val="13"/>
                <w:color w:val="auto"/>
              </w:rPr>
            </w:pPr>
          </w:p>
        </w:tc>
        <w:tc>
          <w:tcPr>
            <w:tcW w:w="840" w:type="dxa"/>
            <w:vAlign w:val="bottom"/>
            <w:vMerge w:val="restart"/>
          </w:tcPr>
          <w:p>
            <w:pPr>
              <w:ind w:left="420"/>
              <w:spacing w:after="0"/>
              <w:rPr>
                <w:sz w:val="20"/>
                <w:szCs w:val="20"/>
                <w:color w:val="auto"/>
              </w:rPr>
            </w:pPr>
            <w:r>
              <w:rPr>
                <w:rFonts w:ascii="Arial" w:cs="Arial" w:eastAsia="Arial" w:hAnsi="Arial"/>
                <w:sz w:val="24"/>
                <w:szCs w:val="24"/>
                <w:color w:val="auto"/>
              </w:rPr>
              <w:t>1 −</w:t>
            </w:r>
          </w:p>
        </w:tc>
        <w:tc>
          <w:tcPr>
            <w:tcW w:w="760" w:type="dxa"/>
            <w:vAlign w:val="bottom"/>
            <w:tcBorders>
              <w:bottom w:val="single" w:sz="8" w:color="auto"/>
            </w:tcBorders>
            <w:gridSpan w:val="2"/>
          </w:tcPr>
          <w:p>
            <w:pPr>
              <w:jc w:val="center"/>
              <w:spacing w:after="0" w:line="154" w:lineRule="exact"/>
              <w:rPr>
                <w:sz w:val="20"/>
                <w:szCs w:val="20"/>
                <w:color w:val="auto"/>
              </w:rPr>
            </w:pPr>
            <w:r>
              <w:rPr>
                <w:rFonts w:ascii="Arial" w:cs="Arial" w:eastAsia="Arial" w:hAnsi="Arial"/>
                <w:sz w:val="17"/>
                <w:szCs w:val="17"/>
                <w:i w:val="1"/>
                <w:iCs w:val="1"/>
                <w:color w:val="auto"/>
                <w:vertAlign w:val="superscript"/>
              </w:rPr>
              <w:t>i</w:t>
            </w:r>
            <w:r>
              <w:rPr>
                <w:rFonts w:ascii="Arial" w:cs="Arial" w:eastAsia="Arial" w:hAnsi="Arial"/>
                <w:sz w:val="8"/>
                <w:szCs w:val="8"/>
                <w:i w:val="1"/>
                <w:iCs w:val="1"/>
                <w:color w:val="auto"/>
              </w:rPr>
              <w:t>ll</w:t>
            </w:r>
          </w:p>
        </w:tc>
        <w:tc>
          <w:tcPr>
            <w:tcW w:w="1660" w:type="dxa"/>
            <w:vAlign w:val="bottom"/>
            <w:gridSpan w:val="2"/>
            <w:vMerge w:val="restart"/>
          </w:tcPr>
          <w:p>
            <w:pPr>
              <w:jc w:val="right"/>
              <w:ind w:right="320"/>
              <w:spacing w:after="0" w:line="456" w:lineRule="exact"/>
              <w:rPr>
                <w:sz w:val="20"/>
                <w:szCs w:val="20"/>
                <w:color w:val="auto"/>
              </w:rPr>
            </w:pPr>
            <w:r>
              <w:rPr>
                <w:rFonts w:ascii="Arial" w:cs="Arial" w:eastAsia="Arial" w:hAnsi="Arial"/>
                <w:sz w:val="48"/>
                <w:szCs w:val="48"/>
                <w:color w:val="auto"/>
                <w:w w:val="95"/>
                <w:vertAlign w:val="superscript"/>
              </w:rPr>
              <w:t>+</w:t>
            </w:r>
            <w:r>
              <w:rPr>
                <w:rFonts w:ascii="Arial" w:cs="Arial" w:eastAsia="Arial" w:hAnsi="Arial"/>
                <w:sz w:val="47"/>
                <w:szCs w:val="47"/>
                <w:color w:val="auto"/>
                <w:w w:val="95"/>
                <w:vertAlign w:val="superscript"/>
              </w:rPr>
              <w:t xml:space="preserve"> </w:t>
            </w:r>
            <w:r>
              <w:rPr>
                <w:rFonts w:ascii="Arial" w:cs="Arial" w:eastAsia="Arial" w:hAnsi="Arial"/>
                <w:sz w:val="47"/>
                <w:szCs w:val="47"/>
                <w:i w:val="1"/>
                <w:iCs w:val="1"/>
                <w:color w:val="auto"/>
                <w:w w:val="95"/>
                <w:vertAlign w:val="superscript"/>
              </w:rPr>
              <w:t>i</w:t>
            </w:r>
            <w:r>
              <w:rPr>
                <w:rFonts w:ascii="Arial" w:cs="Arial" w:eastAsia="Arial" w:hAnsi="Arial"/>
                <w:sz w:val="15"/>
                <w:szCs w:val="15"/>
                <w:i w:val="1"/>
                <w:iCs w:val="1"/>
                <w:color w:val="auto"/>
                <w:w w:val="95"/>
              </w:rPr>
              <w:t>pis</w:t>
            </w:r>
            <w:r>
              <w:rPr>
                <w:rFonts w:ascii="Arial" w:cs="Arial" w:eastAsia="Arial" w:hAnsi="Arial"/>
                <w:sz w:val="48"/>
                <w:szCs w:val="48"/>
                <w:color w:val="auto"/>
                <w:w w:val="95"/>
              </w:rPr>
              <w:t xml:space="preserve"> </w:t>
            </w:r>
            <w:r>
              <w:rPr>
                <w:rFonts w:ascii="Arial" w:cs="Arial" w:eastAsia="Arial" w:hAnsi="Arial"/>
                <w:sz w:val="48"/>
                <w:szCs w:val="48"/>
                <w:color w:val="auto"/>
                <w:w w:val="95"/>
                <w:vertAlign w:val="superscript"/>
              </w:rPr>
              <w:t>+</w:t>
            </w:r>
            <w:r>
              <w:rPr>
                <w:rFonts w:ascii="Arial" w:cs="Arial" w:eastAsia="Arial" w:hAnsi="Arial"/>
                <w:sz w:val="48"/>
                <w:szCs w:val="48"/>
                <w:color w:val="auto"/>
                <w:w w:val="95"/>
              </w:rPr>
              <w:t xml:space="preserve"> </w:t>
            </w:r>
            <w:r>
              <w:rPr>
                <w:rFonts w:ascii="Arial" w:cs="Arial" w:eastAsia="Arial" w:hAnsi="Arial"/>
                <w:sz w:val="48"/>
                <w:szCs w:val="48"/>
                <w:i w:val="1"/>
                <w:iCs w:val="1"/>
                <w:color w:val="auto"/>
                <w:w w:val="95"/>
                <w:vertAlign w:val="superscript"/>
              </w:rPr>
              <w:t>i</w:t>
            </w:r>
            <w:r>
              <w:rPr>
                <w:rFonts w:ascii="Arial" w:cs="Arial" w:eastAsia="Arial" w:hAnsi="Arial"/>
                <w:sz w:val="15"/>
                <w:szCs w:val="15"/>
                <w:i w:val="1"/>
                <w:iCs w:val="1"/>
                <w:color w:val="auto"/>
                <w:w w:val="95"/>
              </w:rPr>
              <w:t>cof</w:t>
            </w:r>
          </w:p>
        </w:tc>
        <w:tc>
          <w:tcPr>
            <w:tcW w:w="0" w:type="dxa"/>
            <w:vAlign w:val="bottom"/>
          </w:tcPr>
          <w:p>
            <w:pPr>
              <w:spacing w:after="0"/>
              <w:rPr>
                <w:sz w:val="1"/>
                <w:szCs w:val="1"/>
                <w:color w:val="auto"/>
              </w:rPr>
            </w:pPr>
          </w:p>
        </w:tc>
      </w:tr>
      <w:tr>
        <w:trPr>
          <w:trHeight w:val="284"/>
        </w:trPr>
        <w:tc>
          <w:tcPr>
            <w:tcW w:w="580" w:type="dxa"/>
            <w:vAlign w:val="bottom"/>
          </w:tcPr>
          <w:p>
            <w:pPr>
              <w:spacing w:after="0"/>
              <w:rPr>
                <w:sz w:val="24"/>
                <w:szCs w:val="24"/>
                <w:color w:val="auto"/>
              </w:rPr>
            </w:pPr>
          </w:p>
        </w:tc>
        <w:tc>
          <w:tcPr>
            <w:tcW w:w="840" w:type="dxa"/>
            <w:vAlign w:val="bottom"/>
            <w:vMerge w:val="continue"/>
          </w:tcPr>
          <w:p>
            <w:pPr>
              <w:spacing w:after="0"/>
              <w:rPr>
                <w:sz w:val="24"/>
                <w:szCs w:val="24"/>
                <w:color w:val="auto"/>
              </w:rPr>
            </w:pPr>
          </w:p>
        </w:tc>
        <w:tc>
          <w:tcPr>
            <w:tcW w:w="760" w:type="dxa"/>
            <w:vAlign w:val="bottom"/>
            <w:gridSpan w:val="2"/>
          </w:tcPr>
          <w:p>
            <w:pPr>
              <w:jc w:val="center"/>
              <w:spacing w:after="0"/>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ir</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23"/>
                <w:szCs w:val="23"/>
                <w:i w:val="1"/>
                <w:iCs w:val="1"/>
                <w:color w:val="auto"/>
                <w:vertAlign w:val="subscript"/>
              </w:rPr>
              <w:t>cs</w:t>
            </w:r>
          </w:p>
        </w:tc>
        <w:tc>
          <w:tcPr>
            <w:tcW w:w="1660" w:type="dxa"/>
            <w:vAlign w:val="bottom"/>
            <w:gridSpan w:val="2"/>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3104515</wp:posOffset>
                </wp:positionH>
                <wp:positionV relativeFrom="paragraph">
                  <wp:posOffset>-440690</wp:posOffset>
                </wp:positionV>
                <wp:extent cx="1078865" cy="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8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45pt,-34.6999pt" to="329.4pt,-34.6999pt" o:allowincell="f" strokecolor="#000000" strokeweight="0.398pt"/>
            </w:pict>
          </mc:Fallback>
        </mc:AlternateContent>
      </w:r>
    </w:p>
    <w:p>
      <w:pPr>
        <w:jc w:val="center"/>
        <w:ind w:right="-219"/>
        <w:spacing w:after="0" w:line="337" w:lineRule="exact"/>
        <w:rPr>
          <w:sz w:val="20"/>
          <w:szCs w:val="20"/>
          <w:color w:val="auto"/>
        </w:rPr>
      </w:pPr>
      <w:r>
        <w:rPr>
          <w:rFonts w:ascii="Arial" w:cs="Arial" w:eastAsia="Arial" w:hAnsi="Arial"/>
          <w:sz w:val="24"/>
          <w:szCs w:val="24"/>
          <w:i w:val="1"/>
          <w:iCs w:val="1"/>
          <w:color w:val="auto"/>
        </w:rPr>
        <w:t>R</w:t>
      </w:r>
      <w:r>
        <w:rPr>
          <w:rFonts w:ascii="Arial" w:cs="Arial" w:eastAsia="Arial" w:hAnsi="Arial"/>
          <w:sz w:val="24"/>
          <w:szCs w:val="24"/>
          <w:color w:val="auto"/>
        </w:rPr>
        <w:t xml:space="preserve"> = </w:t>
      </w:r>
      <w:r>
        <w:rPr>
          <w:rFonts w:ascii="Arial" w:cs="Arial" w:eastAsia="Arial" w:hAnsi="Arial"/>
          <w:sz w:val="24"/>
          <w:szCs w:val="24"/>
          <w:i w:val="1"/>
          <w:iCs w:val="1"/>
          <w:color w:val="auto"/>
        </w:rPr>
        <w:t>E</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jr</w:t>
      </w:r>
    </w:p>
    <w:p>
      <w:pPr>
        <w:spacing w:after="0" w:line="204" w:lineRule="exact"/>
        <w:rPr>
          <w:sz w:val="20"/>
          <w:szCs w:val="20"/>
          <w:color w:val="auto"/>
        </w:rPr>
      </w:pPr>
    </w:p>
    <w:p>
      <w:pPr>
        <w:jc w:val="both"/>
        <w:ind w:left="260" w:right="40" w:firstLine="858"/>
        <w:spacing w:after="0" w:line="260" w:lineRule="auto"/>
        <w:rPr>
          <w:sz w:val="20"/>
          <w:szCs w:val="20"/>
          <w:color w:val="auto"/>
        </w:rPr>
      </w:pPr>
      <w:r>
        <w:rPr>
          <w:rFonts w:ascii="Arial" w:cs="Arial" w:eastAsia="Arial" w:hAnsi="Arial"/>
          <w:sz w:val="24"/>
          <w:szCs w:val="24"/>
          <w:color w:val="auto"/>
        </w:rPr>
        <w:t>Assumindo que operações de créditos (</w:t>
      </w:r>
      <w:r>
        <w:rPr>
          <w:rFonts w:ascii="Arial" w:cs="Arial" w:eastAsia="Arial" w:hAnsi="Arial"/>
          <w:sz w:val="24"/>
          <w:szCs w:val="24"/>
          <w:i w:val="1"/>
          <w:iCs w:val="1"/>
          <w:color w:val="auto"/>
        </w:rPr>
        <w:t>E</w:t>
      </w:r>
      <w:r>
        <w:rPr>
          <w:rFonts w:ascii="Arial" w:cs="Arial" w:eastAsia="Arial" w:hAnsi="Arial"/>
          <w:sz w:val="24"/>
          <w:szCs w:val="24"/>
          <w:color w:val="auto"/>
        </w:rPr>
        <w:t>) podem ser decompostas de acordo com a origem: capital próprio (</w:t>
      </w:r>
      <w:r>
        <w:rPr>
          <w:rFonts w:ascii="Arial" w:cs="Arial" w:eastAsia="Arial" w:hAnsi="Arial"/>
          <w:sz w:val="24"/>
          <w:szCs w:val="24"/>
          <w:i w:val="1"/>
          <w:iCs w:val="1"/>
          <w:color w:val="auto"/>
        </w:rPr>
        <w:t>E</w:t>
      </w:r>
      <w:r>
        <w:rPr>
          <w:rFonts w:ascii="Arial" w:cs="Arial" w:eastAsia="Arial" w:hAnsi="Arial"/>
          <w:sz w:val="31"/>
          <w:szCs w:val="31"/>
          <w:i w:val="1"/>
          <w:iCs w:val="1"/>
          <w:color w:val="auto"/>
          <w:vertAlign w:val="subscript"/>
        </w:rPr>
        <w:t>P r</w:t>
      </w:r>
      <w:r>
        <w:rPr>
          <w:rFonts w:ascii="Arial" w:cs="Arial" w:eastAsia="Arial" w:hAnsi="Arial"/>
          <w:sz w:val="24"/>
          <w:szCs w:val="24"/>
          <w:color w:val="auto"/>
        </w:rPr>
        <w:t>) e depósitos à vista (</w:t>
      </w:r>
      <w:r>
        <w:rPr>
          <w:rFonts w:ascii="Arial" w:cs="Arial" w:eastAsia="Arial" w:hAnsi="Arial"/>
          <w:sz w:val="24"/>
          <w:szCs w:val="24"/>
          <w:i w:val="1"/>
          <w:iCs w:val="1"/>
          <w:color w:val="auto"/>
        </w:rPr>
        <w:t>E</w:t>
      </w:r>
      <w:r>
        <w:rPr>
          <w:rFonts w:ascii="Arial" w:cs="Arial" w:eastAsia="Arial" w:hAnsi="Arial"/>
          <w:sz w:val="31"/>
          <w:szCs w:val="31"/>
          <w:i w:val="1"/>
          <w:iCs w:val="1"/>
          <w:color w:val="auto"/>
          <w:vertAlign w:val="subscript"/>
        </w:rPr>
        <w:t>dav</w:t>
      </w:r>
      <w:r>
        <w:rPr>
          <w:rFonts w:ascii="Arial" w:cs="Arial" w:eastAsia="Arial" w:hAnsi="Arial"/>
          <w:sz w:val="24"/>
          <w:szCs w:val="24"/>
          <w:color w:val="auto"/>
        </w:rPr>
        <w:t>), remunerados a um custo de oportunidade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copr</w:t>
      </w:r>
      <w:r>
        <w:rPr>
          <w:rFonts w:ascii="Arial" w:cs="Arial" w:eastAsia="Arial" w:hAnsi="Arial"/>
          <w:sz w:val="24"/>
          <w:szCs w:val="24"/>
          <w:color w:val="auto"/>
        </w:rPr>
        <w:t xml:space="preserve"> e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coav</w:t>
      </w:r>
      <w:r>
        <w:rPr>
          <w:rFonts w:ascii="Arial" w:cs="Arial" w:eastAsia="Arial" w:hAnsi="Arial"/>
          <w:sz w:val="24"/>
          <w:szCs w:val="24"/>
          <w:color w:val="auto"/>
        </w:rPr>
        <w:t>) — já que não são remunerados — e depósitos à prazo (</w:t>
      </w:r>
      <w:r>
        <w:rPr>
          <w:rFonts w:ascii="Arial" w:cs="Arial" w:eastAsia="Arial" w:hAnsi="Arial"/>
          <w:sz w:val="24"/>
          <w:szCs w:val="24"/>
          <w:i w:val="1"/>
          <w:iCs w:val="1"/>
          <w:color w:val="auto"/>
        </w:rPr>
        <w:t>dap</w:t>
      </w:r>
      <w:r>
        <w:rPr>
          <w:rFonts w:ascii="Arial" w:cs="Arial" w:eastAsia="Arial" w:hAnsi="Arial"/>
          <w:sz w:val="24"/>
          <w:szCs w:val="24"/>
          <w:color w:val="auto"/>
        </w:rPr>
        <w:t>) remunerados à uma taxa de captação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Cap</w:t>
      </w:r>
      <w:r>
        <w:rPr>
          <w:rFonts w:ascii="Arial" w:cs="Arial" w:eastAsia="Arial" w:hAnsi="Arial"/>
          <w:sz w:val="24"/>
          <w:szCs w:val="24"/>
          <w:color w:val="auto"/>
        </w:rPr>
        <w:t>), a receita das operações de crédito podem ser obtidas pelo somatório das equações abaixo.</w:t>
      </w:r>
    </w:p>
    <w:p>
      <w:pPr>
        <w:ind w:left="3900"/>
        <w:spacing w:after="0" w:line="617" w:lineRule="exact"/>
        <w:rPr>
          <w:sz w:val="20"/>
          <w:szCs w:val="20"/>
          <w:color w:val="auto"/>
        </w:rPr>
      </w:pP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pr</w:t>
      </w:r>
      <w:r>
        <w:rPr>
          <w:rFonts w:ascii="Arial Unicode MS" w:cs="Arial Unicode MS" w:eastAsia="Arial Unicode MS" w:hAnsi="Arial Unicode MS"/>
          <w:sz w:val="48"/>
          <w:szCs w:val="48"/>
          <w:color w:val="auto"/>
        </w:rPr>
        <w:t xml:space="preserve"> </w:t>
      </w:r>
      <w:r>
        <w:rPr>
          <w:rFonts w:ascii="Arial Unicode MS" w:cs="Arial Unicode MS" w:eastAsia="Arial Unicode MS" w:hAnsi="Arial Unicode MS"/>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adm</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ind</w:t>
      </w:r>
      <w:r>
        <w:rPr>
          <w:rFonts w:ascii="Arial" w:cs="Arial" w:eastAsia="Arial" w:hAnsi="Arial"/>
          <w:sz w:val="48"/>
          <w:szCs w:val="48"/>
          <w:color w:val="auto"/>
          <w:vertAlign w:val="superscript"/>
        </w:rPr>
        <w:t>]</w:t>
      </w:r>
      <w:r>
        <w:rPr>
          <w:rFonts w:ascii="Arial" w:cs="Arial" w:eastAsia="Arial" w:hAnsi="Arial"/>
          <w:sz w:val="47"/>
          <w:szCs w:val="47"/>
          <w:color w:val="auto"/>
          <w:vertAlign w:val="superscript"/>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copr</w:t>
      </w:r>
    </w:p>
    <w:p>
      <w:pPr>
        <w:ind w:left="3200"/>
        <w:spacing w:after="0" w:line="182" w:lineRule="auto"/>
        <w:rPr>
          <w:sz w:val="20"/>
          <w:szCs w:val="20"/>
          <w:color w:val="auto"/>
        </w:rPr>
      </w:pPr>
      <w:r>
        <w:rPr>
          <w:rFonts w:ascii="Arial" w:cs="Arial" w:eastAsia="Arial" w:hAnsi="Arial"/>
          <w:sz w:val="37"/>
          <w:szCs w:val="37"/>
          <w:i w:val="1"/>
          <w:iCs w:val="1"/>
          <w:color w:val="auto"/>
          <w:vertAlign w:val="superscript"/>
        </w:rPr>
        <w:t>R</w:t>
      </w:r>
      <w:r>
        <w:rPr>
          <w:rFonts w:ascii="Arial" w:cs="Arial" w:eastAsia="Arial" w:hAnsi="Arial"/>
          <w:sz w:val="25"/>
          <w:szCs w:val="25"/>
          <w:i w:val="1"/>
          <w:iCs w:val="1"/>
          <w:color w:val="auto"/>
          <w:vertAlign w:val="superscript"/>
        </w:rPr>
        <w:t>pr</w:t>
      </w:r>
      <w:r>
        <w:rPr>
          <w:rFonts w:ascii="Arial" w:cs="Arial" w:eastAsia="Arial" w:hAnsi="Arial"/>
          <w:sz w:val="36"/>
          <w:szCs w:val="36"/>
          <w:color w:val="auto"/>
          <w:vertAlign w:val="superscript"/>
        </w:rPr>
        <w:t xml:space="preserve"> =</w:t>
      </w:r>
      <w:r>
        <w:rPr>
          <w:rFonts w:ascii="Arial" w:cs="Arial" w:eastAsia="Arial" w:hAnsi="Arial"/>
          <w:sz w:val="37"/>
          <w:szCs w:val="37"/>
          <w:color w:val="auto"/>
          <w:vertAlign w:val="superscript"/>
        </w:rPr>
        <w:t xml:space="preserve"> </w:t>
      </w:r>
      <w:r>
        <w:rPr>
          <w:rFonts w:ascii="Arial" w:cs="Arial" w:eastAsia="Arial" w:hAnsi="Arial"/>
          <w:sz w:val="37"/>
          <w:szCs w:val="37"/>
          <w:color w:val="auto"/>
        </w:rPr>
        <w:t>1</w:t>
      </w:r>
      <w:r>
        <w:rPr>
          <w:rFonts w:ascii="Arial" w:cs="Arial" w:eastAsia="Arial" w:hAnsi="Arial"/>
          <w:sz w:val="19"/>
          <w:szCs w:val="19"/>
          <w:color w:val="auto"/>
        </w:rPr>
        <w:t xml:space="preserve"> −</w:t>
      </w:r>
      <w:r>
        <w:rPr>
          <w:rFonts w:ascii="Arial" w:cs="Arial" w:eastAsia="Arial" w:hAnsi="Arial"/>
          <w:sz w:val="25"/>
          <w:szCs w:val="25"/>
          <w:color w:val="auto"/>
        </w:rPr>
        <w:t xml:space="preserve"> </w:t>
      </w:r>
      <w:r>
        <w:rPr>
          <w:rFonts w:ascii="Arial" w:cs="Arial" w:eastAsia="Arial" w:hAnsi="Arial"/>
          <w:sz w:val="25"/>
          <w:szCs w:val="25"/>
          <w:color w:val="auto"/>
          <w:vertAlign w:val="subscript"/>
        </w:rPr>
        <w:t>1−</w:t>
      </w:r>
      <w:r>
        <w:rPr>
          <w:rFonts w:ascii="Arial" w:cs="Arial" w:eastAsia="Arial" w:hAnsi="Arial"/>
          <w:sz w:val="25"/>
          <w:szCs w:val="25"/>
          <w:i w:val="1"/>
          <w:iCs w:val="1"/>
          <w:color w:val="auto"/>
          <w:vertAlign w:val="subscript"/>
        </w:rPr>
        <w:t>i</w:t>
      </w:r>
      <w:r>
        <w:rPr>
          <w:rFonts w:ascii="Arial" w:cs="Arial" w:eastAsia="Arial" w:hAnsi="Arial"/>
          <w:sz w:val="25"/>
          <w:szCs w:val="25"/>
          <w:i w:val="1"/>
          <w:iCs w:val="1"/>
          <w:color w:val="auto"/>
          <w:vertAlign w:val="superscript"/>
        </w:rPr>
        <w:t>i</w:t>
      </w:r>
      <w:r>
        <w:rPr>
          <w:rFonts w:ascii="Arial" w:cs="Arial" w:eastAsia="Arial" w:hAnsi="Arial"/>
          <w:sz w:val="19"/>
          <w:szCs w:val="19"/>
          <w:i w:val="1"/>
          <w:iCs w:val="1"/>
          <w:color w:val="auto"/>
          <w:vertAlign w:val="superscript"/>
        </w:rPr>
        <w:t>ll</w:t>
      </w:r>
      <w:r>
        <w:rPr>
          <w:rFonts w:ascii="Arial" w:cs="Arial" w:eastAsia="Arial" w:hAnsi="Arial"/>
          <w:sz w:val="25"/>
          <w:szCs w:val="25"/>
          <w:color w:val="auto"/>
          <w:vertAlign w:val="subscript"/>
        </w:rPr>
        <w:t>−</w:t>
      </w:r>
      <w:r>
        <w:rPr>
          <w:rFonts w:ascii="Arial" w:cs="Arial" w:eastAsia="Arial" w:hAnsi="Arial"/>
          <w:sz w:val="25"/>
          <w:szCs w:val="25"/>
          <w:i w:val="1"/>
          <w:iCs w:val="1"/>
          <w:color w:val="auto"/>
          <w:vertAlign w:val="subscript"/>
        </w:rPr>
        <w:t>i</w:t>
      </w:r>
      <w:r>
        <w:rPr>
          <w:rFonts w:ascii="Arial" w:cs="Arial" w:eastAsia="Arial" w:hAnsi="Arial"/>
          <w:sz w:val="19"/>
          <w:szCs w:val="19"/>
          <w:i w:val="1"/>
          <w:iCs w:val="1"/>
          <w:color w:val="auto"/>
          <w:vertAlign w:val="subscript"/>
        </w:rPr>
        <w:t>cs</w:t>
      </w:r>
      <w:r>
        <w:rPr>
          <w:rFonts w:ascii="Arial" w:cs="Arial" w:eastAsia="Arial" w:hAnsi="Arial"/>
          <w:sz w:val="19"/>
          <w:szCs w:val="19"/>
          <w:color w:val="auto"/>
        </w:rPr>
        <w:t xml:space="preserve"> + </w:t>
      </w:r>
      <w:r>
        <w:rPr>
          <w:rFonts w:ascii="Arial" w:cs="Arial" w:eastAsia="Arial" w:hAnsi="Arial"/>
          <w:sz w:val="19"/>
          <w:szCs w:val="19"/>
          <w:i w:val="1"/>
          <w:iCs w:val="1"/>
          <w:color w:val="auto"/>
        </w:rPr>
        <w:t>i</w:t>
      </w:r>
      <w:r>
        <w:rPr>
          <w:rFonts w:ascii="Arial" w:cs="Arial" w:eastAsia="Arial" w:hAnsi="Arial"/>
          <w:sz w:val="25"/>
          <w:szCs w:val="25"/>
          <w:i w:val="1"/>
          <w:iCs w:val="1"/>
          <w:color w:val="auto"/>
          <w:vertAlign w:val="subscript"/>
        </w:rPr>
        <w:t>pis</w:t>
      </w:r>
      <w:r>
        <w:rPr>
          <w:rFonts w:ascii="Arial" w:cs="Arial" w:eastAsia="Arial" w:hAnsi="Arial"/>
          <w:sz w:val="19"/>
          <w:szCs w:val="19"/>
          <w:color w:val="auto"/>
        </w:rPr>
        <w:t xml:space="preserve"> + </w:t>
      </w:r>
      <w:r>
        <w:rPr>
          <w:rFonts w:ascii="Arial" w:cs="Arial" w:eastAsia="Arial" w:hAnsi="Arial"/>
          <w:sz w:val="19"/>
          <w:szCs w:val="19"/>
          <w:i w:val="1"/>
          <w:iCs w:val="1"/>
          <w:color w:val="auto"/>
        </w:rPr>
        <w:t>i</w:t>
      </w:r>
      <w:r>
        <w:rPr>
          <w:rFonts w:ascii="Arial" w:cs="Arial" w:eastAsia="Arial" w:hAnsi="Arial"/>
          <w:sz w:val="25"/>
          <w:szCs w:val="25"/>
          <w:i w:val="1"/>
          <w:iCs w:val="1"/>
          <w:color w:val="auto"/>
          <w:vertAlign w:val="subscript"/>
        </w:rPr>
        <w:t>cof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2477770</wp:posOffset>
                </wp:positionH>
                <wp:positionV relativeFrom="paragraph">
                  <wp:posOffset>-161925</wp:posOffset>
                </wp:positionV>
                <wp:extent cx="1555115" cy="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551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5.1pt,-12.7499pt" to="317.55pt,-12.7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2757170</wp:posOffset>
                </wp:positionH>
                <wp:positionV relativeFrom="paragraph">
                  <wp:posOffset>-52070</wp:posOffset>
                </wp:positionV>
                <wp:extent cx="473710" cy="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37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1pt,-4.0999pt" to="254.4pt,-4.0999pt" o:allowincell="f" strokecolor="#000000" strokeweight="0.398pt"/>
            </w:pict>
          </mc:Fallback>
        </mc:AlternateContent>
      </w:r>
    </w:p>
    <w:p>
      <w:pPr>
        <w:jc w:val="center"/>
        <w:spacing w:after="0" w:line="194" w:lineRule="auto"/>
        <w:rPr>
          <w:sz w:val="20"/>
          <w:szCs w:val="20"/>
          <w:color w:val="auto"/>
        </w:rPr>
      </w:pPr>
      <w:r>
        <w:rPr>
          <w:rFonts w:ascii="Arial" w:cs="Arial" w:eastAsia="Arial" w:hAnsi="Arial"/>
          <w:sz w:val="12"/>
          <w:szCs w:val="12"/>
          <w:i w:val="1"/>
          <w:iCs w:val="1"/>
          <w:color w:val="auto"/>
        </w:rPr>
        <w:t>ir</w:t>
      </w:r>
    </w:p>
    <w:p>
      <w:pPr>
        <w:sectPr>
          <w:pgSz w:w="11900" w:h="16838" w:orient="portrait"/>
          <w:cols w:equalWidth="0" w:num="1">
            <w:col w:w="9360"/>
          </w:cols>
          <w:pgMar w:left="1440" w:top="991" w:right="1106" w:bottom="289" w:gutter="0" w:footer="0" w:header="0"/>
        </w:sectPr>
      </w:pPr>
    </w:p>
    <w:p>
      <w:pPr>
        <w:spacing w:after="0" w:line="200" w:lineRule="exact"/>
        <w:rPr>
          <w:sz w:val="20"/>
          <w:szCs w:val="20"/>
          <w:color w:val="auto"/>
        </w:rPr>
      </w:pPr>
    </w:p>
    <w:p>
      <w:pPr>
        <w:spacing w:after="0" w:line="344" w:lineRule="exact"/>
        <w:rPr>
          <w:sz w:val="20"/>
          <w:szCs w:val="20"/>
          <w:color w:val="auto"/>
        </w:rPr>
      </w:pPr>
    </w:p>
    <w:p>
      <w:pPr>
        <w:ind w:left="2360"/>
        <w:spacing w:after="0"/>
        <w:rPr>
          <w:sz w:val="20"/>
          <w:szCs w:val="20"/>
          <w:color w:val="auto"/>
        </w:rPr>
      </w:pPr>
      <w:r>
        <w:rPr>
          <w:rFonts w:ascii="Arial" w:cs="Arial" w:eastAsia="Arial" w:hAnsi="Arial"/>
          <w:sz w:val="44"/>
          <w:szCs w:val="44"/>
          <w:i w:val="1"/>
          <w:iCs w:val="1"/>
          <w:color w:val="auto"/>
          <w:vertAlign w:val="superscript"/>
        </w:rPr>
        <w:t>R</w:t>
      </w:r>
      <w:r>
        <w:rPr>
          <w:rFonts w:ascii="Arial" w:cs="Arial" w:eastAsia="Arial" w:hAnsi="Arial"/>
          <w:sz w:val="14"/>
          <w:szCs w:val="14"/>
          <w:i w:val="1"/>
          <w:iCs w:val="1"/>
          <w:color w:val="auto"/>
        </w:rPr>
        <w:t>dap</w:t>
      </w:r>
      <w:r>
        <w:rPr>
          <w:rFonts w:ascii="Arial" w:cs="Arial" w:eastAsia="Arial" w:hAnsi="Arial"/>
          <w:sz w:val="44"/>
          <w:szCs w:val="44"/>
          <w:color w:val="auto"/>
        </w:rPr>
        <w:t xml:space="preserve"> </w:t>
      </w:r>
      <w:r>
        <w:rPr>
          <w:rFonts w:ascii="Arial" w:cs="Arial" w:eastAsia="Arial" w:hAnsi="Arial"/>
          <w:sz w:val="44"/>
          <w:szCs w:val="44"/>
          <w:color w:val="auto"/>
          <w:vertAlign w:val="superscript"/>
        </w:rPr>
        <w:t>=</w:t>
      </w:r>
    </w:p>
    <w:p>
      <w:pPr>
        <w:spacing w:after="0" w:line="200" w:lineRule="exact"/>
        <w:rPr>
          <w:sz w:val="20"/>
          <w:szCs w:val="20"/>
          <w:color w:val="auto"/>
        </w:rPr>
      </w:pPr>
    </w:p>
    <w:p>
      <w:pPr>
        <w:spacing w:after="0" w:line="337" w:lineRule="exact"/>
        <w:rPr>
          <w:sz w:val="20"/>
          <w:szCs w:val="20"/>
          <w:color w:val="auto"/>
        </w:rPr>
      </w:pPr>
    </w:p>
    <w:p>
      <w:pPr>
        <w:ind w:left="2420"/>
        <w:spacing w:after="0"/>
        <w:rPr>
          <w:sz w:val="20"/>
          <w:szCs w:val="20"/>
          <w:color w:val="auto"/>
        </w:rPr>
      </w:pPr>
      <w:r>
        <w:rPr>
          <w:rFonts w:ascii="Arial" w:cs="Arial" w:eastAsia="Arial" w:hAnsi="Arial"/>
          <w:sz w:val="40"/>
          <w:szCs w:val="40"/>
          <w:i w:val="1"/>
          <w:iCs w:val="1"/>
          <w:color w:val="auto"/>
          <w:vertAlign w:val="superscript"/>
        </w:rPr>
        <w:t>R</w:t>
      </w:r>
      <w:r>
        <w:rPr>
          <w:rFonts w:ascii="Arial" w:cs="Arial" w:eastAsia="Arial" w:hAnsi="Arial"/>
          <w:sz w:val="14"/>
          <w:szCs w:val="14"/>
          <w:i w:val="1"/>
          <w:iCs w:val="1"/>
          <w:color w:val="auto"/>
        </w:rPr>
        <w:t>dav</w:t>
      </w:r>
      <w:r>
        <w:rPr>
          <w:rFonts w:ascii="Arial" w:cs="Arial" w:eastAsia="Arial" w:hAnsi="Arial"/>
          <w:sz w:val="40"/>
          <w:szCs w:val="40"/>
          <w:color w:val="auto"/>
        </w:rPr>
        <w:t xml:space="preserve"> </w:t>
      </w:r>
      <w:r>
        <w:rPr>
          <w:rFonts w:ascii="Arial" w:cs="Arial" w:eastAsia="Arial" w:hAnsi="Arial"/>
          <w:sz w:val="40"/>
          <w:szCs w:val="40"/>
          <w:color w:val="auto"/>
          <w:vertAlign w:val="superscript"/>
        </w:rPr>
        <w:t>=</w:t>
      </w:r>
    </w:p>
    <w:p>
      <w:pPr>
        <w:spacing w:after="0" w:line="20" w:lineRule="exact"/>
        <w:rPr>
          <w:sz w:val="20"/>
          <w:szCs w:val="20"/>
          <w:color w:val="auto"/>
        </w:rPr>
      </w:pPr>
      <w:r>
        <w:rPr>
          <w:sz w:val="20"/>
          <w:szCs w:val="20"/>
          <w:color w:val="auto"/>
        </w:rPr>
        <w:br w:type="column"/>
      </w:r>
    </w:p>
    <w:p>
      <w:pPr>
        <w:spacing w:after="0" w:line="544" w:lineRule="exact"/>
        <w:rPr>
          <w:sz w:val="20"/>
          <w:szCs w:val="20"/>
          <w:color w:val="auto"/>
        </w:rPr>
      </w:pPr>
      <w:r>
        <w:rPr>
          <w:rFonts w:ascii="Arial" w:cs="Arial" w:eastAsia="Arial" w:hAnsi="Arial"/>
          <w:sz w:val="42"/>
          <w:szCs w:val="42"/>
          <w:i w:val="1"/>
          <w:iCs w:val="1"/>
          <w:color w:val="auto"/>
          <w:vertAlign w:val="subscript"/>
        </w:rPr>
        <w:t>E</w:t>
      </w:r>
      <w:r>
        <w:rPr>
          <w:rFonts w:ascii="Arial" w:cs="Arial" w:eastAsia="Arial" w:hAnsi="Arial"/>
          <w:sz w:val="27"/>
          <w:szCs w:val="27"/>
          <w:i w:val="1"/>
          <w:iCs w:val="1"/>
          <w:color w:val="auto"/>
          <w:vertAlign w:val="subscript"/>
        </w:rPr>
        <w:t>dap</w:t>
      </w:r>
      <w:r>
        <w:rPr>
          <w:rFonts w:ascii="Arial Unicode MS" w:cs="Arial Unicode MS" w:eastAsia="Arial Unicode MS" w:hAnsi="Arial Unicode MS"/>
          <w:sz w:val="42"/>
          <w:szCs w:val="42"/>
          <w:color w:val="auto"/>
          <w:vertAlign w:val="subscript"/>
        </w:rPr>
        <w:t xml:space="preserve"> </w:t>
      </w:r>
      <w:r>
        <w:rPr>
          <w:rFonts w:ascii="Arial Unicode MS" w:cs="Arial Unicode MS" w:eastAsia="Arial Unicode MS" w:hAnsi="Arial Unicode MS"/>
          <w:sz w:val="42"/>
          <w:szCs w:val="42"/>
          <w:color w:val="auto"/>
        </w:rPr>
        <w:t>∗</w:t>
      </w:r>
      <w:r>
        <w:rPr>
          <w:rFonts w:ascii="Arial" w:cs="Arial" w:eastAsia="Arial" w:hAnsi="Arial"/>
          <w:sz w:val="42"/>
          <w:szCs w:val="42"/>
          <w:color w:val="auto"/>
        </w:rPr>
        <w:t xml:space="preserve"> </w:t>
      </w:r>
      <w:r>
        <w:rPr>
          <w:rFonts w:ascii="Arial" w:cs="Arial" w:eastAsia="Arial" w:hAnsi="Arial"/>
          <w:sz w:val="42"/>
          <w:szCs w:val="42"/>
          <w:color w:val="auto"/>
          <w:vertAlign w:val="subscript"/>
        </w:rPr>
        <w:t>[</w:t>
      </w:r>
      <w:r>
        <w:rPr>
          <w:rFonts w:ascii="Arial" w:cs="Arial" w:eastAsia="Arial" w:hAnsi="Arial"/>
          <w:sz w:val="42"/>
          <w:szCs w:val="42"/>
          <w:i w:val="1"/>
          <w:iCs w:val="1"/>
          <w:color w:val="auto"/>
          <w:vertAlign w:val="subscript"/>
        </w:rPr>
        <w:t>i</w:t>
      </w:r>
      <w:r>
        <w:rPr>
          <w:rFonts w:ascii="Arial" w:cs="Arial" w:eastAsia="Arial" w:hAnsi="Arial"/>
          <w:sz w:val="27"/>
          <w:szCs w:val="27"/>
          <w:i w:val="1"/>
          <w:iCs w:val="1"/>
          <w:color w:val="auto"/>
          <w:vertAlign w:val="subscript"/>
        </w:rPr>
        <w:t>adm</w:t>
      </w:r>
      <w:r>
        <w:rPr>
          <w:rFonts w:ascii="Arial" w:cs="Arial" w:eastAsia="Arial" w:hAnsi="Arial"/>
          <w:sz w:val="42"/>
          <w:szCs w:val="42"/>
          <w:color w:val="auto"/>
        </w:rPr>
        <w:t xml:space="preserve"> </w:t>
      </w:r>
      <w:r>
        <w:rPr>
          <w:rFonts w:ascii="Arial" w:cs="Arial" w:eastAsia="Arial" w:hAnsi="Arial"/>
          <w:sz w:val="42"/>
          <w:szCs w:val="42"/>
          <w:color w:val="auto"/>
          <w:vertAlign w:val="subscript"/>
        </w:rPr>
        <w:t>+</w:t>
      </w:r>
      <w:r>
        <w:rPr>
          <w:rFonts w:ascii="Arial" w:cs="Arial" w:eastAsia="Arial" w:hAnsi="Arial"/>
          <w:sz w:val="42"/>
          <w:szCs w:val="42"/>
          <w:color w:val="auto"/>
        </w:rPr>
        <w:t xml:space="preserve"> </w:t>
      </w:r>
      <w:r>
        <w:rPr>
          <w:rFonts w:ascii="Arial" w:cs="Arial" w:eastAsia="Arial" w:hAnsi="Arial"/>
          <w:sz w:val="42"/>
          <w:szCs w:val="42"/>
          <w:i w:val="1"/>
          <w:iCs w:val="1"/>
          <w:color w:val="auto"/>
          <w:vertAlign w:val="subscript"/>
        </w:rPr>
        <w:t>i</w:t>
      </w:r>
      <w:r>
        <w:rPr>
          <w:rFonts w:ascii="Arial" w:cs="Arial" w:eastAsia="Arial" w:hAnsi="Arial"/>
          <w:sz w:val="27"/>
          <w:szCs w:val="27"/>
          <w:i w:val="1"/>
          <w:iCs w:val="1"/>
          <w:color w:val="auto"/>
          <w:vertAlign w:val="subscript"/>
        </w:rPr>
        <w:t>ind</w:t>
      </w:r>
      <w:r>
        <w:rPr>
          <w:rFonts w:ascii="Arial" w:cs="Arial" w:eastAsia="Arial" w:hAnsi="Arial"/>
          <w:sz w:val="42"/>
          <w:szCs w:val="42"/>
          <w:color w:val="auto"/>
        </w:rPr>
        <w:t xml:space="preserve"> </w:t>
      </w:r>
      <w:r>
        <w:rPr>
          <w:rFonts w:ascii="Arial" w:cs="Arial" w:eastAsia="Arial" w:hAnsi="Arial"/>
          <w:sz w:val="42"/>
          <w:szCs w:val="42"/>
          <w:color w:val="auto"/>
          <w:vertAlign w:val="subscript"/>
        </w:rPr>
        <w:t>+</w:t>
      </w:r>
      <w:r>
        <w:rPr>
          <w:rFonts w:ascii="Arial" w:cs="Arial" w:eastAsia="Arial" w:hAnsi="Arial"/>
          <w:sz w:val="41"/>
          <w:szCs w:val="41"/>
          <w:color w:val="auto"/>
          <w:vertAlign w:val="subscript"/>
        </w:rPr>
        <w:t xml:space="preserve"> </w:t>
      </w:r>
      <w:r>
        <w:rPr>
          <w:rFonts w:ascii="Arial" w:cs="Arial" w:eastAsia="Arial" w:hAnsi="Arial"/>
          <w:sz w:val="42"/>
          <w:szCs w:val="42"/>
          <w:color w:val="auto"/>
          <w:vertAlign w:val="subscript"/>
        </w:rPr>
        <w:t>(</w:t>
      </w:r>
      <w:r>
        <w:rPr>
          <w:rFonts w:ascii="Arial" w:cs="Arial" w:eastAsia="Arial" w:hAnsi="Arial"/>
          <w:sz w:val="27"/>
          <w:szCs w:val="27"/>
          <w:i w:val="1"/>
          <w:iCs w:val="1"/>
          <w:color w:val="auto"/>
          <w:vertAlign w:val="superscript"/>
        </w:rPr>
        <w:t>i</w:t>
      </w:r>
      <w:r>
        <w:rPr>
          <w:rFonts w:ascii="Arial" w:cs="Arial" w:eastAsia="Arial" w:hAnsi="Arial"/>
          <w:sz w:val="11"/>
          <w:szCs w:val="11"/>
          <w:i w:val="1"/>
          <w:iCs w:val="1"/>
          <w:color w:val="auto"/>
        </w:rPr>
        <w:t>cap</w:t>
      </w:r>
      <w:r>
        <w:rPr>
          <w:rFonts w:ascii="Arial" w:cs="Arial" w:eastAsia="Arial" w:hAnsi="Arial"/>
          <w:sz w:val="27"/>
          <w:szCs w:val="27"/>
          <w:color w:val="auto"/>
          <w:vertAlign w:val="superscript"/>
        </w:rPr>
        <w:t>+</w:t>
      </w:r>
      <w:r>
        <w:rPr>
          <w:rFonts w:ascii="Arial" w:cs="Arial" w:eastAsia="Arial" w:hAnsi="Arial"/>
          <w:sz w:val="27"/>
          <w:szCs w:val="27"/>
          <w:i w:val="1"/>
          <w:iCs w:val="1"/>
          <w:color w:val="auto"/>
          <w:vertAlign w:val="superscript"/>
        </w:rPr>
        <w:t>i</w:t>
      </w:r>
      <w:r>
        <w:rPr>
          <w:rFonts w:ascii="Arial" w:cs="Arial" w:eastAsia="Arial" w:hAnsi="Arial"/>
          <w:sz w:val="11"/>
          <w:szCs w:val="11"/>
          <w:i w:val="1"/>
          <w:iCs w:val="1"/>
          <w:color w:val="auto"/>
        </w:rPr>
        <w:t>fgc</w:t>
      </w:r>
      <w:r>
        <w:rPr>
          <w:rFonts w:ascii="Arial" w:cs="Arial" w:eastAsia="Arial" w:hAnsi="Arial"/>
          <w:sz w:val="27"/>
          <w:szCs w:val="27"/>
          <w:color w:val="auto"/>
          <w:vertAlign w:val="superscript"/>
        </w:rPr>
        <w:t>−(</w:t>
      </w:r>
      <w:r>
        <w:rPr>
          <w:rFonts w:ascii="Arial" w:cs="Arial" w:eastAsia="Arial" w:hAnsi="Arial"/>
          <w:sz w:val="27"/>
          <w:szCs w:val="27"/>
          <w:i w:val="1"/>
          <w:iCs w:val="1"/>
          <w:color w:val="auto"/>
          <w:vertAlign w:val="superscript"/>
        </w:rPr>
        <w:t>i</w:t>
      </w:r>
      <w:r>
        <w:rPr>
          <w:rFonts w:ascii="Arial" w:cs="Arial" w:eastAsia="Arial" w:hAnsi="Arial"/>
          <w:sz w:val="11"/>
          <w:szCs w:val="11"/>
          <w:i w:val="1"/>
          <w:iCs w:val="1"/>
          <w:color w:val="auto"/>
        </w:rPr>
        <w:t>comp</w:t>
      </w:r>
      <w:r>
        <w:rPr>
          <w:rFonts w:ascii="Arial Unicode MS" w:cs="Arial Unicode MS" w:eastAsia="Arial Unicode MS" w:hAnsi="Arial Unicode MS"/>
          <w:sz w:val="27"/>
          <w:szCs w:val="27"/>
          <w:color w:val="auto"/>
          <w:vertAlign w:val="superscript"/>
        </w:rPr>
        <w:t>∗</w:t>
      </w:r>
      <w:r>
        <w:rPr>
          <w:rFonts w:ascii="Arial" w:cs="Arial" w:eastAsia="Arial" w:hAnsi="Arial"/>
          <w:sz w:val="27"/>
          <w:szCs w:val="27"/>
          <w:i w:val="1"/>
          <w:iCs w:val="1"/>
          <w:color w:val="auto"/>
          <w:vertAlign w:val="superscript"/>
        </w:rPr>
        <w:t>i</w:t>
      </w:r>
      <w:r>
        <w:rPr>
          <w:rFonts w:ascii="Arial" w:cs="Arial" w:eastAsia="Arial" w:hAnsi="Arial"/>
          <w:sz w:val="11"/>
          <w:szCs w:val="11"/>
          <w:i w:val="1"/>
          <w:iCs w:val="1"/>
          <w:color w:val="auto"/>
        </w:rPr>
        <w:t>ac</w:t>
      </w:r>
      <w:r>
        <w:rPr>
          <w:rFonts w:ascii="Arial" w:cs="Arial" w:eastAsia="Arial" w:hAnsi="Arial"/>
          <w:sz w:val="27"/>
          <w:szCs w:val="27"/>
          <w:color w:val="auto"/>
          <w:vertAlign w:val="superscript"/>
        </w:rPr>
        <w:t>)</w:t>
      </w:r>
      <w:r>
        <w:rPr>
          <w:rFonts w:ascii="Arial" w:cs="Arial" w:eastAsia="Arial" w:hAnsi="Arial"/>
          <w:sz w:val="42"/>
          <w:szCs w:val="42"/>
          <w:color w:val="auto"/>
        </w:rPr>
        <w:t xml:space="preserve"> </w:t>
      </w:r>
      <w:r>
        <w:rPr>
          <w:rFonts w:ascii="Arial" w:cs="Arial" w:eastAsia="Arial" w:hAnsi="Arial"/>
          <w:sz w:val="42"/>
          <w:szCs w:val="42"/>
          <w:color w:val="auto"/>
          <w:vertAlign w:val="sub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1388745</wp:posOffset>
                </wp:positionH>
                <wp:positionV relativeFrom="paragraph">
                  <wp:posOffset>-20320</wp:posOffset>
                </wp:positionV>
                <wp:extent cx="1078865" cy="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8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35pt,-1.5999pt" to="194.3pt,-1.5999pt" o:allowincell="f" strokecolor="#000000" strokeweight="0.398pt"/>
            </w:pict>
          </mc:Fallback>
        </mc:AlternateContent>
      </w:r>
    </w:p>
    <w:p>
      <w:pPr>
        <w:ind w:left="2500"/>
        <w:spacing w:after="0"/>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11"/>
          <w:szCs w:val="11"/>
          <w:i w:val="1"/>
          <w:iCs w:val="1"/>
          <w:color w:val="auto"/>
        </w:rPr>
        <w:t>comp</w:t>
      </w:r>
      <w:r>
        <w:rPr>
          <w:rFonts w:ascii="Arial" w:cs="Arial" w:eastAsia="Arial" w:hAnsi="Arial"/>
          <w:sz w:val="16"/>
          <w:szCs w:val="16"/>
          <w:color w:val="auto"/>
        </w:rPr>
        <w:t>−</w:t>
      </w:r>
      <w:r>
        <w:rPr>
          <w:rFonts w:ascii="Arial" w:cs="Arial" w:eastAsia="Arial" w:hAnsi="Arial"/>
          <w:sz w:val="16"/>
          <w:szCs w:val="16"/>
          <w:i w:val="1"/>
          <w:iCs w:val="1"/>
          <w:color w:val="auto"/>
        </w:rPr>
        <w:t>i</w:t>
      </w:r>
      <w:r>
        <w:rPr>
          <w:rFonts w:ascii="Arial" w:cs="Arial" w:eastAsia="Arial" w:hAnsi="Arial"/>
          <w:sz w:val="11"/>
          <w:szCs w:val="11"/>
          <w:i w:val="1"/>
          <w:iCs w:val="1"/>
          <w:color w:val="auto"/>
        </w:rPr>
        <w:t>fgc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3175</wp:posOffset>
                </wp:positionV>
                <wp:extent cx="2580005" cy="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80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0.25pt" to="203.3pt,0.25pt" o:allowincell="f" strokecolor="#000000" strokeweight="0.398pt"/>
            </w:pict>
          </mc:Fallback>
        </mc:AlternateContent>
      </w:r>
    </w:p>
    <w:p>
      <w:pPr>
        <w:ind w:left="820"/>
        <w:spacing w:after="0" w:line="182" w:lineRule="auto"/>
        <w:rPr>
          <w:sz w:val="20"/>
          <w:szCs w:val="20"/>
          <w:color w:val="auto"/>
        </w:rPr>
      </w:pPr>
      <w:r>
        <w:rPr>
          <w:rFonts w:ascii="Arial" w:cs="Arial" w:eastAsia="Arial" w:hAnsi="Arial"/>
          <w:sz w:val="30"/>
          <w:szCs w:val="30"/>
          <w:color w:val="auto"/>
          <w:vertAlign w:val="superscript"/>
        </w:rPr>
        <w:t xml:space="preserve">1 </w:t>
      </w:r>
      <w:r>
        <w:rPr>
          <w:rFonts w:ascii="Arial" w:cs="Arial" w:eastAsia="Arial" w:hAnsi="Arial"/>
          <w:sz w:val="30"/>
          <w:szCs w:val="30"/>
          <w:color w:val="auto"/>
        </w:rPr>
        <w:t>−</w:t>
      </w:r>
      <w:r>
        <w:rPr>
          <w:rFonts w:ascii="Arial" w:cs="Arial" w:eastAsia="Arial" w:hAnsi="Arial"/>
          <w:sz w:val="21"/>
          <w:szCs w:val="21"/>
          <w:color w:val="auto"/>
        </w:rPr>
        <w:t xml:space="preserve"> </w:t>
      </w:r>
      <w:r>
        <w:rPr>
          <w:rFonts w:ascii="Arial" w:cs="Arial" w:eastAsia="Arial" w:hAnsi="Arial"/>
          <w:sz w:val="21"/>
          <w:szCs w:val="21"/>
          <w:color w:val="auto"/>
          <w:vertAlign w:val="subscript"/>
        </w:rPr>
        <w:t>−</w:t>
      </w:r>
      <w:r>
        <w:rPr>
          <w:rFonts w:ascii="Arial" w:cs="Arial" w:eastAsia="Arial" w:hAnsi="Arial"/>
          <w:sz w:val="21"/>
          <w:szCs w:val="21"/>
          <w:color w:val="auto"/>
        </w:rPr>
        <w:t xml:space="preserve"> </w:t>
      </w:r>
      <w:r>
        <w:rPr>
          <w:rFonts w:ascii="Arial" w:cs="Arial" w:eastAsia="Arial" w:hAnsi="Arial"/>
          <w:sz w:val="21"/>
          <w:szCs w:val="21"/>
          <w:i w:val="1"/>
          <w:iCs w:val="1"/>
          <w:color w:val="auto"/>
          <w:vertAlign w:val="superscript"/>
        </w:rPr>
        <w:t>i</w:t>
      </w:r>
      <w:r>
        <w:rPr>
          <w:rFonts w:ascii="Arial" w:cs="Arial" w:eastAsia="Arial" w:hAnsi="Arial"/>
          <w:sz w:val="17"/>
          <w:szCs w:val="17"/>
          <w:i w:val="1"/>
          <w:iCs w:val="1"/>
          <w:color w:val="auto"/>
          <w:vertAlign w:val="superscript"/>
        </w:rPr>
        <w:t>ll</w:t>
      </w:r>
      <w:r>
        <w:rPr>
          <w:rFonts w:ascii="Arial" w:cs="Arial" w:eastAsia="Arial" w:hAnsi="Arial"/>
          <w:sz w:val="21"/>
          <w:szCs w:val="21"/>
          <w:color w:val="auto"/>
          <w:vertAlign w:val="subscript"/>
        </w:rPr>
        <w:t>−</w:t>
      </w:r>
      <w:r>
        <w:rPr>
          <w:rFonts w:ascii="Arial" w:cs="Arial" w:eastAsia="Arial" w:hAnsi="Arial"/>
          <w:sz w:val="30"/>
          <w:szCs w:val="30"/>
          <w:color w:val="auto"/>
        </w:rPr>
        <w:t xml:space="preserve">   </w:t>
      </w:r>
      <w:r>
        <w:rPr>
          <w:rFonts w:ascii="Arial" w:cs="Arial" w:eastAsia="Arial" w:hAnsi="Arial"/>
          <w:sz w:val="30"/>
          <w:szCs w:val="30"/>
          <w:color w:val="auto"/>
          <w:vertAlign w:val="superscript"/>
        </w:rPr>
        <w:t>+</w:t>
      </w:r>
      <w:r>
        <w:rPr>
          <w:rFonts w:ascii="Arial" w:cs="Arial" w:eastAsia="Arial" w:hAnsi="Arial"/>
          <w:sz w:val="30"/>
          <w:szCs w:val="30"/>
          <w:color w:val="auto"/>
        </w:rPr>
        <w:t xml:space="preserve"> </w:t>
      </w:r>
      <w:r>
        <w:rPr>
          <w:rFonts w:ascii="Arial" w:cs="Arial" w:eastAsia="Arial" w:hAnsi="Arial"/>
          <w:sz w:val="30"/>
          <w:szCs w:val="30"/>
          <w:i w:val="1"/>
          <w:iCs w:val="1"/>
          <w:color w:val="auto"/>
          <w:vertAlign w:val="superscript"/>
        </w:rPr>
        <w:t>i</w:t>
      </w:r>
      <w:r>
        <w:rPr>
          <w:rFonts w:ascii="Arial" w:cs="Arial" w:eastAsia="Arial" w:hAnsi="Arial"/>
          <w:sz w:val="13"/>
          <w:szCs w:val="13"/>
          <w:i w:val="1"/>
          <w:iCs w:val="1"/>
          <w:color w:val="auto"/>
        </w:rPr>
        <w:t>pis</w:t>
      </w:r>
      <w:r>
        <w:rPr>
          <w:rFonts w:ascii="Arial" w:cs="Arial" w:eastAsia="Arial" w:hAnsi="Arial"/>
          <w:sz w:val="30"/>
          <w:szCs w:val="30"/>
          <w:color w:val="auto"/>
        </w:rPr>
        <w:t xml:space="preserve"> </w:t>
      </w:r>
      <w:r>
        <w:rPr>
          <w:rFonts w:ascii="Arial" w:cs="Arial" w:eastAsia="Arial" w:hAnsi="Arial"/>
          <w:sz w:val="30"/>
          <w:szCs w:val="30"/>
          <w:color w:val="auto"/>
          <w:vertAlign w:val="superscript"/>
        </w:rPr>
        <w:t>+</w:t>
      </w:r>
      <w:r>
        <w:rPr>
          <w:rFonts w:ascii="Arial" w:cs="Arial" w:eastAsia="Arial" w:hAnsi="Arial"/>
          <w:sz w:val="30"/>
          <w:szCs w:val="30"/>
          <w:color w:val="auto"/>
        </w:rPr>
        <w:t xml:space="preserve"> </w:t>
      </w:r>
      <w:r>
        <w:rPr>
          <w:rFonts w:ascii="Arial" w:cs="Arial" w:eastAsia="Arial" w:hAnsi="Arial"/>
          <w:sz w:val="30"/>
          <w:szCs w:val="30"/>
          <w:i w:val="1"/>
          <w:iCs w:val="1"/>
          <w:color w:val="auto"/>
          <w:vertAlign w:val="superscript"/>
        </w:rPr>
        <w:t>i</w:t>
      </w:r>
      <w:r>
        <w:rPr>
          <w:rFonts w:ascii="Arial" w:cs="Arial" w:eastAsia="Arial" w:hAnsi="Arial"/>
          <w:sz w:val="13"/>
          <w:szCs w:val="13"/>
          <w:i w:val="1"/>
          <w:iCs w:val="1"/>
          <w:color w:val="auto"/>
        </w:rPr>
        <w:t>cof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793750</wp:posOffset>
                </wp:positionH>
                <wp:positionV relativeFrom="paragraph">
                  <wp:posOffset>-52705</wp:posOffset>
                </wp:positionV>
                <wp:extent cx="473710" cy="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37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5pt,-4.1499pt" to="99.8pt,-4.1499pt" o:allowincell="f" strokecolor="#000000" strokeweight="0.398pt"/>
            </w:pict>
          </mc:Fallback>
        </mc:AlternateContent>
      </w:r>
    </w:p>
    <w:p>
      <w:pPr>
        <w:ind w:left="1260"/>
        <w:spacing w:after="0" w:line="193" w:lineRule="auto"/>
        <w:tabs>
          <w:tab w:leader="none" w:pos="1440" w:val="left"/>
        </w:tabs>
        <w:rPr>
          <w:sz w:val="20"/>
          <w:szCs w:val="20"/>
          <w:color w:val="auto"/>
        </w:rPr>
      </w:pPr>
      <w:r>
        <w:rPr>
          <w:rFonts w:ascii="Arial" w:cs="Arial" w:eastAsia="Arial" w:hAnsi="Arial"/>
          <w:sz w:val="12"/>
          <w:szCs w:val="12"/>
          <w:color w:val="auto"/>
          <w:vertAlign w:val="subscript"/>
        </w:rPr>
        <w:t>1</w:t>
      </w:r>
      <w:r>
        <w:rPr>
          <w:sz w:val="20"/>
          <w:szCs w:val="20"/>
          <w:color w:val="auto"/>
        </w:rPr>
        <w:tab/>
      </w:r>
      <w:r>
        <w:rPr>
          <w:rFonts w:ascii="Arial" w:cs="Arial" w:eastAsia="Arial" w:hAnsi="Arial"/>
          <w:sz w:val="12"/>
          <w:szCs w:val="12"/>
          <w:i w:val="1"/>
          <w:iCs w:val="1"/>
          <w:color w:val="auto"/>
          <w:vertAlign w:val="subscript"/>
        </w:rPr>
        <w:t>i</w:t>
      </w:r>
      <w:r>
        <w:rPr>
          <w:rFonts w:ascii="Arial" w:cs="Arial" w:eastAsia="Arial" w:hAnsi="Arial"/>
          <w:sz w:val="7"/>
          <w:szCs w:val="7"/>
          <w:i w:val="1"/>
          <w:iCs w:val="1"/>
          <w:color w:val="auto"/>
        </w:rPr>
        <w:t>ir</w:t>
      </w:r>
      <w:r>
        <w:rPr>
          <w:rFonts w:ascii="Arial" w:cs="Arial" w:eastAsia="Arial" w:hAnsi="Arial"/>
          <w:sz w:val="12"/>
          <w:szCs w:val="12"/>
          <w:i w:val="1"/>
          <w:iCs w:val="1"/>
          <w:color w:val="auto"/>
        </w:rPr>
        <w:t xml:space="preserve">  </w:t>
      </w:r>
      <w:r>
        <w:rPr>
          <w:rFonts w:ascii="Arial" w:cs="Arial" w:eastAsia="Arial" w:hAnsi="Arial"/>
          <w:sz w:val="12"/>
          <w:szCs w:val="12"/>
          <w:i w:val="1"/>
          <w:iCs w:val="1"/>
          <w:color w:val="auto"/>
          <w:vertAlign w:val="subscript"/>
        </w:rPr>
        <w:t>i</w:t>
      </w:r>
      <w:r>
        <w:rPr>
          <w:rFonts w:ascii="Arial" w:cs="Arial" w:eastAsia="Arial" w:hAnsi="Arial"/>
          <w:sz w:val="10"/>
          <w:szCs w:val="10"/>
          <w:i w:val="1"/>
          <w:iCs w:val="1"/>
          <w:color w:val="auto"/>
          <w:vertAlign w:val="subscript"/>
        </w:rPr>
        <w:t>cs</w:t>
      </w:r>
    </w:p>
    <w:p>
      <w:pPr>
        <w:spacing w:after="0" w:line="92" w:lineRule="exact"/>
        <w:rPr>
          <w:sz w:val="20"/>
          <w:szCs w:val="20"/>
          <w:color w:val="auto"/>
        </w:rPr>
      </w:pPr>
    </w:p>
    <w:p>
      <w:pPr>
        <w:ind w:left="80"/>
        <w:spacing w:after="0" w:line="402" w:lineRule="exact"/>
        <w:rPr>
          <w:sz w:val="20"/>
          <w:szCs w:val="20"/>
          <w:color w:val="auto"/>
        </w:rPr>
      </w:pPr>
      <w:r>
        <w:rPr>
          <w:rFonts w:ascii="Arial" w:cs="Arial" w:eastAsia="Arial" w:hAnsi="Arial"/>
          <w:sz w:val="23"/>
          <w:szCs w:val="23"/>
          <w:i w:val="1"/>
          <w:iCs w:val="1"/>
          <w:color w:val="auto"/>
        </w:rPr>
        <w:t>E</w:t>
      </w:r>
      <w:r>
        <w:rPr>
          <w:rFonts w:ascii="Arial" w:cs="Arial" w:eastAsia="Arial" w:hAnsi="Arial"/>
          <w:sz w:val="30"/>
          <w:szCs w:val="30"/>
          <w:i w:val="1"/>
          <w:iCs w:val="1"/>
          <w:color w:val="auto"/>
          <w:vertAlign w:val="subscript"/>
        </w:rPr>
        <w:t>dav</w:t>
      </w:r>
      <w:r>
        <w:rPr>
          <w:rFonts w:ascii="Arial Unicode MS" w:cs="Arial Unicode MS" w:eastAsia="Arial Unicode MS" w:hAnsi="Arial Unicode MS"/>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i</w:t>
      </w:r>
      <w:r>
        <w:rPr>
          <w:rFonts w:ascii="Arial" w:cs="Arial" w:eastAsia="Arial" w:hAnsi="Arial"/>
          <w:sz w:val="30"/>
          <w:szCs w:val="30"/>
          <w:i w:val="1"/>
          <w:iCs w:val="1"/>
          <w:color w:val="auto"/>
          <w:vertAlign w:val="subscript"/>
        </w:rPr>
        <w:t>adm</w:t>
      </w:r>
      <w:r>
        <w:rPr>
          <w:rFonts w:ascii="Arial" w:cs="Arial" w:eastAsia="Arial" w:hAnsi="Arial"/>
          <w:sz w:val="23"/>
          <w:szCs w:val="23"/>
          <w:color w:val="auto"/>
        </w:rPr>
        <w:t xml:space="preserve"> + </w:t>
      </w:r>
      <w:r>
        <w:rPr>
          <w:rFonts w:ascii="Arial" w:cs="Arial" w:eastAsia="Arial" w:hAnsi="Arial"/>
          <w:sz w:val="23"/>
          <w:szCs w:val="23"/>
          <w:i w:val="1"/>
          <w:iCs w:val="1"/>
          <w:color w:val="auto"/>
        </w:rPr>
        <w:t>i</w:t>
      </w:r>
      <w:r>
        <w:rPr>
          <w:rFonts w:ascii="Arial" w:cs="Arial" w:eastAsia="Arial" w:hAnsi="Arial"/>
          <w:sz w:val="30"/>
          <w:szCs w:val="30"/>
          <w:i w:val="1"/>
          <w:iCs w:val="1"/>
          <w:color w:val="auto"/>
          <w:vertAlign w:val="subscript"/>
        </w:rPr>
        <w:t>ind</w:t>
      </w:r>
      <w:r>
        <w:rPr>
          <w:rFonts w:ascii="Arial" w:cs="Arial" w:eastAsia="Arial" w:hAnsi="Arial"/>
          <w:sz w:val="23"/>
          <w:szCs w:val="23"/>
          <w:color w:val="auto"/>
        </w:rPr>
        <w:t xml:space="preserve"> + </w:t>
      </w:r>
      <w:r>
        <w:rPr>
          <w:rFonts w:ascii="Arial" w:cs="Arial" w:eastAsia="Arial" w:hAnsi="Arial"/>
          <w:sz w:val="23"/>
          <w:szCs w:val="23"/>
          <w:i w:val="1"/>
          <w:iCs w:val="1"/>
          <w:color w:val="auto"/>
        </w:rPr>
        <w:t>i</w:t>
      </w:r>
      <w:r>
        <w:rPr>
          <w:rFonts w:ascii="Arial" w:cs="Arial" w:eastAsia="Arial" w:hAnsi="Arial"/>
          <w:sz w:val="30"/>
          <w:szCs w:val="30"/>
          <w:i w:val="1"/>
          <w:iCs w:val="1"/>
          <w:color w:val="auto"/>
          <w:vertAlign w:val="subscript"/>
        </w:rPr>
        <w:t>coav</w:t>
      </w:r>
      <w:r>
        <w:rPr>
          <w:rFonts w:ascii="Arial" w:cs="Arial" w:eastAsia="Arial" w:hAnsi="Arial"/>
          <w:sz w:val="23"/>
          <w:szCs w:val="23"/>
          <w:color w:val="auto"/>
        </w:rPr>
        <w:t xml:space="preserve"> − (</w:t>
      </w:r>
      <w:r>
        <w:rPr>
          <w:rFonts w:ascii="Arial" w:cs="Arial" w:eastAsia="Arial" w:hAnsi="Arial"/>
          <w:sz w:val="30"/>
          <w:szCs w:val="30"/>
          <w:color w:val="auto"/>
          <w:vertAlign w:val="superscript"/>
        </w:rPr>
        <w:t>(</w:t>
      </w:r>
      <w:r>
        <w:rPr>
          <w:rFonts w:ascii="Arial" w:cs="Arial" w:eastAsia="Arial" w:hAnsi="Arial"/>
          <w:sz w:val="30"/>
          <w:szCs w:val="30"/>
          <w:i w:val="1"/>
          <w:iCs w:val="1"/>
          <w:color w:val="auto"/>
          <w:vertAlign w:val="superscript"/>
        </w:rPr>
        <w:t>i</w:t>
      </w:r>
      <w:r>
        <w:rPr>
          <w:rFonts w:ascii="Arial" w:cs="Arial" w:eastAsia="Arial" w:hAnsi="Arial"/>
          <w:sz w:val="23"/>
          <w:szCs w:val="23"/>
          <w:i w:val="1"/>
          <w:iCs w:val="1"/>
          <w:color w:val="auto"/>
          <w:vertAlign w:val="superscript"/>
        </w:rPr>
        <w:t>comp</w:t>
      </w:r>
      <w:r>
        <w:rPr>
          <w:rFonts w:ascii="Arial Unicode MS" w:cs="Arial Unicode MS" w:eastAsia="Arial Unicode MS" w:hAnsi="Arial Unicode MS"/>
          <w:sz w:val="30"/>
          <w:szCs w:val="30"/>
          <w:color w:val="auto"/>
          <w:vertAlign w:val="superscript"/>
        </w:rPr>
        <w:t>∗</w:t>
      </w:r>
      <w:r>
        <w:rPr>
          <w:rFonts w:ascii="Arial" w:cs="Arial" w:eastAsia="Arial" w:hAnsi="Arial"/>
          <w:sz w:val="30"/>
          <w:szCs w:val="30"/>
          <w:i w:val="1"/>
          <w:iCs w:val="1"/>
          <w:color w:val="auto"/>
          <w:vertAlign w:val="superscript"/>
        </w:rPr>
        <w:t>i</w:t>
      </w:r>
      <w:r>
        <w:rPr>
          <w:rFonts w:ascii="Arial" w:cs="Arial" w:eastAsia="Arial" w:hAnsi="Arial"/>
          <w:sz w:val="23"/>
          <w:szCs w:val="23"/>
          <w:i w:val="1"/>
          <w:iCs w:val="1"/>
          <w:color w:val="auto"/>
          <w:vertAlign w:val="superscript"/>
        </w:rPr>
        <w:t>ac</w:t>
      </w:r>
      <w:r>
        <w:rPr>
          <w:rFonts w:ascii="Arial" w:cs="Arial" w:eastAsia="Arial" w:hAnsi="Arial"/>
          <w:sz w:val="30"/>
          <w:szCs w:val="30"/>
          <w:color w:val="auto"/>
          <w:vertAlign w:val="superscript"/>
        </w:rPr>
        <w:t>)</w:t>
      </w:r>
      <w:r>
        <w:rPr>
          <w:rFonts w:ascii="Arial" w:cs="Arial" w:eastAsia="Arial" w:hAnsi="Arial"/>
          <w:sz w:val="23"/>
          <w:szCs w:val="23"/>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1887855</wp:posOffset>
                </wp:positionH>
                <wp:positionV relativeFrom="paragraph">
                  <wp:posOffset>-20320</wp:posOffset>
                </wp:positionV>
                <wp:extent cx="537845"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78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65pt,-1.5999pt" to="191pt,-1.5999pt" o:allowincell="f" strokecolor="#000000" strokeweight="0.398pt"/>
            </w:pict>
          </mc:Fallback>
        </mc:AlternateContent>
      </w:r>
    </w:p>
    <w:p>
      <w:pPr>
        <w:ind w:left="3080"/>
        <w:spacing w:after="0"/>
        <w:rPr>
          <w:sz w:val="20"/>
          <w:szCs w:val="20"/>
          <w:color w:val="auto"/>
        </w:rPr>
      </w:pPr>
      <w:r>
        <w:rPr>
          <w:rFonts w:ascii="Arial" w:cs="Arial" w:eastAsia="Arial" w:hAnsi="Arial"/>
          <w:sz w:val="16"/>
          <w:szCs w:val="16"/>
          <w:color w:val="auto"/>
        </w:rPr>
        <w:t>1−</w:t>
      </w:r>
      <w:r>
        <w:rPr>
          <w:rFonts w:ascii="Arial" w:cs="Arial" w:eastAsia="Arial" w:hAnsi="Arial"/>
          <w:sz w:val="16"/>
          <w:szCs w:val="16"/>
          <w:i w:val="1"/>
          <w:iCs w:val="1"/>
          <w:color w:val="auto"/>
        </w:rPr>
        <w:t>i</w:t>
      </w:r>
      <w:r>
        <w:rPr>
          <w:rFonts w:ascii="Arial" w:cs="Arial" w:eastAsia="Arial" w:hAnsi="Arial"/>
          <w:sz w:val="11"/>
          <w:szCs w:val="11"/>
          <w:i w:val="1"/>
          <w:iCs w:val="1"/>
          <w:color w:val="auto"/>
        </w:rPr>
        <w:t>comp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45085</wp:posOffset>
                </wp:positionH>
                <wp:positionV relativeFrom="paragraph">
                  <wp:posOffset>-1905</wp:posOffset>
                </wp:positionV>
                <wp:extent cx="2494915"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94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pt,-0.1499pt" to="200pt,-0.1499pt" o:allowincell="f" strokecolor="#000000" strokeweight="0.398pt"/>
            </w:pict>
          </mc:Fallback>
        </mc:AlternateContent>
      </w:r>
    </w:p>
    <w:p>
      <w:pPr>
        <w:ind w:left="820"/>
        <w:spacing w:after="0" w:line="182" w:lineRule="auto"/>
        <w:rPr>
          <w:sz w:val="20"/>
          <w:szCs w:val="20"/>
          <w:color w:val="auto"/>
        </w:rPr>
      </w:pPr>
      <w:r>
        <w:rPr>
          <w:rFonts w:ascii="Arial" w:cs="Arial" w:eastAsia="Arial" w:hAnsi="Arial"/>
          <w:sz w:val="29"/>
          <w:szCs w:val="29"/>
          <w:color w:val="auto"/>
          <w:vertAlign w:val="superscript"/>
        </w:rPr>
        <w:t xml:space="preserve">1 </w:t>
      </w:r>
      <w:r>
        <w:rPr>
          <w:rFonts w:ascii="Arial" w:cs="Arial" w:eastAsia="Arial" w:hAnsi="Arial"/>
          <w:sz w:val="29"/>
          <w:szCs w:val="29"/>
          <w:color w:val="auto"/>
        </w:rPr>
        <w:t>−</w:t>
      </w:r>
      <w:r>
        <w:rPr>
          <w:rFonts w:ascii="Arial" w:cs="Arial" w:eastAsia="Arial" w:hAnsi="Arial"/>
          <w:sz w:val="21"/>
          <w:szCs w:val="21"/>
          <w:color w:val="auto"/>
        </w:rPr>
        <w:t xml:space="preserve"> </w:t>
      </w:r>
      <w:r>
        <w:rPr>
          <w:rFonts w:ascii="Arial" w:cs="Arial" w:eastAsia="Arial" w:hAnsi="Arial"/>
          <w:sz w:val="21"/>
          <w:szCs w:val="21"/>
          <w:color w:val="auto"/>
          <w:vertAlign w:val="subscript"/>
        </w:rPr>
        <w:t>−</w:t>
      </w:r>
      <w:r>
        <w:rPr>
          <w:rFonts w:ascii="Arial" w:cs="Arial" w:eastAsia="Arial" w:hAnsi="Arial"/>
          <w:sz w:val="21"/>
          <w:szCs w:val="21"/>
          <w:color w:val="auto"/>
        </w:rPr>
        <w:t xml:space="preserve"> </w:t>
      </w:r>
      <w:r>
        <w:rPr>
          <w:rFonts w:ascii="Arial" w:cs="Arial" w:eastAsia="Arial" w:hAnsi="Arial"/>
          <w:sz w:val="21"/>
          <w:szCs w:val="21"/>
          <w:i w:val="1"/>
          <w:iCs w:val="1"/>
          <w:color w:val="auto"/>
          <w:vertAlign w:val="superscript"/>
        </w:rPr>
        <w:t>i</w:t>
      </w:r>
      <w:r>
        <w:rPr>
          <w:rFonts w:ascii="Arial" w:cs="Arial" w:eastAsia="Arial" w:hAnsi="Arial"/>
          <w:sz w:val="17"/>
          <w:szCs w:val="17"/>
          <w:i w:val="1"/>
          <w:iCs w:val="1"/>
          <w:color w:val="auto"/>
          <w:vertAlign w:val="superscript"/>
        </w:rPr>
        <w:t>ll</w:t>
      </w:r>
      <w:r>
        <w:rPr>
          <w:rFonts w:ascii="Arial" w:cs="Arial" w:eastAsia="Arial" w:hAnsi="Arial"/>
          <w:sz w:val="21"/>
          <w:szCs w:val="21"/>
          <w:color w:val="auto"/>
          <w:vertAlign w:val="subscript"/>
        </w:rPr>
        <w:t>−</w:t>
      </w:r>
      <w:r>
        <w:rPr>
          <w:rFonts w:ascii="Arial" w:cs="Arial" w:eastAsia="Arial" w:hAnsi="Arial"/>
          <w:sz w:val="29"/>
          <w:szCs w:val="29"/>
          <w:color w:val="auto"/>
        </w:rPr>
        <w:t xml:space="preserve">   </w:t>
      </w:r>
      <w:r>
        <w:rPr>
          <w:rFonts w:ascii="Arial" w:cs="Arial" w:eastAsia="Arial" w:hAnsi="Arial"/>
          <w:sz w:val="29"/>
          <w:szCs w:val="29"/>
          <w:color w:val="auto"/>
          <w:vertAlign w:val="superscript"/>
        </w:rPr>
        <w:t>+</w:t>
      </w:r>
      <w:r>
        <w:rPr>
          <w:rFonts w:ascii="Arial" w:cs="Arial" w:eastAsia="Arial" w:hAnsi="Arial"/>
          <w:sz w:val="29"/>
          <w:szCs w:val="29"/>
          <w:color w:val="auto"/>
        </w:rPr>
        <w:t xml:space="preserve"> </w:t>
      </w:r>
      <w:r>
        <w:rPr>
          <w:rFonts w:ascii="Arial" w:cs="Arial" w:eastAsia="Arial" w:hAnsi="Arial"/>
          <w:sz w:val="29"/>
          <w:szCs w:val="29"/>
          <w:i w:val="1"/>
          <w:iCs w:val="1"/>
          <w:color w:val="auto"/>
          <w:vertAlign w:val="superscript"/>
        </w:rPr>
        <w:t>i</w:t>
      </w:r>
      <w:r>
        <w:rPr>
          <w:rFonts w:ascii="Arial" w:cs="Arial" w:eastAsia="Arial" w:hAnsi="Arial"/>
          <w:sz w:val="13"/>
          <w:szCs w:val="13"/>
          <w:i w:val="1"/>
          <w:iCs w:val="1"/>
          <w:color w:val="auto"/>
        </w:rPr>
        <w:t>pis</w:t>
      </w:r>
      <w:r>
        <w:rPr>
          <w:rFonts w:ascii="Arial" w:cs="Arial" w:eastAsia="Arial" w:hAnsi="Arial"/>
          <w:sz w:val="29"/>
          <w:szCs w:val="29"/>
          <w:color w:val="auto"/>
        </w:rPr>
        <w:t xml:space="preserve"> </w:t>
      </w:r>
      <w:r>
        <w:rPr>
          <w:rFonts w:ascii="Arial" w:cs="Arial" w:eastAsia="Arial" w:hAnsi="Arial"/>
          <w:sz w:val="29"/>
          <w:szCs w:val="29"/>
          <w:color w:val="auto"/>
          <w:vertAlign w:val="superscript"/>
        </w:rPr>
        <w:t>+</w:t>
      </w:r>
      <w:r>
        <w:rPr>
          <w:rFonts w:ascii="Arial" w:cs="Arial" w:eastAsia="Arial" w:hAnsi="Arial"/>
          <w:sz w:val="29"/>
          <w:szCs w:val="29"/>
          <w:color w:val="auto"/>
        </w:rPr>
        <w:t xml:space="preserve"> </w:t>
      </w:r>
      <w:r>
        <w:rPr>
          <w:rFonts w:ascii="Arial" w:cs="Arial" w:eastAsia="Arial" w:hAnsi="Arial"/>
          <w:sz w:val="29"/>
          <w:szCs w:val="29"/>
          <w:i w:val="1"/>
          <w:iCs w:val="1"/>
          <w:color w:val="auto"/>
          <w:vertAlign w:val="superscript"/>
        </w:rPr>
        <w:t>i</w:t>
      </w:r>
      <w:r>
        <w:rPr>
          <w:rFonts w:ascii="Arial" w:cs="Arial" w:eastAsia="Arial" w:hAnsi="Arial"/>
          <w:sz w:val="13"/>
          <w:szCs w:val="13"/>
          <w:i w:val="1"/>
          <w:iCs w:val="1"/>
          <w:color w:val="auto"/>
        </w:rPr>
        <w:t>cof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794385</wp:posOffset>
                </wp:positionH>
                <wp:positionV relativeFrom="paragraph">
                  <wp:posOffset>-52070</wp:posOffset>
                </wp:positionV>
                <wp:extent cx="474345"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4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2.55pt,-4.0999pt" to="99.9pt,-4.0999pt" o:allowincell="f" strokecolor="#000000" strokeweight="0.398pt"/>
            </w:pict>
          </mc:Fallback>
        </mc:AlternateContent>
      </w:r>
    </w:p>
    <w:p>
      <w:pPr>
        <w:ind w:left="1260"/>
        <w:spacing w:after="0" w:line="194" w:lineRule="auto"/>
        <w:tabs>
          <w:tab w:leader="none" w:pos="1440" w:val="left"/>
        </w:tabs>
        <w:rPr>
          <w:sz w:val="20"/>
          <w:szCs w:val="20"/>
          <w:color w:val="auto"/>
        </w:rPr>
      </w:pPr>
      <w:r>
        <w:rPr>
          <w:rFonts w:ascii="Arial" w:cs="Arial" w:eastAsia="Arial" w:hAnsi="Arial"/>
          <w:sz w:val="12"/>
          <w:szCs w:val="12"/>
          <w:color w:val="auto"/>
          <w:vertAlign w:val="subscript"/>
        </w:rPr>
        <w:t>1</w:t>
      </w:r>
      <w:r>
        <w:rPr>
          <w:sz w:val="20"/>
          <w:szCs w:val="20"/>
          <w:color w:val="auto"/>
        </w:rPr>
        <w:tab/>
      </w:r>
      <w:r>
        <w:rPr>
          <w:rFonts w:ascii="Arial" w:cs="Arial" w:eastAsia="Arial" w:hAnsi="Arial"/>
          <w:sz w:val="12"/>
          <w:szCs w:val="12"/>
          <w:i w:val="1"/>
          <w:iCs w:val="1"/>
          <w:color w:val="auto"/>
          <w:vertAlign w:val="subscript"/>
        </w:rPr>
        <w:t>i</w:t>
      </w:r>
      <w:r>
        <w:rPr>
          <w:rFonts w:ascii="Arial" w:cs="Arial" w:eastAsia="Arial" w:hAnsi="Arial"/>
          <w:sz w:val="7"/>
          <w:szCs w:val="7"/>
          <w:i w:val="1"/>
          <w:iCs w:val="1"/>
          <w:color w:val="auto"/>
        </w:rPr>
        <w:t>ir</w:t>
      </w:r>
      <w:r>
        <w:rPr>
          <w:rFonts w:ascii="Arial" w:cs="Arial" w:eastAsia="Arial" w:hAnsi="Arial"/>
          <w:sz w:val="12"/>
          <w:szCs w:val="12"/>
          <w:i w:val="1"/>
          <w:iCs w:val="1"/>
          <w:color w:val="auto"/>
        </w:rPr>
        <w:t xml:space="preserve">  </w:t>
      </w:r>
      <w:r>
        <w:rPr>
          <w:rFonts w:ascii="Arial" w:cs="Arial" w:eastAsia="Arial" w:hAnsi="Arial"/>
          <w:sz w:val="12"/>
          <w:szCs w:val="12"/>
          <w:i w:val="1"/>
          <w:iCs w:val="1"/>
          <w:color w:val="auto"/>
          <w:vertAlign w:val="subscript"/>
        </w:rPr>
        <w:t>i</w:t>
      </w:r>
      <w:r>
        <w:rPr>
          <w:rFonts w:ascii="Arial" w:cs="Arial" w:eastAsia="Arial" w:hAnsi="Arial"/>
          <w:sz w:val="10"/>
          <w:szCs w:val="10"/>
          <w:i w:val="1"/>
          <w:iCs w:val="1"/>
          <w:color w:val="auto"/>
          <w:vertAlign w:val="subscript"/>
        </w:rPr>
        <w:t>cs</w:t>
      </w:r>
    </w:p>
    <w:p>
      <w:pPr>
        <w:spacing w:after="0" w:line="365" w:lineRule="exact"/>
        <w:rPr>
          <w:sz w:val="20"/>
          <w:szCs w:val="20"/>
          <w:color w:val="auto"/>
        </w:rPr>
      </w:pPr>
    </w:p>
    <w:p>
      <w:pPr>
        <w:ind w:left="100"/>
        <w:spacing w:after="0" w:line="357" w:lineRule="exact"/>
        <w:rPr>
          <w:sz w:val="20"/>
          <w:szCs w:val="20"/>
          <w:color w:val="auto"/>
        </w:rPr>
      </w:pPr>
      <w:r>
        <w:rPr>
          <w:rFonts w:ascii="Arial" w:cs="Arial" w:eastAsia="Arial" w:hAnsi="Arial"/>
          <w:sz w:val="24"/>
          <w:szCs w:val="24"/>
          <w:i w:val="1"/>
          <w:iCs w:val="1"/>
          <w:color w:val="auto"/>
        </w:rPr>
        <w:t>R</w:t>
      </w:r>
      <w:r>
        <w:rPr>
          <w:rFonts w:ascii="Arial" w:cs="Arial" w:eastAsia="Arial" w:hAnsi="Arial"/>
          <w:sz w:val="24"/>
          <w:szCs w:val="24"/>
          <w:color w:val="auto"/>
        </w:rPr>
        <w:t xml:space="preserve"> =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pr</w:t>
      </w:r>
      <w:r>
        <w:rPr>
          <w:rFonts w:ascii="Arial" w:cs="Arial" w:eastAsia="Arial" w:hAnsi="Arial"/>
          <w:sz w:val="24"/>
          <w:szCs w:val="24"/>
          <w:color w:val="auto"/>
        </w:rPr>
        <w:t xml:space="preserve"> +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dav</w:t>
      </w:r>
      <w:r>
        <w:rPr>
          <w:rFonts w:ascii="Arial" w:cs="Arial" w:eastAsia="Arial" w:hAnsi="Arial"/>
          <w:sz w:val="24"/>
          <w:szCs w:val="24"/>
          <w:color w:val="auto"/>
        </w:rPr>
        <w:t xml:space="preserve"> + </w:t>
      </w:r>
      <w:r>
        <w:rPr>
          <w:rFonts w:ascii="Arial" w:cs="Arial" w:eastAsia="Arial" w:hAnsi="Arial"/>
          <w:sz w:val="24"/>
          <w:szCs w:val="24"/>
          <w:i w:val="1"/>
          <w:iCs w:val="1"/>
          <w:color w:val="auto"/>
        </w:rPr>
        <w:t>D</w:t>
      </w:r>
      <w:r>
        <w:rPr>
          <w:rFonts w:ascii="Arial" w:cs="Arial" w:eastAsia="Arial" w:hAnsi="Arial"/>
          <w:sz w:val="31"/>
          <w:szCs w:val="31"/>
          <w:i w:val="1"/>
          <w:iCs w:val="1"/>
          <w:color w:val="auto"/>
          <w:vertAlign w:val="subscript"/>
        </w:rPr>
        <w:t>dap</w:t>
      </w:r>
      <w:r>
        <w:rPr>
          <w:rFonts w:ascii="Arial" w:cs="Arial" w:eastAsia="Arial" w:hAnsi="Arial"/>
          <w:sz w:val="24"/>
          <w:szCs w:val="24"/>
          <w:color w:val="auto"/>
        </w:rPr>
        <w:t>)</w:t>
      </w:r>
      <w:r>
        <w:rPr>
          <w:rFonts w:ascii="Arial Unicode MS" w:cs="Arial Unicode MS" w:eastAsia="Arial Unicode MS" w:hAnsi="Arial Unicode MS"/>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i</w:t>
      </w:r>
      <w:r>
        <w:rPr>
          <w:rFonts w:ascii="Arial" w:cs="Arial" w:eastAsia="Arial" w:hAnsi="Arial"/>
          <w:sz w:val="31"/>
          <w:szCs w:val="31"/>
          <w:i w:val="1"/>
          <w:iCs w:val="1"/>
          <w:color w:val="auto"/>
          <w:vertAlign w:val="subscript"/>
        </w:rPr>
        <w:t>apl</w:t>
      </w:r>
    </w:p>
    <w:p>
      <w:pPr>
        <w:spacing w:after="0" w:line="174" w:lineRule="exact"/>
        <w:rPr>
          <w:sz w:val="20"/>
          <w:szCs w:val="20"/>
          <w:color w:val="auto"/>
        </w:rPr>
      </w:pPr>
    </w:p>
    <w:p>
      <w:pPr>
        <w:sectPr>
          <w:pgSz w:w="11900" w:h="16838" w:orient="portrait"/>
          <w:cols w:equalWidth="0" w:num="2">
            <w:col w:w="3120" w:space="20"/>
            <w:col w:w="6220"/>
          </w:cols>
          <w:pgMar w:left="1440" w:top="991" w:right="1106" w:bottom="289" w:gutter="0" w:footer="0" w:header="0"/>
          <w:type w:val="continuous"/>
        </w:sectPr>
      </w:pPr>
    </w:p>
    <w:p>
      <w:pPr>
        <w:ind w:left="260"/>
        <w:spacing w:after="0" w:line="310" w:lineRule="auto"/>
        <w:rPr>
          <w:sz w:val="20"/>
          <w:szCs w:val="20"/>
          <w:color w:val="auto"/>
        </w:rPr>
      </w:pPr>
      <w:r>
        <w:rPr>
          <w:rFonts w:ascii="Arial" w:cs="Arial" w:eastAsia="Arial" w:hAnsi="Arial"/>
          <w:sz w:val="24"/>
          <w:szCs w:val="24"/>
          <w:color w:val="auto"/>
        </w:rPr>
        <w:t>Dessa forma o spread ex-post, nas formas de precificação e aplicação de juros assumi-ram as formas abaixo respectivamente.</w:t>
      </w:r>
    </w:p>
    <w:p>
      <w:pPr>
        <w:jc w:val="center"/>
        <w:ind w:right="-19"/>
        <w:spacing w:after="0" w:line="520" w:lineRule="exact"/>
        <w:rPr>
          <w:sz w:val="20"/>
          <w:szCs w:val="20"/>
          <w:color w:val="auto"/>
        </w:rPr>
      </w:pPr>
      <w:r>
        <w:rPr>
          <w:rFonts w:ascii="Arial" w:cs="Arial" w:eastAsia="Arial" w:hAnsi="Arial"/>
          <w:sz w:val="48"/>
          <w:szCs w:val="48"/>
          <w:i w:val="1"/>
          <w:iCs w:val="1"/>
          <w:color w:val="auto"/>
          <w:vertAlign w:val="subscript"/>
        </w:rPr>
        <w:t>SprEp</w:t>
      </w:r>
      <w:r>
        <w:rPr>
          <w:rFonts w:ascii="Arial" w:cs="Arial" w:eastAsia="Arial" w:hAnsi="Arial"/>
          <w:sz w:val="47"/>
          <w:szCs w:val="47"/>
          <w:color w:val="auto"/>
          <w:vertAlign w:val="subscript"/>
        </w:rPr>
        <w:t xml:space="preserve"> = </w:t>
      </w:r>
      <w:r>
        <w:rPr>
          <w:rFonts w:ascii="Arial" w:cs="Arial" w:eastAsia="Arial" w:hAnsi="Arial"/>
          <w:sz w:val="47"/>
          <w:szCs w:val="47"/>
          <w:color w:val="auto"/>
          <w:vertAlign w:val="superscript"/>
        </w:rPr>
        <w:t>(</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pr</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dav</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dap</w:t>
      </w:r>
      <w:r>
        <w:rPr>
          <w:rFonts w:ascii="Arial" w:cs="Arial" w:eastAsia="Arial" w:hAnsi="Arial"/>
          <w:sz w:val="48"/>
          <w:szCs w:val="48"/>
          <w:color w:val="auto"/>
          <w:vertAlign w:val="superscript"/>
        </w:rPr>
        <w:t>)</w:t>
      </w:r>
      <w:r>
        <w:rPr>
          <w:rFonts w:ascii="Arial Unicode MS" w:cs="Arial Unicode MS" w:eastAsia="Arial Unicode MS" w:hAnsi="Arial Unicode MS"/>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apl</w:t>
      </w:r>
      <w:r>
        <w:rPr>
          <w:rFonts w:ascii="Arial" w:cs="Arial" w:eastAsia="Arial" w:hAnsi="Arial"/>
          <w:sz w:val="48"/>
          <w:szCs w:val="48"/>
          <w:color w:val="auto"/>
        </w:rPr>
        <w:t xml:space="preserve"> </w:t>
      </w:r>
      <w:r>
        <w:rPr>
          <w:rFonts w:ascii="Arial" w:cs="Arial" w:eastAsia="Arial" w:hAnsi="Arial"/>
          <w:sz w:val="48"/>
          <w:szCs w:val="48"/>
          <w:color w:val="auto"/>
          <w:vertAlign w:val="subscript"/>
        </w:rPr>
        <w:t>−</w:t>
      </w:r>
      <w:r>
        <w:rPr>
          <w:rFonts w:ascii="Arial" w:cs="Arial" w:eastAsia="Arial" w:hAnsi="Arial"/>
          <w:sz w:val="48"/>
          <w:szCs w:val="48"/>
          <w:color w:val="auto"/>
        </w:rPr>
        <w:t xml:space="preserve"> </w:t>
      </w:r>
      <w:r>
        <w:rPr>
          <w:rFonts w:ascii="Arial" w:cs="Arial" w:eastAsia="Arial" w:hAnsi="Arial"/>
          <w:sz w:val="48"/>
          <w:szCs w:val="48"/>
          <w:color w:val="auto"/>
          <w:vertAlign w:val="subscript"/>
        </w:rPr>
        <w:t>(</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cap</w:t>
      </w:r>
      <w:r>
        <w:rPr>
          <w:rFonts w:ascii="Arial" w:cs="Arial" w:eastAsia="Arial" w:hAnsi="Arial"/>
          <w:sz w:val="48"/>
          <w:szCs w:val="48"/>
          <w:color w:val="auto"/>
        </w:rPr>
        <w:t xml:space="preserve"> </w:t>
      </w:r>
      <w:r>
        <w:rPr>
          <w:rFonts w:ascii="Arial" w:cs="Arial" w:eastAsia="Arial" w:hAnsi="Arial"/>
          <w:sz w:val="48"/>
          <w:szCs w:val="48"/>
          <w:color w:val="auto"/>
          <w:vertAlign w:val="sub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2160905</wp:posOffset>
                </wp:positionH>
                <wp:positionV relativeFrom="paragraph">
                  <wp:posOffset>-36195</wp:posOffset>
                </wp:positionV>
                <wp:extent cx="1657350"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73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0.15pt,-2.8499pt" to="300.65pt,-2.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4091940</wp:posOffset>
                </wp:positionH>
                <wp:positionV relativeFrom="paragraph">
                  <wp:posOffset>-36195</wp:posOffset>
                </wp:positionV>
                <wp:extent cx="287655"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2.2pt,-2.8499pt" to="344.85pt,-2.8499pt" o:allowincell="f" strokecolor="#000000" strokeweight="0.398pt"/>
            </w:pict>
          </mc:Fallback>
        </mc:AlternateContent>
      </w:r>
    </w:p>
    <w:p>
      <w:pPr>
        <w:ind w:left="4620"/>
        <w:spacing w:after="0" w:line="194" w:lineRule="auto"/>
        <w:tabs>
          <w:tab w:leader="none" w:pos="6560" w:val="left"/>
        </w:tabs>
        <w:rPr>
          <w:sz w:val="20"/>
          <w:szCs w:val="20"/>
          <w:color w:val="auto"/>
        </w:rPr>
      </w:pPr>
      <w:r>
        <w:rPr>
          <w:rFonts w:ascii="Arial" w:cs="Arial" w:eastAsia="Arial" w:hAnsi="Arial"/>
          <w:sz w:val="24"/>
          <w:szCs w:val="24"/>
          <w:i w:val="1"/>
          <w:iCs w:val="1"/>
          <w:color w:val="auto"/>
        </w:rPr>
        <w:t>E</w:t>
      </w:r>
      <w:r>
        <w:rPr>
          <w:sz w:val="20"/>
          <w:szCs w:val="20"/>
          <w:color w:val="auto"/>
        </w:rPr>
        <w:tab/>
      </w:r>
      <w:r>
        <w:rPr>
          <w:rFonts w:ascii="Arial" w:cs="Arial" w:eastAsia="Arial" w:hAnsi="Arial"/>
          <w:sz w:val="24"/>
          <w:szCs w:val="24"/>
          <w:i w:val="1"/>
          <w:iCs w:val="1"/>
          <w:color w:val="auto"/>
        </w:rPr>
        <w:t>C</w:t>
      </w:r>
    </w:p>
    <w:p>
      <w:pPr>
        <w:sectPr>
          <w:pgSz w:w="11900" w:h="16838" w:orient="portrait"/>
          <w:cols w:equalWidth="0" w:num="1">
            <w:col w:w="9360"/>
          </w:cols>
          <w:pgMar w:left="1440" w:top="991" w:right="1106" w:bottom="289" w:gutter="0" w:footer="0" w:header="0"/>
          <w:type w:val="continuous"/>
        </w:sectPr>
      </w:pPr>
    </w:p>
    <w:p>
      <w:pPr>
        <w:ind w:left="9060"/>
        <w:spacing w:after="0"/>
        <w:rPr>
          <w:sz w:val="20"/>
          <w:szCs w:val="20"/>
          <w:color w:val="auto"/>
        </w:rPr>
      </w:pPr>
      <w:r>
        <w:rPr>
          <w:rFonts w:ascii="Arial" w:cs="Arial" w:eastAsia="Arial" w:hAnsi="Arial"/>
          <w:sz w:val="24"/>
          <w:szCs w:val="24"/>
          <w:color w:val="auto"/>
        </w:rPr>
        <w:t>40</w:t>
      </w:r>
    </w:p>
    <w:p>
      <w:pPr>
        <w:spacing w:after="0" w:line="200" w:lineRule="exact"/>
        <w:rPr>
          <w:sz w:val="20"/>
          <w:szCs w:val="20"/>
          <w:color w:val="auto"/>
        </w:rPr>
      </w:pPr>
    </w:p>
    <w:p>
      <w:pPr>
        <w:spacing w:after="0" w:line="305" w:lineRule="exact"/>
        <w:rPr>
          <w:sz w:val="20"/>
          <w:szCs w:val="20"/>
          <w:color w:val="auto"/>
        </w:rPr>
      </w:pPr>
    </w:p>
    <w:p>
      <w:pPr>
        <w:jc w:val="center"/>
        <w:ind w:right="-39"/>
        <w:spacing w:after="0" w:line="552" w:lineRule="exact"/>
        <w:rPr>
          <w:sz w:val="20"/>
          <w:szCs w:val="20"/>
          <w:color w:val="auto"/>
        </w:rPr>
      </w:pPr>
      <w:r>
        <w:rPr>
          <w:rFonts w:ascii="Arial" w:cs="Arial" w:eastAsia="Arial" w:hAnsi="Arial"/>
          <w:sz w:val="48"/>
          <w:szCs w:val="48"/>
          <w:i w:val="1"/>
          <w:iCs w:val="1"/>
          <w:color w:val="auto"/>
          <w:vertAlign w:val="subscript"/>
        </w:rPr>
        <w:t>SprEp</w:t>
      </w:r>
      <w:r>
        <w:rPr>
          <w:rFonts w:ascii="Arial" w:cs="Arial" w:eastAsia="Arial" w:hAnsi="Arial"/>
          <w:sz w:val="47"/>
          <w:szCs w:val="47"/>
          <w:color w:val="auto"/>
          <w:vertAlign w:val="subscript"/>
        </w:rPr>
        <w:t xml:space="preserve"> = </w:t>
      </w:r>
      <w:r>
        <w:rPr>
          <w:rFonts w:ascii="Arial" w:cs="Arial" w:eastAsia="Arial" w:hAnsi="Arial"/>
          <w:sz w:val="47"/>
          <w:szCs w:val="47"/>
          <w:color w:val="auto"/>
          <w:vertAlign w:val="superscript"/>
        </w:rPr>
        <w:t>(</w:t>
      </w:r>
      <w:r>
        <w:rPr>
          <w:rFonts w:ascii="Arial" w:cs="Arial" w:eastAsia="Arial" w:hAnsi="Arial"/>
          <w:sz w:val="48"/>
          <w:szCs w:val="48"/>
          <w:i w:val="1"/>
          <w:iCs w:val="1"/>
          <w:color w:val="auto"/>
          <w:vertAlign w:val="superscript"/>
        </w:rPr>
        <w:t>E</w:t>
      </w:r>
      <w:r>
        <w:rPr>
          <w:rFonts w:ascii="Arial Unicode MS" w:cs="Arial Unicode MS" w:eastAsia="Arial Unicode MS" w:hAnsi="Arial Unicode MS"/>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jrpr</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Unicode MS" w:cs="Arial Unicode MS" w:eastAsia="Arial Unicode MS" w:hAnsi="Arial Unicode MS"/>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jrdav</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Unicode MS" w:cs="Arial Unicode MS" w:eastAsia="Arial Unicode MS" w:hAnsi="Arial Unicode MS"/>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w:t>
      </w:r>
      <w:r>
        <w:rPr>
          <w:rFonts w:ascii="Arial" w:cs="Arial" w:eastAsia="Arial" w:hAnsi="Arial"/>
          <w:sz w:val="15"/>
          <w:szCs w:val="15"/>
          <w:i w:val="1"/>
          <w:iCs w:val="1"/>
          <w:color w:val="auto"/>
        </w:rPr>
        <w:t>jrdap</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color w:val="auto"/>
          <w:vertAlign w:val="subscript"/>
        </w:rPr>
        <w:t>−</w:t>
      </w:r>
      <w:r>
        <w:rPr>
          <w:rFonts w:ascii="Arial" w:cs="Arial" w:eastAsia="Arial" w:hAnsi="Arial"/>
          <w:sz w:val="48"/>
          <w:szCs w:val="48"/>
          <w:color w:val="auto"/>
        </w:rPr>
        <w:t xml:space="preserve"> </w:t>
      </w:r>
      <w:r>
        <w:rPr>
          <w:rFonts w:ascii="Arial" w:cs="Arial" w:eastAsia="Arial" w:hAnsi="Arial"/>
          <w:sz w:val="48"/>
          <w:szCs w:val="48"/>
          <w:color w:val="auto"/>
          <w:vertAlign w:val="subscript"/>
        </w:rPr>
        <w:t>(</w:t>
      </w:r>
      <w:r>
        <w:rPr>
          <w:rFonts w:ascii="Arial" w:cs="Arial" w:eastAsia="Arial" w:hAnsi="Arial"/>
          <w:sz w:val="48"/>
          <w:szCs w:val="48"/>
          <w:i w:val="1"/>
          <w:iCs w:val="1"/>
          <w:color w:val="auto"/>
          <w:vertAlign w:val="superscript"/>
        </w:rPr>
        <w:t>D</w:t>
      </w:r>
      <w:r>
        <w:rPr>
          <w:rFonts w:ascii="Arial" w:cs="Arial" w:eastAsia="Arial" w:hAnsi="Arial"/>
          <w:sz w:val="15"/>
          <w:szCs w:val="15"/>
          <w:i w:val="1"/>
          <w:iCs w:val="1"/>
          <w:color w:val="auto"/>
        </w:rPr>
        <w:t>cap</w:t>
      </w:r>
      <w:r>
        <w:rPr>
          <w:rFonts w:ascii="Arial" w:cs="Arial" w:eastAsia="Arial" w:hAnsi="Arial"/>
          <w:sz w:val="48"/>
          <w:szCs w:val="48"/>
          <w:color w:val="auto"/>
        </w:rPr>
        <w:t xml:space="preserve"> </w:t>
      </w:r>
      <w:r>
        <w:rPr>
          <w:rFonts w:ascii="Arial" w:cs="Arial" w:eastAsia="Arial" w:hAnsi="Arial"/>
          <w:sz w:val="48"/>
          <w:szCs w:val="48"/>
          <w:color w:val="auto"/>
          <w:vertAlign w:val="subscript"/>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1898015</wp:posOffset>
                </wp:positionH>
                <wp:positionV relativeFrom="paragraph">
                  <wp:posOffset>-36195</wp:posOffset>
                </wp:positionV>
                <wp:extent cx="2183130"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831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45pt,-2.8499pt" to="321.35pt,-2.8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4354830</wp:posOffset>
                </wp:positionH>
                <wp:positionV relativeFrom="paragraph">
                  <wp:posOffset>-36195</wp:posOffset>
                </wp:positionV>
                <wp:extent cx="287655"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7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2.9pt,-2.8499pt" to="365.55pt,-2.8499pt" o:allowincell="f" strokecolor="#000000" strokeweight="0.398pt"/>
            </w:pict>
          </mc:Fallback>
        </mc:AlternateContent>
      </w:r>
    </w:p>
    <w:p>
      <w:pPr>
        <w:ind w:left="4620"/>
        <w:spacing w:after="0" w:line="194" w:lineRule="auto"/>
        <w:tabs>
          <w:tab w:leader="none" w:pos="6980" w:val="left"/>
        </w:tabs>
        <w:rPr>
          <w:sz w:val="20"/>
          <w:szCs w:val="20"/>
          <w:color w:val="auto"/>
        </w:rPr>
      </w:pPr>
      <w:r>
        <w:rPr>
          <w:rFonts w:ascii="Arial" w:cs="Arial" w:eastAsia="Arial" w:hAnsi="Arial"/>
          <w:sz w:val="24"/>
          <w:szCs w:val="24"/>
          <w:i w:val="1"/>
          <w:iCs w:val="1"/>
          <w:color w:val="auto"/>
        </w:rPr>
        <w:t>E</w:t>
      </w:r>
      <w:r>
        <w:rPr>
          <w:sz w:val="20"/>
          <w:szCs w:val="20"/>
          <w:color w:val="auto"/>
        </w:rPr>
        <w:tab/>
      </w:r>
      <w:r>
        <w:rPr>
          <w:rFonts w:ascii="Arial" w:cs="Arial" w:eastAsia="Arial" w:hAnsi="Arial"/>
          <w:sz w:val="24"/>
          <w:szCs w:val="24"/>
          <w:i w:val="1"/>
          <w:iCs w:val="1"/>
          <w:color w:val="auto"/>
        </w:rPr>
        <w:t>C</w:t>
      </w:r>
    </w:p>
    <w:p>
      <w:pPr>
        <w:spacing w:after="0" w:line="161" w:lineRule="exact"/>
        <w:rPr>
          <w:sz w:val="20"/>
          <w:szCs w:val="20"/>
          <w:color w:val="auto"/>
        </w:rPr>
      </w:pPr>
    </w:p>
    <w:p>
      <w:pPr>
        <w:jc w:val="both"/>
        <w:ind w:left="260" w:firstLine="858"/>
        <w:spacing w:after="0" w:line="314" w:lineRule="auto"/>
        <w:rPr>
          <w:sz w:val="20"/>
          <w:szCs w:val="20"/>
          <w:color w:val="auto"/>
        </w:rPr>
      </w:pPr>
      <w:r>
        <w:rPr>
          <w:rFonts w:ascii="Arial" w:cs="Arial" w:eastAsia="Arial" w:hAnsi="Arial"/>
          <w:sz w:val="24"/>
          <w:szCs w:val="24"/>
          <w:color w:val="auto"/>
        </w:rPr>
        <w:t>Para a averiguação dos efeitos dos componentes do spread ex-post na ren-tabilidade das instituições bancárias serão utilizados modelos de regressão linear multivariada. Os modelos de regressão múltipla buscam, através de técnicas esta-tísticas e matemáticas, prever o comportamento de uma dada variável dependente, diante um conjunto de variáveis explanatórias (HILL, 2010) (JAMES; WITTEN; HASTIE TREVOR; TIBSHIRANI, 2017).</w:t>
      </w:r>
    </w:p>
    <w:p>
      <w:pPr>
        <w:spacing w:after="0" w:line="143" w:lineRule="exact"/>
        <w:rPr>
          <w:sz w:val="20"/>
          <w:szCs w:val="20"/>
          <w:color w:val="auto"/>
        </w:rPr>
      </w:pPr>
    </w:p>
    <w:p>
      <w:pPr>
        <w:jc w:val="center"/>
        <w:ind w:right="-239"/>
        <w:spacing w:after="0"/>
        <w:rPr>
          <w:sz w:val="20"/>
          <w:szCs w:val="20"/>
          <w:color w:val="auto"/>
        </w:rPr>
      </w:pPr>
      <w:r>
        <w:rPr>
          <w:rFonts w:ascii="Arial" w:cs="Arial" w:eastAsia="Arial" w:hAnsi="Arial"/>
          <w:sz w:val="24"/>
          <w:szCs w:val="24"/>
          <w:i w:val="1"/>
          <w:iCs w:val="1"/>
          <w:color w:val="auto"/>
        </w:rPr>
        <w:t>Y</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24"/>
          <w:szCs w:val="24"/>
          <w:i w:val="1"/>
          <w:iCs w:val="1"/>
          <w:color w:val="auto"/>
        </w:rPr>
        <w:t>X</w:t>
      </w:r>
      <w:r>
        <w:rPr>
          <w:rFonts w:ascii="Arial" w:cs="Arial" w:eastAsia="Arial" w:hAnsi="Arial"/>
          <w:sz w:val="31"/>
          <w:szCs w:val="31"/>
          <w:color w:val="auto"/>
          <w:vertAlign w:val="subscript"/>
        </w:rPr>
        <w:t>1</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24"/>
          <w:szCs w:val="24"/>
          <w:i w:val="1"/>
          <w:iCs w:val="1"/>
          <w:color w:val="auto"/>
        </w:rPr>
        <w:t>X</w:t>
      </w:r>
      <w:r>
        <w:rPr>
          <w:rFonts w:ascii="Arial" w:cs="Arial" w:eastAsia="Arial" w:hAnsi="Arial"/>
          <w:sz w:val="31"/>
          <w:szCs w:val="31"/>
          <w:color w:val="auto"/>
          <w:vertAlign w:val="subscript"/>
        </w:rPr>
        <w:t>2</w:t>
      </w:r>
      <w:r>
        <w:rPr>
          <w:rFonts w:ascii="Arial" w:cs="Arial" w:eastAsia="Arial" w:hAnsi="Arial"/>
          <w:sz w:val="24"/>
          <w:szCs w:val="24"/>
          <w:i w:val="1"/>
          <w:iCs w:val="1"/>
          <w:color w:val="auto"/>
        </w:rPr>
        <w:t>...β</w:t>
      </w:r>
      <w:r>
        <w:rPr>
          <w:rFonts w:ascii="Arial" w:cs="Arial" w:eastAsia="Arial" w:hAnsi="Arial"/>
          <w:sz w:val="31"/>
          <w:szCs w:val="31"/>
          <w:i w:val="1"/>
          <w:iCs w:val="1"/>
          <w:color w:val="auto"/>
          <w:vertAlign w:val="subscript"/>
        </w:rPr>
        <w:t>n</w:t>
      </w:r>
      <w:r>
        <w:rPr>
          <w:rFonts w:ascii="Arial" w:cs="Arial" w:eastAsia="Arial" w:hAnsi="Arial"/>
          <w:sz w:val="24"/>
          <w:szCs w:val="24"/>
          <w:i w:val="1"/>
          <w:iCs w:val="1"/>
          <w:color w:val="auto"/>
        </w:rPr>
        <w:t>X</w:t>
      </w:r>
      <w:r>
        <w:rPr>
          <w:rFonts w:ascii="Arial" w:cs="Arial" w:eastAsia="Arial" w:hAnsi="Arial"/>
          <w:sz w:val="31"/>
          <w:szCs w:val="31"/>
          <w:i w:val="1"/>
          <w:iCs w:val="1"/>
          <w:color w:val="auto"/>
          <w:vertAlign w:val="subscript"/>
        </w:rPr>
        <w:t>n</w:t>
      </w:r>
      <w:r>
        <w:rPr>
          <w:rFonts w:ascii="Arial" w:cs="Arial" w:eastAsia="Arial" w:hAnsi="Arial"/>
          <w:sz w:val="24"/>
          <w:szCs w:val="24"/>
          <w:color w:val="auto"/>
        </w:rPr>
        <w:t xml:space="preserve"> +</w:t>
      </w:r>
    </w:p>
    <w:p>
      <w:pPr>
        <w:spacing w:after="0" w:line="322" w:lineRule="exact"/>
        <w:rPr>
          <w:sz w:val="20"/>
          <w:szCs w:val="20"/>
          <w:color w:val="auto"/>
        </w:rPr>
      </w:pPr>
    </w:p>
    <w:p>
      <w:pPr>
        <w:jc w:val="both"/>
        <w:ind w:left="260" w:right="40"/>
        <w:spacing w:after="0" w:line="315" w:lineRule="auto"/>
        <w:rPr>
          <w:sz w:val="20"/>
          <w:szCs w:val="20"/>
          <w:color w:val="auto"/>
        </w:rPr>
      </w:pPr>
      <w:r>
        <w:rPr>
          <w:rFonts w:ascii="Arial" w:cs="Arial" w:eastAsia="Arial" w:hAnsi="Arial"/>
          <w:sz w:val="24"/>
          <w:szCs w:val="24"/>
          <w:color w:val="auto"/>
        </w:rPr>
        <w:t>O modelo econométrico a ser utilizado será o método de dados em painel, denominado Cross Section, que combina séries temporais e dados em corte transversal. Este modelo busca captar diferenças individuais de comportamento, possibilitando combinar os dados para fins de estimação e inferência, posteriormente realizados testes de regressão e estimação (HILL, 2010).</w:t>
      </w:r>
    </w:p>
    <w:p>
      <w:pPr>
        <w:spacing w:after="0" w:line="178" w:lineRule="exact"/>
        <w:rPr>
          <w:sz w:val="20"/>
          <w:szCs w:val="20"/>
          <w:color w:val="auto"/>
        </w:rPr>
      </w:pPr>
    </w:p>
    <w:p>
      <w:pPr>
        <w:jc w:val="center"/>
        <w:ind w:right="-219"/>
        <w:spacing w:after="0"/>
        <w:rPr>
          <w:sz w:val="20"/>
          <w:szCs w:val="20"/>
          <w:color w:val="auto"/>
        </w:rPr>
      </w:pPr>
      <w:r>
        <w:rPr>
          <w:rFonts w:ascii="Arial" w:cs="Arial" w:eastAsia="Arial" w:hAnsi="Arial"/>
          <w:sz w:val="48"/>
          <w:szCs w:val="48"/>
          <w:i w:val="1"/>
          <w:iCs w:val="1"/>
          <w:color w:val="auto"/>
          <w:vertAlign w:val="superscript"/>
        </w:rPr>
        <w:t>y</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it</w:t>
      </w:r>
    </w:p>
    <w:p>
      <w:pPr>
        <w:spacing w:after="0" w:line="208" w:lineRule="exact"/>
        <w:rPr>
          <w:sz w:val="20"/>
          <w:szCs w:val="20"/>
          <w:color w:val="auto"/>
        </w:rPr>
      </w:pPr>
    </w:p>
    <w:p>
      <w:pPr>
        <w:jc w:val="both"/>
        <w:ind w:left="260" w:firstLine="850"/>
        <w:spacing w:after="0" w:line="332" w:lineRule="auto"/>
        <w:rPr>
          <w:sz w:val="20"/>
          <w:szCs w:val="20"/>
          <w:color w:val="auto"/>
        </w:rPr>
      </w:pPr>
      <w:r>
        <w:rPr>
          <w:rFonts w:ascii="Arial" w:cs="Arial" w:eastAsia="Arial" w:hAnsi="Arial"/>
          <w:sz w:val="23"/>
          <w:szCs w:val="23"/>
          <w:color w:val="auto"/>
        </w:rPr>
        <w:t>O método Cross Section pode ser realizado por meio de três modelos de estimação que são: i) Modelo de regressão aparentemente não relacionadas (SUR); ii) Modelo de variável binárias — efeitos fixos — e iii) modelo de componentes estocásti-cos — efeitos aleatórios — (HILL, 2010). Serão testados os três métodos buscando selecionar o mais adequado ao modelo econométrico e ao conjunto de dados.</w:t>
      </w:r>
    </w:p>
    <w:p>
      <w:pPr>
        <w:spacing w:after="0" w:line="83" w:lineRule="exact"/>
        <w:rPr>
          <w:sz w:val="20"/>
          <w:szCs w:val="20"/>
          <w:color w:val="auto"/>
        </w:rPr>
      </w:pPr>
    </w:p>
    <w:p>
      <w:pPr>
        <w:jc w:val="both"/>
        <w:ind w:left="260" w:firstLine="850"/>
        <w:spacing w:after="0" w:line="304" w:lineRule="auto"/>
        <w:rPr>
          <w:sz w:val="20"/>
          <w:szCs w:val="20"/>
          <w:color w:val="auto"/>
        </w:rPr>
      </w:pPr>
      <w:r>
        <w:rPr>
          <w:rFonts w:ascii="Arial" w:cs="Arial" w:eastAsia="Arial" w:hAnsi="Arial"/>
          <w:sz w:val="24"/>
          <w:szCs w:val="24"/>
          <w:color w:val="auto"/>
        </w:rPr>
        <w:t>No modelo de regressão de dados aparentemente não relacionados — SUR —, os parâmetros dos diferentes grupos em corte transversal diferem entre si, porém são constantes ao longo do tempo. Os modelos podem ser estimados com suas funções de forma conjunta ou separada, onde esta última é indicada quando há correlação dos erros (HILL, 2010)</w:t>
      </w:r>
    </w:p>
    <w:p>
      <w:pPr>
        <w:spacing w:after="0" w:line="2" w:lineRule="exact"/>
        <w:rPr>
          <w:sz w:val="20"/>
          <w:szCs w:val="20"/>
          <w:color w:val="auto"/>
        </w:rPr>
      </w:pPr>
    </w:p>
    <w:p>
      <w:pPr>
        <w:jc w:val="center"/>
        <w:ind w:right="-219"/>
        <w:spacing w:after="0"/>
        <w:rPr>
          <w:sz w:val="20"/>
          <w:szCs w:val="20"/>
          <w:color w:val="auto"/>
        </w:rPr>
      </w:pPr>
      <w:r>
        <w:rPr>
          <w:rFonts w:ascii="Arial" w:cs="Arial" w:eastAsia="Arial" w:hAnsi="Arial"/>
          <w:sz w:val="48"/>
          <w:szCs w:val="48"/>
          <w:i w:val="1"/>
          <w:iCs w:val="1"/>
          <w:color w:val="auto"/>
          <w:vertAlign w:val="superscript"/>
        </w:rPr>
        <w:t>y</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2</w:t>
      </w:r>
      <w:r>
        <w:rPr>
          <w:rFonts w:ascii="Arial" w:cs="Arial" w:eastAsia="Arial" w:hAnsi="Arial"/>
          <w:sz w:val="15"/>
          <w:szCs w:val="15"/>
          <w:i w:val="1"/>
          <w:iCs w:val="1"/>
          <w:color w:val="auto"/>
        </w:rPr>
        <w:t>i</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3</w:t>
      </w:r>
      <w:r>
        <w:rPr>
          <w:rFonts w:ascii="Arial" w:cs="Arial" w:eastAsia="Arial" w:hAnsi="Arial"/>
          <w:sz w:val="15"/>
          <w:szCs w:val="15"/>
          <w:i w:val="1"/>
          <w:iCs w:val="1"/>
          <w:color w:val="auto"/>
        </w:rPr>
        <w:t>i</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it</w:t>
      </w:r>
    </w:p>
    <w:p>
      <w:pPr>
        <w:spacing w:after="0" w:line="99" w:lineRule="exact"/>
        <w:rPr>
          <w:sz w:val="20"/>
          <w:szCs w:val="20"/>
          <w:color w:val="auto"/>
        </w:rPr>
      </w:pPr>
    </w:p>
    <w:p>
      <w:pPr>
        <w:jc w:val="both"/>
        <w:ind w:left="260" w:firstLine="850"/>
        <w:spacing w:after="0" w:line="302" w:lineRule="auto"/>
        <w:rPr>
          <w:sz w:val="20"/>
          <w:szCs w:val="20"/>
          <w:color w:val="auto"/>
        </w:rPr>
      </w:pPr>
      <w:r>
        <w:rPr>
          <w:rFonts w:ascii="Arial" w:cs="Arial" w:eastAsia="Arial" w:hAnsi="Arial"/>
          <w:sz w:val="24"/>
          <w:szCs w:val="24"/>
          <w:color w:val="auto"/>
        </w:rPr>
        <w:t>No modelo de variável binárias — ou efeitos fixos —, o intercepto é abordado como um parâmetro desconhecido e fixo, onde as inferências são aplicadas somente ao cojunto de dados dos grupos do corte transversal do qual está disponível (HILL, 2010).</w:t>
      </w:r>
    </w:p>
    <w:p>
      <w:pPr>
        <w:spacing w:after="0" w:line="2" w:lineRule="exact"/>
        <w:rPr>
          <w:sz w:val="20"/>
          <w:szCs w:val="20"/>
          <w:color w:val="auto"/>
        </w:rPr>
      </w:pPr>
    </w:p>
    <w:p>
      <w:pPr>
        <w:ind w:left="1700"/>
        <w:spacing w:after="0"/>
        <w:rPr>
          <w:sz w:val="20"/>
          <w:szCs w:val="20"/>
          <w:color w:val="auto"/>
        </w:rPr>
      </w:pPr>
      <w:r>
        <w:rPr>
          <w:rFonts w:ascii="Arial" w:cs="Arial" w:eastAsia="Arial" w:hAnsi="Arial"/>
          <w:sz w:val="48"/>
          <w:szCs w:val="48"/>
          <w:i w:val="1"/>
          <w:iCs w:val="1"/>
          <w:color w:val="auto"/>
          <w:vertAlign w:val="superscript"/>
        </w:rPr>
        <w:t>y</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11</w:t>
      </w:r>
      <w:r>
        <w:rPr>
          <w:rFonts w:ascii="Arial" w:cs="Arial" w:eastAsia="Arial" w:hAnsi="Arial"/>
          <w:sz w:val="48"/>
          <w:szCs w:val="48"/>
          <w:i w:val="1"/>
          <w:iCs w:val="1"/>
          <w:color w:val="auto"/>
          <w:vertAlign w:val="superscript"/>
        </w:rPr>
        <w:t>D</w:t>
      </w:r>
      <w:r>
        <w:rPr>
          <w:rFonts w:ascii="Arial" w:cs="Arial" w:eastAsia="Arial" w:hAnsi="Arial"/>
          <w:sz w:val="15"/>
          <w:szCs w:val="15"/>
          <w:color w:val="auto"/>
        </w:rPr>
        <w:t>1</w:t>
      </w:r>
      <w:r>
        <w:rPr>
          <w:rFonts w:ascii="Arial" w:cs="Arial" w:eastAsia="Arial" w:hAnsi="Arial"/>
          <w:sz w:val="15"/>
          <w:szCs w:val="15"/>
          <w:i w:val="1"/>
          <w:iCs w:val="1"/>
          <w:color w:val="auto"/>
        </w:rPr>
        <w:t>i</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12</w:t>
      </w:r>
      <w:r>
        <w:rPr>
          <w:rFonts w:ascii="Arial" w:cs="Arial" w:eastAsia="Arial" w:hAnsi="Arial"/>
          <w:sz w:val="48"/>
          <w:szCs w:val="48"/>
          <w:i w:val="1"/>
          <w:iCs w:val="1"/>
          <w:color w:val="auto"/>
          <w:vertAlign w:val="superscript"/>
        </w:rPr>
        <w:t>D</w:t>
      </w:r>
      <w:r>
        <w:rPr>
          <w:rFonts w:ascii="Arial" w:cs="Arial" w:eastAsia="Arial" w:hAnsi="Arial"/>
          <w:sz w:val="15"/>
          <w:szCs w:val="15"/>
          <w:color w:val="auto"/>
        </w:rPr>
        <w:t>2</w:t>
      </w:r>
      <w:r>
        <w:rPr>
          <w:rFonts w:ascii="Arial" w:cs="Arial" w:eastAsia="Arial" w:hAnsi="Arial"/>
          <w:sz w:val="15"/>
          <w:szCs w:val="15"/>
          <w:i w:val="1"/>
          <w:iCs w:val="1"/>
          <w:color w:val="auto"/>
        </w:rPr>
        <w:t>i</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w:t>
      </w:r>
      <w:r>
        <w:rPr>
          <w:rFonts w:ascii="Arial" w:cs="Arial" w:eastAsia="Arial" w:hAnsi="Arial"/>
          <w:sz w:val="15"/>
          <w:szCs w:val="15"/>
          <w:i w:val="1"/>
          <w:iCs w:val="1"/>
          <w:color w:val="auto"/>
        </w:rPr>
        <w:t>,</w:t>
      </w:r>
      <w:r>
        <w:rPr>
          <w:rFonts w:ascii="Arial" w:cs="Arial" w:eastAsia="Arial" w:hAnsi="Arial"/>
          <w:sz w:val="15"/>
          <w:szCs w:val="15"/>
          <w:color w:val="auto"/>
        </w:rPr>
        <w:t>10</w:t>
      </w:r>
      <w:r>
        <w:rPr>
          <w:rFonts w:ascii="Arial" w:cs="Arial" w:eastAsia="Arial" w:hAnsi="Arial"/>
          <w:sz w:val="48"/>
          <w:szCs w:val="48"/>
          <w:i w:val="1"/>
          <w:iCs w:val="1"/>
          <w:color w:val="auto"/>
          <w:vertAlign w:val="superscript"/>
        </w:rPr>
        <w:t>D</w:t>
      </w:r>
      <w:r>
        <w:rPr>
          <w:rFonts w:ascii="Arial" w:cs="Arial" w:eastAsia="Arial" w:hAnsi="Arial"/>
          <w:sz w:val="15"/>
          <w:szCs w:val="15"/>
          <w:color w:val="auto"/>
        </w:rPr>
        <w:t>10</w:t>
      </w:r>
      <w:r>
        <w:rPr>
          <w:rFonts w:ascii="Arial" w:cs="Arial" w:eastAsia="Arial" w:hAnsi="Arial"/>
          <w:sz w:val="15"/>
          <w:szCs w:val="15"/>
          <w:i w:val="1"/>
          <w:iCs w:val="1"/>
          <w:color w:val="auto"/>
        </w:rPr>
        <w:t>i</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2</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3</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it</w:t>
      </w:r>
    </w:p>
    <w:p>
      <w:pPr>
        <w:spacing w:after="0" w:line="99" w:lineRule="exact"/>
        <w:rPr>
          <w:sz w:val="20"/>
          <w:szCs w:val="20"/>
          <w:color w:val="auto"/>
        </w:rPr>
      </w:pPr>
    </w:p>
    <w:p>
      <w:pPr>
        <w:jc w:val="both"/>
        <w:ind w:left="260" w:right="40" w:firstLine="850"/>
        <w:spacing w:after="0" w:line="338" w:lineRule="auto"/>
        <w:rPr>
          <w:sz w:val="20"/>
          <w:szCs w:val="20"/>
          <w:color w:val="auto"/>
        </w:rPr>
      </w:pPr>
      <w:r>
        <w:rPr>
          <w:rFonts w:ascii="Arial" w:cs="Arial" w:eastAsia="Arial" w:hAnsi="Arial"/>
          <w:sz w:val="23"/>
          <w:szCs w:val="23"/>
          <w:color w:val="auto"/>
        </w:rPr>
        <w:t>O modelo de componentes estocásticos — ou efeitos aleatórios —, considera cada grupo do conjunto de dados como uma amostra aleatória de uma população maior, onde os interceptos são encarrados como resultados aleatórios da distribuição</w:t>
      </w:r>
    </w:p>
    <w:p>
      <w:pPr>
        <w:sectPr>
          <w:pgSz w:w="11900" w:h="16838" w:orient="portrait"/>
          <w:cols w:equalWidth="0" w:num="1">
            <w:col w:w="9360"/>
          </w:cols>
          <w:pgMar w:left="1440" w:top="991" w:right="1106" w:bottom="355" w:gutter="0" w:footer="0" w:header="0"/>
        </w:sectPr>
      </w:pPr>
    </w:p>
    <w:p>
      <w:pPr>
        <w:ind w:left="9060"/>
        <w:spacing w:after="0"/>
        <w:rPr>
          <w:sz w:val="20"/>
          <w:szCs w:val="20"/>
          <w:color w:val="auto"/>
        </w:rPr>
      </w:pPr>
      <w:r>
        <w:rPr>
          <w:rFonts w:ascii="Arial" w:cs="Arial" w:eastAsia="Arial" w:hAnsi="Arial"/>
          <w:sz w:val="24"/>
          <w:szCs w:val="24"/>
          <w:color w:val="auto"/>
        </w:rPr>
        <w:t>41</w:t>
      </w:r>
    </w:p>
    <w:p>
      <w:pPr>
        <w:spacing w:after="0" w:line="200" w:lineRule="exact"/>
        <w:rPr>
          <w:sz w:val="20"/>
          <w:szCs w:val="20"/>
          <w:color w:val="auto"/>
        </w:rPr>
      </w:pPr>
    </w:p>
    <w:p>
      <w:pPr>
        <w:spacing w:after="0" w:line="246" w:lineRule="exact"/>
        <w:rPr>
          <w:sz w:val="20"/>
          <w:szCs w:val="20"/>
          <w:color w:val="auto"/>
        </w:rPr>
      </w:pPr>
    </w:p>
    <w:p>
      <w:pPr>
        <w:ind w:left="260" w:right="40"/>
        <w:spacing w:after="0" w:line="327" w:lineRule="auto"/>
        <w:rPr>
          <w:sz w:val="20"/>
          <w:szCs w:val="20"/>
          <w:color w:val="auto"/>
        </w:rPr>
      </w:pPr>
      <w:r>
        <w:rPr>
          <w:rFonts w:ascii="Arial" w:cs="Arial" w:eastAsia="Arial" w:hAnsi="Arial"/>
          <w:sz w:val="24"/>
          <w:szCs w:val="24"/>
          <w:color w:val="auto"/>
        </w:rPr>
        <w:t>populacional de interceptos de grupos, realizando assim uma inferência da população de grupos (HILL, 2010).</w:t>
      </w:r>
    </w:p>
    <w:p>
      <w:pPr>
        <w:spacing w:after="0" w:line="161" w:lineRule="exact"/>
        <w:rPr>
          <w:sz w:val="20"/>
          <w:szCs w:val="20"/>
          <w:color w:val="auto"/>
        </w:rPr>
      </w:pPr>
    </w:p>
    <w:p>
      <w:pPr>
        <w:jc w:val="center"/>
        <w:ind w:right="-219"/>
        <w:spacing w:after="0"/>
        <w:rPr>
          <w:sz w:val="20"/>
          <w:szCs w:val="20"/>
          <w:color w:val="auto"/>
        </w:rPr>
      </w:pPr>
      <w:r>
        <w:rPr>
          <w:rFonts w:ascii="Arial" w:cs="Arial" w:eastAsia="Arial" w:hAnsi="Arial"/>
          <w:sz w:val="48"/>
          <w:szCs w:val="48"/>
          <w:i w:val="1"/>
          <w:iCs w:val="1"/>
          <w:color w:val="auto"/>
          <w:vertAlign w:val="superscript"/>
        </w:rPr>
        <w:t>y</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1</w:t>
      </w:r>
      <w:r>
        <w:rPr>
          <w:rFonts w:ascii="Arial" w:cs="Arial" w:eastAsia="Arial" w:hAnsi="Arial"/>
          <w:sz w:val="15"/>
          <w:szCs w:val="15"/>
          <w:i w:val="1"/>
          <w:iCs w:val="1"/>
          <w:color w:val="auto"/>
        </w:rPr>
        <w:t>i</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2</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β</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i w:val="1"/>
          <w:iCs w:val="1"/>
          <w:color w:val="auto"/>
          <w:vertAlign w:val="superscript"/>
        </w:rPr>
        <w:t>X</w:t>
      </w:r>
      <w:r>
        <w:rPr>
          <w:rFonts w:ascii="Arial" w:cs="Arial" w:eastAsia="Arial" w:hAnsi="Arial"/>
          <w:sz w:val="15"/>
          <w:szCs w:val="15"/>
          <w:color w:val="auto"/>
        </w:rPr>
        <w:t>3</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e</w:t>
      </w:r>
      <w:r>
        <w:rPr>
          <w:rFonts w:ascii="Arial" w:cs="Arial" w:eastAsia="Arial" w:hAnsi="Arial"/>
          <w:sz w:val="15"/>
          <w:szCs w:val="15"/>
          <w:i w:val="1"/>
          <w:iCs w:val="1"/>
          <w:color w:val="auto"/>
        </w:rPr>
        <w:t>it</w:t>
      </w:r>
    </w:p>
    <w:p>
      <w:pPr>
        <w:spacing w:after="0" w:line="208"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Diante os pressupostos, o primeiro modelo irá verificar a influência das vari-ações de variáveis componentes explícitas e implícitas do Spread Ex-post, tendo no primeiro bloco variáveis microeconômicas e o segundo bloco as variáveis macroeconô-micas, selecionando para o modelo final somente as que apresentarem significância estatística.</w:t>
      </w:r>
    </w:p>
    <w:p>
      <w:pPr>
        <w:spacing w:after="0" w:line="329" w:lineRule="exact"/>
        <w:rPr>
          <w:sz w:val="20"/>
          <w:szCs w:val="20"/>
          <w:color w:val="auto"/>
        </w:rPr>
      </w:pPr>
    </w:p>
    <w:p>
      <w:pPr>
        <w:ind w:left="1740"/>
        <w:spacing w:after="0"/>
        <w:rPr>
          <w:sz w:val="20"/>
          <w:szCs w:val="20"/>
          <w:color w:val="auto"/>
        </w:rPr>
      </w:pPr>
      <w:r>
        <w:rPr>
          <w:rFonts w:ascii="Arial" w:cs="Arial" w:eastAsia="Arial" w:hAnsi="Arial"/>
          <w:sz w:val="24"/>
          <w:szCs w:val="24"/>
          <w:i w:val="1"/>
          <w:iCs w:val="1"/>
          <w:color w:val="auto"/>
        </w:rPr>
        <w:t>SprEp</w:t>
      </w:r>
      <w:r>
        <w:rPr>
          <w:rFonts w:ascii="Arial" w:cs="Arial" w:eastAsia="Arial" w:hAnsi="Arial"/>
          <w:sz w:val="24"/>
          <w:szCs w:val="24"/>
          <w:color w:val="auto"/>
        </w:rPr>
        <w:t xml:space="preserve"> =</w:t>
      </w:r>
      <w:r>
        <w:rPr>
          <w:rFonts w:ascii="Arial" w:cs="Arial" w:eastAsia="Arial" w:hAnsi="Arial"/>
          <w:sz w:val="24"/>
          <w:szCs w:val="24"/>
          <w:i w:val="1"/>
          <w:iCs w:val="1"/>
          <w:color w:val="auto"/>
        </w:rPr>
        <w:t>f</w:t>
      </w:r>
      <w:r>
        <w:rPr>
          <w:rFonts w:ascii="Arial" w:cs="Arial" w:eastAsia="Arial" w:hAnsi="Arial"/>
          <w:sz w:val="24"/>
          <w:szCs w:val="24"/>
          <w:color w:val="auto"/>
        </w:rPr>
        <w:t>(</w:t>
      </w:r>
      <w:r>
        <w:rPr>
          <w:rFonts w:ascii="Arial" w:cs="Arial" w:eastAsia="Arial" w:hAnsi="Arial"/>
          <w:sz w:val="24"/>
          <w:szCs w:val="24"/>
          <w:i w:val="1"/>
          <w:iCs w:val="1"/>
          <w:color w:val="auto"/>
        </w:rPr>
        <w:t>EP r, EAv, EAp, Atv, ImpInd, ImpId,</w:t>
      </w:r>
    </w:p>
    <w:p>
      <w:pPr>
        <w:spacing w:after="0" w:line="194" w:lineRule="exact"/>
        <w:rPr>
          <w:sz w:val="20"/>
          <w:szCs w:val="20"/>
          <w:color w:val="auto"/>
        </w:rPr>
      </w:pPr>
    </w:p>
    <w:p>
      <w:pPr>
        <w:ind w:left="2700"/>
        <w:spacing w:after="0"/>
        <w:rPr>
          <w:sz w:val="20"/>
          <w:szCs w:val="20"/>
          <w:color w:val="auto"/>
        </w:rPr>
      </w:pPr>
      <w:r>
        <w:rPr>
          <w:rFonts w:ascii="Arial" w:cs="Arial" w:eastAsia="Arial" w:hAnsi="Arial"/>
          <w:sz w:val="24"/>
          <w:szCs w:val="24"/>
          <w:i w:val="1"/>
          <w:iCs w:val="1"/>
          <w:color w:val="auto"/>
        </w:rPr>
        <w:t>Inad, M Lq, DAdm, Jcp, M Sh, HHI, T Ins, OCap,</w:t>
      </w:r>
    </w:p>
    <w:p>
      <w:pPr>
        <w:spacing w:after="0" w:line="91" w:lineRule="exact"/>
        <w:rPr>
          <w:sz w:val="20"/>
          <w:szCs w:val="20"/>
          <w:color w:val="auto"/>
        </w:rPr>
      </w:pPr>
    </w:p>
    <w:p>
      <w:pPr>
        <w:ind w:left="2700"/>
        <w:spacing w:after="0"/>
        <w:rPr>
          <w:sz w:val="20"/>
          <w:szCs w:val="20"/>
          <w:color w:val="auto"/>
        </w:rPr>
      </w:pPr>
      <w:r>
        <w:rPr>
          <w:rFonts w:ascii="Arial" w:cs="Arial" w:eastAsia="Arial" w:hAnsi="Arial"/>
          <w:sz w:val="24"/>
          <w:szCs w:val="24"/>
          <w:i w:val="1"/>
          <w:iCs w:val="1"/>
          <w:color w:val="auto"/>
        </w:rPr>
        <w:t>CIns, Sel, Ipca, Comp, M P ag, V M o, SprEa</w:t>
      </w:r>
      <w:r>
        <w:rPr>
          <w:rFonts w:ascii="Arial" w:cs="Arial" w:eastAsia="Arial" w:hAnsi="Arial"/>
          <w:sz w:val="24"/>
          <w:szCs w:val="24"/>
          <w:color w:val="auto"/>
        </w:rPr>
        <w:t>)</w:t>
      </w:r>
    </w:p>
    <w:p>
      <w:pPr>
        <w:spacing w:after="0" w:line="319" w:lineRule="exact"/>
        <w:rPr>
          <w:sz w:val="20"/>
          <w:szCs w:val="20"/>
          <w:color w:val="auto"/>
        </w:rPr>
      </w:pPr>
    </w:p>
    <w:p>
      <w:pPr>
        <w:jc w:val="both"/>
        <w:ind w:left="260" w:right="40" w:firstLine="850"/>
        <w:spacing w:after="0" w:line="338" w:lineRule="auto"/>
        <w:rPr>
          <w:sz w:val="20"/>
          <w:szCs w:val="20"/>
          <w:color w:val="auto"/>
        </w:rPr>
      </w:pPr>
      <w:r>
        <w:rPr>
          <w:rFonts w:ascii="Arial" w:cs="Arial" w:eastAsia="Arial" w:hAnsi="Arial"/>
          <w:sz w:val="23"/>
          <w:szCs w:val="23"/>
          <w:color w:val="auto"/>
        </w:rPr>
        <w:t>Na construção do primeiro modelo econométrico serão adotadas simplificações para variáveis de resultado, eliminando as que possuem caráter constante, as obtidas por meio de resultado e por não possuirem dados, utilizando uma proxy.</w:t>
      </w:r>
    </w:p>
    <w:p>
      <w:pPr>
        <w:spacing w:after="0" w:line="200" w:lineRule="exact"/>
        <w:rPr>
          <w:sz w:val="20"/>
          <w:szCs w:val="20"/>
          <w:color w:val="auto"/>
        </w:rPr>
      </w:pPr>
    </w:p>
    <w:p>
      <w:pPr>
        <w:spacing w:after="0" w:line="307" w:lineRule="exact"/>
        <w:rPr>
          <w:sz w:val="20"/>
          <w:szCs w:val="20"/>
          <w:color w:val="auto"/>
        </w:rPr>
      </w:pPr>
    </w:p>
    <w:p>
      <w:pPr>
        <w:ind w:left="1020"/>
        <w:spacing w:after="0"/>
        <w:rPr>
          <w:sz w:val="20"/>
          <w:szCs w:val="20"/>
          <w:color w:val="auto"/>
        </w:rPr>
      </w:pPr>
      <w:r>
        <w:rPr>
          <w:rFonts w:ascii="Arial" w:cs="Arial" w:eastAsia="Arial" w:hAnsi="Arial"/>
          <w:sz w:val="24"/>
          <w:szCs w:val="24"/>
          <w:i w:val="1"/>
          <w:iCs w:val="1"/>
          <w:color w:val="auto"/>
        </w:rPr>
        <w:t>SprEp</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EP r</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EAv</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3</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EAp</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w:t>
      </w:r>
    </w:p>
    <w:p>
      <w:pPr>
        <w:spacing w:after="0" w:line="62" w:lineRule="exact"/>
        <w:rPr>
          <w:sz w:val="20"/>
          <w:szCs w:val="20"/>
          <w:color w:val="auto"/>
        </w:rPr>
      </w:pPr>
    </w:p>
    <w:p>
      <w:pPr>
        <w:ind w:left="2080" w:right="800"/>
        <w:spacing w:after="0" w:line="272" w:lineRule="auto"/>
        <w:rPr>
          <w:sz w:val="20"/>
          <w:szCs w:val="20"/>
          <w:color w:val="auto"/>
        </w:rPr>
      </w:pPr>
      <w:r>
        <w:rPr>
          <w:rFonts w:ascii="Arial" w:cs="Arial" w:eastAsia="Arial" w:hAnsi="Arial"/>
          <w:sz w:val="23"/>
          <w:szCs w:val="23"/>
          <w:i w:val="1"/>
          <w:iCs w:val="1"/>
          <w:color w:val="auto"/>
        </w:rPr>
        <w:t>β</w:t>
      </w:r>
      <w:r>
        <w:rPr>
          <w:rFonts w:ascii="Arial" w:cs="Arial" w:eastAsia="Arial" w:hAnsi="Arial"/>
          <w:sz w:val="29"/>
          <w:szCs w:val="29"/>
          <w:color w:val="auto"/>
          <w:vertAlign w:val="subscript"/>
        </w:rPr>
        <w:t>4</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M Apl</w:t>
      </w:r>
      <w:r>
        <w:rPr>
          <w:rFonts w:ascii="Arial" w:cs="Arial" w:eastAsia="Arial" w:hAnsi="Arial"/>
          <w:sz w:val="29"/>
          <w:szCs w:val="29"/>
          <w:i w:val="1"/>
          <w:iCs w:val="1"/>
          <w:color w:val="auto"/>
          <w:vertAlign w:val="subscript"/>
        </w:rPr>
        <w:t>it</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5</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Jcp</w:t>
      </w:r>
      <w:r>
        <w:rPr>
          <w:rFonts w:ascii="Arial" w:cs="Arial" w:eastAsia="Arial" w:hAnsi="Arial"/>
          <w:sz w:val="29"/>
          <w:szCs w:val="29"/>
          <w:i w:val="1"/>
          <w:iCs w:val="1"/>
          <w:color w:val="auto"/>
          <w:vertAlign w:val="subscript"/>
        </w:rPr>
        <w:t>it</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6</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lnAtv</w:t>
      </w:r>
      <w:r>
        <w:rPr>
          <w:rFonts w:ascii="Arial" w:cs="Arial" w:eastAsia="Arial" w:hAnsi="Arial"/>
          <w:sz w:val="29"/>
          <w:szCs w:val="29"/>
          <w:i w:val="1"/>
          <w:iCs w:val="1"/>
          <w:color w:val="auto"/>
          <w:vertAlign w:val="subscript"/>
        </w:rPr>
        <w:t>it</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7</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M Sh</w:t>
      </w:r>
      <w:r>
        <w:rPr>
          <w:rFonts w:ascii="Arial" w:cs="Arial" w:eastAsia="Arial" w:hAnsi="Arial"/>
          <w:sz w:val="29"/>
          <w:szCs w:val="29"/>
          <w:i w:val="1"/>
          <w:iCs w:val="1"/>
          <w:color w:val="auto"/>
          <w:vertAlign w:val="subscript"/>
        </w:rPr>
        <w:t>it</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8</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HHI</w:t>
      </w:r>
      <w:r>
        <w:rPr>
          <w:rFonts w:ascii="Arial" w:cs="Arial" w:eastAsia="Arial" w:hAnsi="Arial"/>
          <w:sz w:val="29"/>
          <w:szCs w:val="29"/>
          <w:i w:val="1"/>
          <w:iCs w:val="1"/>
          <w:color w:val="auto"/>
          <w:vertAlign w:val="subscript"/>
        </w:rPr>
        <w:t>t</w:t>
      </w:r>
      <w:r>
        <w:rPr>
          <w:rFonts w:ascii="Arial" w:cs="Arial" w:eastAsia="Arial" w:hAnsi="Arial"/>
          <w:sz w:val="23"/>
          <w:szCs w:val="23"/>
          <w:color w:val="auto"/>
        </w:rPr>
        <w:t>+</w:t>
      </w:r>
      <w:r>
        <w:rPr>
          <w:rFonts w:ascii="Arial" w:cs="Arial" w:eastAsia="Arial" w:hAnsi="Arial"/>
          <w:sz w:val="23"/>
          <w:szCs w:val="23"/>
          <w:i w:val="1"/>
          <w:iCs w:val="1"/>
          <w:color w:val="auto"/>
        </w:rPr>
        <w:t xml:space="preserve"> β</w:t>
      </w:r>
      <w:r>
        <w:rPr>
          <w:rFonts w:ascii="Arial" w:cs="Arial" w:eastAsia="Arial" w:hAnsi="Arial"/>
          <w:sz w:val="29"/>
          <w:szCs w:val="29"/>
          <w:color w:val="auto"/>
          <w:vertAlign w:val="subscript"/>
        </w:rPr>
        <w:t>9</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T Ins</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10</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OCap</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11</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CIns</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12</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Sel</w:t>
      </w:r>
      <w:r>
        <w:rPr>
          <w:rFonts w:ascii="Arial" w:cs="Arial" w:eastAsia="Arial" w:hAnsi="Arial"/>
          <w:sz w:val="29"/>
          <w:szCs w:val="29"/>
          <w:i w:val="1"/>
          <w:iCs w:val="1"/>
          <w:color w:val="auto"/>
          <w:vertAlign w:val="subscript"/>
        </w:rPr>
        <w:t>t</w:t>
      </w:r>
      <w:r>
        <w:rPr>
          <w:rFonts w:ascii="Arial" w:cs="Arial" w:eastAsia="Arial" w:hAnsi="Arial"/>
          <w:sz w:val="29"/>
          <w:szCs w:val="29"/>
          <w:color w:val="auto"/>
          <w:vertAlign w:val="subscript"/>
        </w:rPr>
        <w:t>−1</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13</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Ipca</w:t>
      </w:r>
      <w:r>
        <w:rPr>
          <w:rFonts w:ascii="Arial" w:cs="Arial" w:eastAsia="Arial" w:hAnsi="Arial"/>
          <w:sz w:val="29"/>
          <w:szCs w:val="29"/>
          <w:i w:val="1"/>
          <w:iCs w:val="1"/>
          <w:color w:val="auto"/>
          <w:vertAlign w:val="subscript"/>
        </w:rPr>
        <w:t>t</w:t>
      </w:r>
      <w:r>
        <w:rPr>
          <w:rFonts w:ascii="Arial" w:cs="Arial" w:eastAsia="Arial" w:hAnsi="Arial"/>
          <w:sz w:val="29"/>
          <w:szCs w:val="29"/>
          <w:color w:val="auto"/>
          <w:vertAlign w:val="subscript"/>
        </w:rPr>
        <w:t>−1</w:t>
      </w:r>
      <w:r>
        <w:rPr>
          <w:rFonts w:ascii="Arial" w:cs="Arial" w:eastAsia="Arial" w:hAnsi="Arial"/>
          <w:sz w:val="23"/>
          <w:szCs w:val="23"/>
          <w:color w:val="auto"/>
        </w:rPr>
        <w:t>+</w:t>
      </w:r>
      <w:r>
        <w:rPr>
          <w:rFonts w:ascii="Arial" w:cs="Arial" w:eastAsia="Arial" w:hAnsi="Arial"/>
          <w:sz w:val="44"/>
          <w:szCs w:val="44"/>
          <w:i w:val="1"/>
          <w:iCs w:val="1"/>
          <w:color w:val="auto"/>
        </w:rPr>
        <w:t xml:space="preserve"> </w:t>
      </w:r>
      <w:r>
        <w:rPr>
          <w:rFonts w:ascii="Arial" w:cs="Arial" w:eastAsia="Arial" w:hAnsi="Arial"/>
          <w:sz w:val="44"/>
          <w:szCs w:val="44"/>
          <w:i w:val="1"/>
          <w:iCs w:val="1"/>
          <w:color w:val="auto"/>
          <w:vertAlign w:val="superscript"/>
        </w:rPr>
        <w:t>β</w:t>
      </w:r>
      <w:r>
        <w:rPr>
          <w:rFonts w:ascii="Arial" w:cs="Arial" w:eastAsia="Arial" w:hAnsi="Arial"/>
          <w:sz w:val="15"/>
          <w:szCs w:val="15"/>
          <w:color w:val="auto"/>
        </w:rPr>
        <w:t>14</w:t>
      </w:r>
      <w:r>
        <w:rPr>
          <w:rFonts w:ascii="Arial" w:cs="Arial" w:eastAsia="Arial" w:hAnsi="Arial"/>
          <w:sz w:val="15"/>
          <w:szCs w:val="15"/>
          <w:i w:val="1"/>
          <w:iCs w:val="1"/>
          <w:color w:val="auto"/>
        </w:rPr>
        <w:t>it</w:t>
      </w:r>
      <w:r>
        <w:rPr>
          <w:rFonts w:ascii="Arial" w:cs="Arial" w:eastAsia="Arial" w:hAnsi="Arial"/>
          <w:sz w:val="44"/>
          <w:szCs w:val="44"/>
          <w:i w:val="1"/>
          <w:iCs w:val="1"/>
          <w:color w:val="auto"/>
          <w:vertAlign w:val="superscript"/>
        </w:rPr>
        <w:t>Com</w:t>
      </w:r>
      <w:r>
        <w:rPr>
          <w:rFonts w:ascii="Arial" w:cs="Arial" w:eastAsia="Arial" w:hAnsi="Arial"/>
          <w:sz w:val="15"/>
          <w:szCs w:val="15"/>
          <w:i w:val="1"/>
          <w:iCs w:val="1"/>
          <w:color w:val="auto"/>
        </w:rPr>
        <w:t>t</w:t>
      </w:r>
      <w:r>
        <w:rPr>
          <w:rFonts w:ascii="Arial" w:cs="Arial" w:eastAsia="Arial" w:hAnsi="Arial"/>
          <w:sz w:val="44"/>
          <w:szCs w:val="44"/>
          <w:color w:val="auto"/>
        </w:rPr>
        <w:t xml:space="preserve"> </w:t>
      </w:r>
      <w:r>
        <w:rPr>
          <w:rFonts w:ascii="Arial" w:cs="Arial" w:eastAsia="Arial" w:hAnsi="Arial"/>
          <w:sz w:val="44"/>
          <w:szCs w:val="44"/>
          <w:color w:val="auto"/>
          <w:vertAlign w:val="superscript"/>
        </w:rPr>
        <w:t>+</w:t>
      </w:r>
      <w:r>
        <w:rPr>
          <w:rFonts w:ascii="Arial" w:cs="Arial" w:eastAsia="Arial" w:hAnsi="Arial"/>
          <w:sz w:val="44"/>
          <w:szCs w:val="44"/>
          <w:color w:val="auto"/>
        </w:rPr>
        <w:t xml:space="preserve"> </w:t>
      </w:r>
      <w:r>
        <w:rPr>
          <w:rFonts w:ascii="Arial" w:cs="Arial" w:eastAsia="Arial" w:hAnsi="Arial"/>
          <w:sz w:val="44"/>
          <w:szCs w:val="44"/>
          <w:i w:val="1"/>
          <w:iCs w:val="1"/>
          <w:color w:val="auto"/>
          <w:vertAlign w:val="superscript"/>
        </w:rPr>
        <w:t>β</w:t>
      </w:r>
      <w:r>
        <w:rPr>
          <w:rFonts w:ascii="Arial" w:cs="Arial" w:eastAsia="Arial" w:hAnsi="Arial"/>
          <w:sz w:val="15"/>
          <w:szCs w:val="15"/>
          <w:color w:val="auto"/>
        </w:rPr>
        <w:t>15</w:t>
      </w:r>
      <w:r>
        <w:rPr>
          <w:rFonts w:ascii="Arial" w:cs="Arial" w:eastAsia="Arial" w:hAnsi="Arial"/>
          <w:sz w:val="15"/>
          <w:szCs w:val="15"/>
          <w:i w:val="1"/>
          <w:iCs w:val="1"/>
          <w:color w:val="auto"/>
        </w:rPr>
        <w:t>it</w:t>
      </w:r>
      <w:r>
        <w:rPr>
          <w:rFonts w:ascii="Arial" w:cs="Arial" w:eastAsia="Arial" w:hAnsi="Arial"/>
          <w:sz w:val="44"/>
          <w:szCs w:val="44"/>
          <w:i w:val="1"/>
          <w:iCs w:val="1"/>
          <w:color w:val="auto"/>
          <w:vertAlign w:val="superscript"/>
        </w:rPr>
        <w:t>M pag</w:t>
      </w:r>
      <w:r>
        <w:rPr>
          <w:rFonts w:ascii="Arial" w:cs="Arial" w:eastAsia="Arial" w:hAnsi="Arial"/>
          <w:sz w:val="15"/>
          <w:szCs w:val="15"/>
          <w:i w:val="1"/>
          <w:iCs w:val="1"/>
          <w:color w:val="auto"/>
        </w:rPr>
        <w:t>t</w:t>
      </w:r>
      <w:r>
        <w:rPr>
          <w:rFonts w:ascii="Arial" w:cs="Arial" w:eastAsia="Arial" w:hAnsi="Arial"/>
          <w:sz w:val="15"/>
          <w:szCs w:val="15"/>
          <w:color w:val="auto"/>
        </w:rPr>
        <w:t>−1</w:t>
      </w:r>
      <w:r>
        <w:rPr>
          <w:rFonts w:ascii="Arial" w:cs="Arial" w:eastAsia="Arial" w:hAnsi="Arial"/>
          <w:sz w:val="44"/>
          <w:szCs w:val="44"/>
          <w:color w:val="auto"/>
        </w:rPr>
        <w:t xml:space="preserve"> </w:t>
      </w:r>
      <w:r>
        <w:rPr>
          <w:rFonts w:ascii="Arial" w:cs="Arial" w:eastAsia="Arial" w:hAnsi="Arial"/>
          <w:sz w:val="44"/>
          <w:szCs w:val="44"/>
          <w:color w:val="auto"/>
          <w:vertAlign w:val="superscript"/>
        </w:rPr>
        <w:t>+</w:t>
      </w:r>
      <w:r>
        <w:rPr>
          <w:rFonts w:ascii="Arial" w:cs="Arial" w:eastAsia="Arial" w:hAnsi="Arial"/>
          <w:sz w:val="44"/>
          <w:szCs w:val="44"/>
          <w:color w:val="auto"/>
        </w:rPr>
        <w:t xml:space="preserve"> </w:t>
      </w:r>
      <w:r>
        <w:rPr>
          <w:rFonts w:ascii="Arial" w:cs="Arial" w:eastAsia="Arial" w:hAnsi="Arial"/>
          <w:sz w:val="44"/>
          <w:szCs w:val="44"/>
          <w:i w:val="1"/>
          <w:iCs w:val="1"/>
          <w:color w:val="auto"/>
          <w:vertAlign w:val="superscript"/>
        </w:rPr>
        <w:t>β</w:t>
      </w:r>
      <w:r>
        <w:rPr>
          <w:rFonts w:ascii="Arial" w:cs="Arial" w:eastAsia="Arial" w:hAnsi="Arial"/>
          <w:sz w:val="15"/>
          <w:szCs w:val="15"/>
          <w:color w:val="auto"/>
        </w:rPr>
        <w:t>16</w:t>
      </w:r>
      <w:r>
        <w:rPr>
          <w:rFonts w:ascii="Arial" w:cs="Arial" w:eastAsia="Arial" w:hAnsi="Arial"/>
          <w:sz w:val="15"/>
          <w:szCs w:val="15"/>
          <w:i w:val="1"/>
          <w:iCs w:val="1"/>
          <w:color w:val="auto"/>
        </w:rPr>
        <w:t>it</w:t>
      </w:r>
      <w:r>
        <w:rPr>
          <w:rFonts w:ascii="Arial" w:cs="Arial" w:eastAsia="Arial" w:hAnsi="Arial"/>
          <w:sz w:val="44"/>
          <w:szCs w:val="44"/>
          <w:i w:val="1"/>
          <w:iCs w:val="1"/>
          <w:color w:val="auto"/>
          <w:vertAlign w:val="superscript"/>
        </w:rPr>
        <w:t>V M o</w:t>
      </w:r>
      <w:r>
        <w:rPr>
          <w:rFonts w:ascii="Arial" w:cs="Arial" w:eastAsia="Arial" w:hAnsi="Arial"/>
          <w:sz w:val="15"/>
          <w:szCs w:val="15"/>
          <w:i w:val="1"/>
          <w:iCs w:val="1"/>
          <w:color w:val="auto"/>
        </w:rPr>
        <w:t>t</w:t>
      </w:r>
      <w:r>
        <w:rPr>
          <w:rFonts w:ascii="Arial" w:cs="Arial" w:eastAsia="Arial" w:hAnsi="Arial"/>
          <w:sz w:val="44"/>
          <w:szCs w:val="44"/>
          <w:color w:val="auto"/>
        </w:rPr>
        <w:t xml:space="preserve"> </w:t>
      </w:r>
      <w:r>
        <w:rPr>
          <w:rFonts w:ascii="Arial" w:cs="Arial" w:eastAsia="Arial" w:hAnsi="Arial"/>
          <w:sz w:val="44"/>
          <w:szCs w:val="44"/>
          <w:color w:val="auto"/>
          <w:vertAlign w:val="superscript"/>
        </w:rPr>
        <w:t>+</w:t>
      </w:r>
      <w:r>
        <w:rPr>
          <w:rFonts w:ascii="Arial" w:cs="Arial" w:eastAsia="Arial" w:hAnsi="Arial"/>
          <w:sz w:val="44"/>
          <w:szCs w:val="44"/>
          <w:color w:val="auto"/>
        </w:rPr>
        <w:t xml:space="preserve"> </w:t>
      </w:r>
      <w:r>
        <w:rPr>
          <w:rFonts w:ascii="Arial" w:cs="Arial" w:eastAsia="Arial" w:hAnsi="Arial"/>
          <w:sz w:val="44"/>
          <w:szCs w:val="44"/>
          <w:i w:val="1"/>
          <w:iCs w:val="1"/>
          <w:color w:val="auto"/>
          <w:vertAlign w:val="superscript"/>
        </w:rPr>
        <w:t>β</w:t>
      </w:r>
      <w:r>
        <w:rPr>
          <w:rFonts w:ascii="Arial" w:cs="Arial" w:eastAsia="Arial" w:hAnsi="Arial"/>
          <w:sz w:val="15"/>
          <w:szCs w:val="15"/>
          <w:color w:val="auto"/>
        </w:rPr>
        <w:t>17</w:t>
      </w:r>
      <w:r>
        <w:rPr>
          <w:rFonts w:ascii="Arial" w:cs="Arial" w:eastAsia="Arial" w:hAnsi="Arial"/>
          <w:sz w:val="15"/>
          <w:szCs w:val="15"/>
          <w:i w:val="1"/>
          <w:iCs w:val="1"/>
          <w:color w:val="auto"/>
        </w:rPr>
        <w:t>t</w:t>
      </w:r>
      <w:r>
        <w:rPr>
          <w:rFonts w:ascii="Arial" w:cs="Arial" w:eastAsia="Arial" w:hAnsi="Arial"/>
          <w:sz w:val="44"/>
          <w:szCs w:val="44"/>
          <w:i w:val="1"/>
          <w:iCs w:val="1"/>
          <w:color w:val="auto"/>
          <w:vertAlign w:val="superscript"/>
        </w:rPr>
        <w:t>SprEa</w:t>
      </w:r>
      <w:r>
        <w:rPr>
          <w:rFonts w:ascii="Arial" w:cs="Arial" w:eastAsia="Arial" w:hAnsi="Arial"/>
          <w:sz w:val="15"/>
          <w:szCs w:val="15"/>
          <w:i w:val="1"/>
          <w:iCs w:val="1"/>
          <w:color w:val="auto"/>
        </w:rPr>
        <w:t>t</w:t>
      </w:r>
      <w:r>
        <w:rPr>
          <w:rFonts w:ascii="Arial" w:cs="Arial" w:eastAsia="Arial" w:hAnsi="Arial"/>
          <w:sz w:val="15"/>
          <w:szCs w:val="15"/>
          <w:color w:val="auto"/>
        </w:rPr>
        <w:t>−1</w:t>
      </w:r>
    </w:p>
    <w:p>
      <w:pPr>
        <w:spacing w:after="0" w:line="54" w:lineRule="exact"/>
        <w:rPr>
          <w:sz w:val="20"/>
          <w:szCs w:val="20"/>
          <w:color w:val="auto"/>
        </w:rPr>
      </w:pPr>
    </w:p>
    <w:p>
      <w:pPr>
        <w:jc w:val="both"/>
        <w:ind w:left="260" w:right="40" w:firstLine="850"/>
        <w:spacing w:after="0" w:line="334" w:lineRule="auto"/>
        <w:rPr>
          <w:sz w:val="20"/>
          <w:szCs w:val="20"/>
          <w:color w:val="auto"/>
        </w:rPr>
      </w:pPr>
      <w:r>
        <w:rPr>
          <w:rFonts w:ascii="Arial" w:cs="Arial" w:eastAsia="Arial" w:hAnsi="Arial"/>
          <w:sz w:val="23"/>
          <w:szCs w:val="23"/>
          <w:color w:val="auto"/>
        </w:rPr>
        <w:t xml:space="preserve">O segundo modelo econométrico testará as variáveis implícitas e explícitas com significância estatística do primeiro modelo, atuando sobre a rentabilidade bancária </w:t>
      </w:r>
      <w:r>
        <w:rPr>
          <w:rFonts w:ascii="Arial" w:cs="Arial" w:eastAsia="Arial" w:hAnsi="Arial"/>
          <w:sz w:val="23"/>
          <w:szCs w:val="23"/>
          <w:i w:val="1"/>
          <w:iCs w:val="1"/>
          <w:color w:val="auto"/>
        </w:rPr>
        <w:t>Rent</w:t>
      </w:r>
      <w:r>
        <w:rPr>
          <w:rFonts w:ascii="Arial" w:cs="Arial" w:eastAsia="Arial" w:hAnsi="Arial"/>
          <w:sz w:val="23"/>
          <w:szCs w:val="23"/>
          <w:color w:val="auto"/>
        </w:rPr>
        <w:t>, conforme modelos especificados. Para a rentabilidade será considerada a razão</w:t>
      </w:r>
      <w:r>
        <w:rPr>
          <w:rFonts w:ascii="Arial" w:cs="Arial" w:eastAsia="Arial" w:hAnsi="Arial"/>
          <w:sz w:val="23"/>
          <w:szCs w:val="23"/>
          <w:i w:val="1"/>
          <w:iCs w:val="1"/>
          <w:color w:val="auto"/>
        </w:rPr>
        <w:t xml:space="preserve"> </w:t>
      </w:r>
      <w:r>
        <w:rPr>
          <w:rFonts w:ascii="Arial" w:cs="Arial" w:eastAsia="Arial" w:hAnsi="Arial"/>
          <w:sz w:val="23"/>
          <w:szCs w:val="23"/>
          <w:color w:val="auto"/>
        </w:rPr>
        <w:t>entre o lucro líquido (</w:t>
      </w:r>
      <w:r>
        <w:rPr>
          <w:rFonts w:ascii="Arial" w:cs="Arial" w:eastAsia="Arial" w:hAnsi="Arial"/>
          <w:sz w:val="23"/>
          <w:szCs w:val="23"/>
          <w:i w:val="1"/>
          <w:iCs w:val="1"/>
          <w:color w:val="auto"/>
        </w:rPr>
        <w:t>LcrLqd</w:t>
      </w:r>
      <w:r>
        <w:rPr>
          <w:rFonts w:ascii="Arial" w:cs="Arial" w:eastAsia="Arial" w:hAnsi="Arial"/>
          <w:sz w:val="23"/>
          <w:szCs w:val="23"/>
          <w:color w:val="auto"/>
        </w:rPr>
        <w:t>) e a Receita das Operações de crédito (</w:t>
      </w:r>
      <w:r>
        <w:rPr>
          <w:rFonts w:ascii="Arial" w:cs="Arial" w:eastAsia="Arial" w:hAnsi="Arial"/>
          <w:sz w:val="23"/>
          <w:szCs w:val="23"/>
          <w:i w:val="1"/>
          <w:iCs w:val="1"/>
          <w:color w:val="auto"/>
        </w:rPr>
        <w:t>RecOpCr</w:t>
      </w:r>
      <w:r>
        <w:rPr>
          <w:rFonts w:ascii="Arial" w:cs="Arial" w:eastAsia="Arial" w:hAnsi="Arial"/>
          <w:sz w:val="23"/>
          <w:szCs w:val="23"/>
          <w:color w:val="auto"/>
        </w:rPr>
        <w:t>).</w:t>
      </w:r>
    </w:p>
    <w:p>
      <w:pPr>
        <w:spacing w:after="0" w:line="86" w:lineRule="exact"/>
        <w:rPr>
          <w:sz w:val="20"/>
          <w:szCs w:val="20"/>
          <w:color w:val="auto"/>
        </w:rPr>
      </w:pPr>
    </w:p>
    <w:p>
      <w:pPr>
        <w:ind w:left="1100"/>
        <w:spacing w:after="0"/>
        <w:rPr>
          <w:sz w:val="20"/>
          <w:szCs w:val="20"/>
          <w:color w:val="auto"/>
        </w:rPr>
      </w:pPr>
      <w:r>
        <w:rPr>
          <w:rFonts w:ascii="Arial" w:cs="Arial" w:eastAsia="Arial" w:hAnsi="Arial"/>
          <w:sz w:val="24"/>
          <w:szCs w:val="24"/>
          <w:i w:val="1"/>
          <w:iCs w:val="1"/>
          <w:color w:val="auto"/>
        </w:rPr>
        <w:t>Rent</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0</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1</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EP r</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2</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EAv</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r>
        <w:rPr>
          <w:rFonts w:ascii="Arial" w:cs="Arial" w:eastAsia="Arial" w:hAnsi="Arial"/>
          <w:sz w:val="24"/>
          <w:szCs w:val="24"/>
          <w:color w:val="auto"/>
        </w:rPr>
        <w:t xml:space="preserve"> </w:t>
      </w:r>
      <w:r>
        <w:rPr>
          <w:rFonts w:ascii="Arial" w:cs="Arial" w:eastAsia="Arial" w:hAnsi="Arial"/>
          <w:sz w:val="24"/>
          <w:szCs w:val="24"/>
          <w:i w:val="1"/>
          <w:iCs w:val="1"/>
          <w:color w:val="auto"/>
        </w:rPr>
        <w:t>β</w:t>
      </w:r>
      <w:r>
        <w:rPr>
          <w:rFonts w:ascii="Arial" w:cs="Arial" w:eastAsia="Arial" w:hAnsi="Arial"/>
          <w:sz w:val="31"/>
          <w:szCs w:val="31"/>
          <w:color w:val="auto"/>
          <w:vertAlign w:val="subscript"/>
        </w:rPr>
        <w:t>3</w:t>
      </w:r>
      <w:r>
        <w:rPr>
          <w:rFonts w:ascii="Arial" w:cs="Arial" w:eastAsia="Arial" w:hAnsi="Arial"/>
          <w:sz w:val="31"/>
          <w:szCs w:val="31"/>
          <w:i w:val="1"/>
          <w:iCs w:val="1"/>
          <w:color w:val="auto"/>
          <w:vertAlign w:val="subscript"/>
        </w:rPr>
        <w:t>it</w:t>
      </w:r>
      <w:r>
        <w:rPr>
          <w:rFonts w:ascii="Arial" w:cs="Arial" w:eastAsia="Arial" w:hAnsi="Arial"/>
          <w:sz w:val="24"/>
          <w:szCs w:val="24"/>
          <w:i w:val="1"/>
          <w:iCs w:val="1"/>
          <w:color w:val="auto"/>
        </w:rPr>
        <w:t>EAp</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w:t>
      </w:r>
    </w:p>
    <w:p>
      <w:pPr>
        <w:spacing w:after="0" w:line="62" w:lineRule="exact"/>
        <w:rPr>
          <w:sz w:val="20"/>
          <w:szCs w:val="20"/>
          <w:color w:val="auto"/>
        </w:rPr>
      </w:pPr>
    </w:p>
    <w:p>
      <w:pPr>
        <w:ind w:left="2000" w:right="880"/>
        <w:spacing w:after="0" w:line="272" w:lineRule="auto"/>
        <w:rPr>
          <w:sz w:val="20"/>
          <w:szCs w:val="20"/>
          <w:color w:val="auto"/>
        </w:rPr>
      </w:pPr>
      <w:r>
        <w:rPr>
          <w:rFonts w:ascii="Arial" w:cs="Arial" w:eastAsia="Arial" w:hAnsi="Arial"/>
          <w:sz w:val="23"/>
          <w:szCs w:val="23"/>
          <w:i w:val="1"/>
          <w:iCs w:val="1"/>
          <w:color w:val="auto"/>
        </w:rPr>
        <w:t>β</w:t>
      </w:r>
      <w:r>
        <w:rPr>
          <w:rFonts w:ascii="Arial" w:cs="Arial" w:eastAsia="Arial" w:hAnsi="Arial"/>
          <w:sz w:val="29"/>
          <w:szCs w:val="29"/>
          <w:color w:val="auto"/>
          <w:vertAlign w:val="subscript"/>
        </w:rPr>
        <w:t>4</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M Apl</w:t>
      </w:r>
      <w:r>
        <w:rPr>
          <w:rFonts w:ascii="Arial" w:cs="Arial" w:eastAsia="Arial" w:hAnsi="Arial"/>
          <w:sz w:val="29"/>
          <w:szCs w:val="29"/>
          <w:i w:val="1"/>
          <w:iCs w:val="1"/>
          <w:color w:val="auto"/>
          <w:vertAlign w:val="subscript"/>
        </w:rPr>
        <w:t>it</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5</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Jcp</w:t>
      </w:r>
      <w:r>
        <w:rPr>
          <w:rFonts w:ascii="Arial" w:cs="Arial" w:eastAsia="Arial" w:hAnsi="Arial"/>
          <w:sz w:val="29"/>
          <w:szCs w:val="29"/>
          <w:i w:val="1"/>
          <w:iCs w:val="1"/>
          <w:color w:val="auto"/>
          <w:vertAlign w:val="subscript"/>
        </w:rPr>
        <w:t>it</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6</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lnAtv</w:t>
      </w:r>
      <w:r>
        <w:rPr>
          <w:rFonts w:ascii="Arial" w:cs="Arial" w:eastAsia="Arial" w:hAnsi="Arial"/>
          <w:sz w:val="29"/>
          <w:szCs w:val="29"/>
          <w:i w:val="1"/>
          <w:iCs w:val="1"/>
          <w:color w:val="auto"/>
          <w:vertAlign w:val="subscript"/>
        </w:rPr>
        <w:t>it</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7</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M Sh</w:t>
      </w:r>
      <w:r>
        <w:rPr>
          <w:rFonts w:ascii="Arial" w:cs="Arial" w:eastAsia="Arial" w:hAnsi="Arial"/>
          <w:sz w:val="29"/>
          <w:szCs w:val="29"/>
          <w:i w:val="1"/>
          <w:iCs w:val="1"/>
          <w:color w:val="auto"/>
          <w:vertAlign w:val="subscript"/>
        </w:rPr>
        <w:t>it</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8</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HHI</w:t>
      </w:r>
      <w:r>
        <w:rPr>
          <w:rFonts w:ascii="Arial" w:cs="Arial" w:eastAsia="Arial" w:hAnsi="Arial"/>
          <w:sz w:val="29"/>
          <w:szCs w:val="29"/>
          <w:i w:val="1"/>
          <w:iCs w:val="1"/>
          <w:color w:val="auto"/>
          <w:vertAlign w:val="subscript"/>
        </w:rPr>
        <w:t>t</w:t>
      </w:r>
      <w:r>
        <w:rPr>
          <w:rFonts w:ascii="Arial" w:cs="Arial" w:eastAsia="Arial" w:hAnsi="Arial"/>
          <w:sz w:val="23"/>
          <w:szCs w:val="23"/>
          <w:color w:val="auto"/>
        </w:rPr>
        <w:t>+</w:t>
      </w:r>
      <w:r>
        <w:rPr>
          <w:rFonts w:ascii="Arial" w:cs="Arial" w:eastAsia="Arial" w:hAnsi="Arial"/>
          <w:sz w:val="23"/>
          <w:szCs w:val="23"/>
          <w:i w:val="1"/>
          <w:iCs w:val="1"/>
          <w:color w:val="auto"/>
        </w:rPr>
        <w:t xml:space="preserve"> β</w:t>
      </w:r>
      <w:r>
        <w:rPr>
          <w:rFonts w:ascii="Arial" w:cs="Arial" w:eastAsia="Arial" w:hAnsi="Arial"/>
          <w:sz w:val="29"/>
          <w:szCs w:val="29"/>
          <w:color w:val="auto"/>
          <w:vertAlign w:val="subscript"/>
        </w:rPr>
        <w:t>9</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T Ins</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10</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OCap</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11</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CIns</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12</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Sel</w:t>
      </w:r>
      <w:r>
        <w:rPr>
          <w:rFonts w:ascii="Arial" w:cs="Arial" w:eastAsia="Arial" w:hAnsi="Arial"/>
          <w:sz w:val="29"/>
          <w:szCs w:val="29"/>
          <w:i w:val="1"/>
          <w:iCs w:val="1"/>
          <w:color w:val="auto"/>
          <w:vertAlign w:val="subscript"/>
        </w:rPr>
        <w:t>t</w:t>
      </w:r>
      <w:r>
        <w:rPr>
          <w:rFonts w:ascii="Arial" w:cs="Arial" w:eastAsia="Arial" w:hAnsi="Arial"/>
          <w:sz w:val="29"/>
          <w:szCs w:val="29"/>
          <w:color w:val="auto"/>
          <w:vertAlign w:val="subscript"/>
        </w:rPr>
        <w:t>−1</w:t>
      </w:r>
      <w:r>
        <w:rPr>
          <w:rFonts w:ascii="Arial" w:cs="Arial" w:eastAsia="Arial" w:hAnsi="Arial"/>
          <w:sz w:val="23"/>
          <w:szCs w:val="23"/>
          <w:color w:val="auto"/>
        </w:rPr>
        <w:t xml:space="preserve"> +</w:t>
      </w:r>
      <w:r>
        <w:rPr>
          <w:rFonts w:ascii="Arial" w:cs="Arial" w:eastAsia="Arial" w:hAnsi="Arial"/>
          <w:sz w:val="23"/>
          <w:szCs w:val="23"/>
          <w:color w:val="auto"/>
        </w:rPr>
        <w:t xml:space="preserve"> </w:t>
      </w:r>
      <w:r>
        <w:rPr>
          <w:rFonts w:ascii="Arial" w:cs="Arial" w:eastAsia="Arial" w:hAnsi="Arial"/>
          <w:sz w:val="23"/>
          <w:szCs w:val="23"/>
          <w:i w:val="1"/>
          <w:iCs w:val="1"/>
          <w:color w:val="auto"/>
        </w:rPr>
        <w:t>β</w:t>
      </w:r>
      <w:r>
        <w:rPr>
          <w:rFonts w:ascii="Arial" w:cs="Arial" w:eastAsia="Arial" w:hAnsi="Arial"/>
          <w:sz w:val="29"/>
          <w:szCs w:val="29"/>
          <w:color w:val="auto"/>
          <w:vertAlign w:val="subscript"/>
        </w:rPr>
        <w:t>13</w:t>
      </w:r>
      <w:r>
        <w:rPr>
          <w:rFonts w:ascii="Arial" w:cs="Arial" w:eastAsia="Arial" w:hAnsi="Arial"/>
          <w:sz w:val="29"/>
          <w:szCs w:val="29"/>
          <w:i w:val="1"/>
          <w:iCs w:val="1"/>
          <w:color w:val="auto"/>
          <w:vertAlign w:val="subscript"/>
        </w:rPr>
        <w:t>it</w:t>
      </w:r>
      <w:r>
        <w:rPr>
          <w:rFonts w:ascii="Arial" w:cs="Arial" w:eastAsia="Arial" w:hAnsi="Arial"/>
          <w:sz w:val="23"/>
          <w:szCs w:val="23"/>
          <w:i w:val="1"/>
          <w:iCs w:val="1"/>
          <w:color w:val="auto"/>
        </w:rPr>
        <w:t>Ipca</w:t>
      </w:r>
      <w:r>
        <w:rPr>
          <w:rFonts w:ascii="Arial" w:cs="Arial" w:eastAsia="Arial" w:hAnsi="Arial"/>
          <w:sz w:val="29"/>
          <w:szCs w:val="29"/>
          <w:i w:val="1"/>
          <w:iCs w:val="1"/>
          <w:color w:val="auto"/>
          <w:vertAlign w:val="subscript"/>
        </w:rPr>
        <w:t>t</w:t>
      </w:r>
      <w:r>
        <w:rPr>
          <w:rFonts w:ascii="Arial" w:cs="Arial" w:eastAsia="Arial" w:hAnsi="Arial"/>
          <w:sz w:val="29"/>
          <w:szCs w:val="29"/>
          <w:color w:val="auto"/>
          <w:vertAlign w:val="subscript"/>
        </w:rPr>
        <w:t>−1</w:t>
      </w:r>
      <w:r>
        <w:rPr>
          <w:rFonts w:ascii="Arial" w:cs="Arial" w:eastAsia="Arial" w:hAnsi="Arial"/>
          <w:sz w:val="23"/>
          <w:szCs w:val="23"/>
          <w:color w:val="auto"/>
        </w:rPr>
        <w:t>+</w:t>
      </w:r>
      <w:r>
        <w:rPr>
          <w:rFonts w:ascii="Arial" w:cs="Arial" w:eastAsia="Arial" w:hAnsi="Arial"/>
          <w:sz w:val="44"/>
          <w:szCs w:val="44"/>
          <w:i w:val="1"/>
          <w:iCs w:val="1"/>
          <w:color w:val="auto"/>
        </w:rPr>
        <w:t xml:space="preserve"> </w:t>
      </w:r>
      <w:r>
        <w:rPr>
          <w:rFonts w:ascii="Arial" w:cs="Arial" w:eastAsia="Arial" w:hAnsi="Arial"/>
          <w:sz w:val="44"/>
          <w:szCs w:val="44"/>
          <w:i w:val="1"/>
          <w:iCs w:val="1"/>
          <w:color w:val="auto"/>
          <w:vertAlign w:val="superscript"/>
        </w:rPr>
        <w:t>β</w:t>
      </w:r>
      <w:r>
        <w:rPr>
          <w:rFonts w:ascii="Arial" w:cs="Arial" w:eastAsia="Arial" w:hAnsi="Arial"/>
          <w:sz w:val="15"/>
          <w:szCs w:val="15"/>
          <w:color w:val="auto"/>
        </w:rPr>
        <w:t>14</w:t>
      </w:r>
      <w:r>
        <w:rPr>
          <w:rFonts w:ascii="Arial" w:cs="Arial" w:eastAsia="Arial" w:hAnsi="Arial"/>
          <w:sz w:val="15"/>
          <w:szCs w:val="15"/>
          <w:i w:val="1"/>
          <w:iCs w:val="1"/>
          <w:color w:val="auto"/>
        </w:rPr>
        <w:t>it</w:t>
      </w:r>
      <w:r>
        <w:rPr>
          <w:rFonts w:ascii="Arial" w:cs="Arial" w:eastAsia="Arial" w:hAnsi="Arial"/>
          <w:sz w:val="44"/>
          <w:szCs w:val="44"/>
          <w:i w:val="1"/>
          <w:iCs w:val="1"/>
          <w:color w:val="auto"/>
          <w:vertAlign w:val="superscript"/>
        </w:rPr>
        <w:t>Com</w:t>
      </w:r>
      <w:r>
        <w:rPr>
          <w:rFonts w:ascii="Arial" w:cs="Arial" w:eastAsia="Arial" w:hAnsi="Arial"/>
          <w:sz w:val="15"/>
          <w:szCs w:val="15"/>
          <w:i w:val="1"/>
          <w:iCs w:val="1"/>
          <w:color w:val="auto"/>
        </w:rPr>
        <w:t>t</w:t>
      </w:r>
      <w:r>
        <w:rPr>
          <w:rFonts w:ascii="Arial" w:cs="Arial" w:eastAsia="Arial" w:hAnsi="Arial"/>
          <w:sz w:val="44"/>
          <w:szCs w:val="44"/>
          <w:color w:val="auto"/>
        </w:rPr>
        <w:t xml:space="preserve"> </w:t>
      </w:r>
      <w:r>
        <w:rPr>
          <w:rFonts w:ascii="Arial" w:cs="Arial" w:eastAsia="Arial" w:hAnsi="Arial"/>
          <w:sz w:val="44"/>
          <w:szCs w:val="44"/>
          <w:color w:val="auto"/>
          <w:vertAlign w:val="superscript"/>
        </w:rPr>
        <w:t>+</w:t>
      </w:r>
      <w:r>
        <w:rPr>
          <w:rFonts w:ascii="Arial" w:cs="Arial" w:eastAsia="Arial" w:hAnsi="Arial"/>
          <w:sz w:val="44"/>
          <w:szCs w:val="44"/>
          <w:color w:val="auto"/>
        </w:rPr>
        <w:t xml:space="preserve"> </w:t>
      </w:r>
      <w:r>
        <w:rPr>
          <w:rFonts w:ascii="Arial" w:cs="Arial" w:eastAsia="Arial" w:hAnsi="Arial"/>
          <w:sz w:val="44"/>
          <w:szCs w:val="44"/>
          <w:i w:val="1"/>
          <w:iCs w:val="1"/>
          <w:color w:val="auto"/>
          <w:vertAlign w:val="superscript"/>
        </w:rPr>
        <w:t>β</w:t>
      </w:r>
      <w:r>
        <w:rPr>
          <w:rFonts w:ascii="Arial" w:cs="Arial" w:eastAsia="Arial" w:hAnsi="Arial"/>
          <w:sz w:val="15"/>
          <w:szCs w:val="15"/>
          <w:color w:val="auto"/>
        </w:rPr>
        <w:t>15</w:t>
      </w:r>
      <w:r>
        <w:rPr>
          <w:rFonts w:ascii="Arial" w:cs="Arial" w:eastAsia="Arial" w:hAnsi="Arial"/>
          <w:sz w:val="15"/>
          <w:szCs w:val="15"/>
          <w:i w:val="1"/>
          <w:iCs w:val="1"/>
          <w:color w:val="auto"/>
        </w:rPr>
        <w:t>it</w:t>
      </w:r>
      <w:r>
        <w:rPr>
          <w:rFonts w:ascii="Arial" w:cs="Arial" w:eastAsia="Arial" w:hAnsi="Arial"/>
          <w:sz w:val="44"/>
          <w:szCs w:val="44"/>
          <w:i w:val="1"/>
          <w:iCs w:val="1"/>
          <w:color w:val="auto"/>
          <w:vertAlign w:val="superscript"/>
        </w:rPr>
        <w:t>M pag</w:t>
      </w:r>
      <w:r>
        <w:rPr>
          <w:rFonts w:ascii="Arial" w:cs="Arial" w:eastAsia="Arial" w:hAnsi="Arial"/>
          <w:sz w:val="15"/>
          <w:szCs w:val="15"/>
          <w:i w:val="1"/>
          <w:iCs w:val="1"/>
          <w:color w:val="auto"/>
        </w:rPr>
        <w:t>t</w:t>
      </w:r>
      <w:r>
        <w:rPr>
          <w:rFonts w:ascii="Arial" w:cs="Arial" w:eastAsia="Arial" w:hAnsi="Arial"/>
          <w:sz w:val="15"/>
          <w:szCs w:val="15"/>
          <w:color w:val="auto"/>
        </w:rPr>
        <w:t>−1</w:t>
      </w:r>
      <w:r>
        <w:rPr>
          <w:rFonts w:ascii="Arial" w:cs="Arial" w:eastAsia="Arial" w:hAnsi="Arial"/>
          <w:sz w:val="44"/>
          <w:szCs w:val="44"/>
          <w:color w:val="auto"/>
        </w:rPr>
        <w:t xml:space="preserve"> </w:t>
      </w:r>
      <w:r>
        <w:rPr>
          <w:rFonts w:ascii="Arial" w:cs="Arial" w:eastAsia="Arial" w:hAnsi="Arial"/>
          <w:sz w:val="44"/>
          <w:szCs w:val="44"/>
          <w:color w:val="auto"/>
          <w:vertAlign w:val="superscript"/>
        </w:rPr>
        <w:t>+</w:t>
      </w:r>
      <w:r>
        <w:rPr>
          <w:rFonts w:ascii="Arial" w:cs="Arial" w:eastAsia="Arial" w:hAnsi="Arial"/>
          <w:sz w:val="44"/>
          <w:szCs w:val="44"/>
          <w:color w:val="auto"/>
        </w:rPr>
        <w:t xml:space="preserve"> </w:t>
      </w:r>
      <w:r>
        <w:rPr>
          <w:rFonts w:ascii="Arial" w:cs="Arial" w:eastAsia="Arial" w:hAnsi="Arial"/>
          <w:sz w:val="44"/>
          <w:szCs w:val="44"/>
          <w:i w:val="1"/>
          <w:iCs w:val="1"/>
          <w:color w:val="auto"/>
          <w:vertAlign w:val="superscript"/>
        </w:rPr>
        <w:t>β</w:t>
      </w:r>
      <w:r>
        <w:rPr>
          <w:rFonts w:ascii="Arial" w:cs="Arial" w:eastAsia="Arial" w:hAnsi="Arial"/>
          <w:sz w:val="15"/>
          <w:szCs w:val="15"/>
          <w:color w:val="auto"/>
        </w:rPr>
        <w:t>16</w:t>
      </w:r>
      <w:r>
        <w:rPr>
          <w:rFonts w:ascii="Arial" w:cs="Arial" w:eastAsia="Arial" w:hAnsi="Arial"/>
          <w:sz w:val="15"/>
          <w:szCs w:val="15"/>
          <w:i w:val="1"/>
          <w:iCs w:val="1"/>
          <w:color w:val="auto"/>
        </w:rPr>
        <w:t>it</w:t>
      </w:r>
      <w:r>
        <w:rPr>
          <w:rFonts w:ascii="Arial" w:cs="Arial" w:eastAsia="Arial" w:hAnsi="Arial"/>
          <w:sz w:val="44"/>
          <w:szCs w:val="44"/>
          <w:i w:val="1"/>
          <w:iCs w:val="1"/>
          <w:color w:val="auto"/>
          <w:vertAlign w:val="superscript"/>
        </w:rPr>
        <w:t>V M o</w:t>
      </w:r>
      <w:r>
        <w:rPr>
          <w:rFonts w:ascii="Arial" w:cs="Arial" w:eastAsia="Arial" w:hAnsi="Arial"/>
          <w:sz w:val="15"/>
          <w:szCs w:val="15"/>
          <w:i w:val="1"/>
          <w:iCs w:val="1"/>
          <w:color w:val="auto"/>
        </w:rPr>
        <w:t>t</w:t>
      </w:r>
      <w:r>
        <w:rPr>
          <w:rFonts w:ascii="Arial" w:cs="Arial" w:eastAsia="Arial" w:hAnsi="Arial"/>
          <w:sz w:val="44"/>
          <w:szCs w:val="44"/>
          <w:color w:val="auto"/>
        </w:rPr>
        <w:t xml:space="preserve"> </w:t>
      </w:r>
      <w:r>
        <w:rPr>
          <w:rFonts w:ascii="Arial" w:cs="Arial" w:eastAsia="Arial" w:hAnsi="Arial"/>
          <w:sz w:val="44"/>
          <w:szCs w:val="44"/>
          <w:color w:val="auto"/>
          <w:vertAlign w:val="superscript"/>
        </w:rPr>
        <w:t>+</w:t>
      </w:r>
      <w:r>
        <w:rPr>
          <w:rFonts w:ascii="Arial" w:cs="Arial" w:eastAsia="Arial" w:hAnsi="Arial"/>
          <w:sz w:val="44"/>
          <w:szCs w:val="44"/>
          <w:color w:val="auto"/>
        </w:rPr>
        <w:t xml:space="preserve"> </w:t>
      </w:r>
      <w:r>
        <w:rPr>
          <w:rFonts w:ascii="Arial" w:cs="Arial" w:eastAsia="Arial" w:hAnsi="Arial"/>
          <w:sz w:val="44"/>
          <w:szCs w:val="44"/>
          <w:i w:val="1"/>
          <w:iCs w:val="1"/>
          <w:color w:val="auto"/>
          <w:vertAlign w:val="superscript"/>
        </w:rPr>
        <w:t>β</w:t>
      </w:r>
      <w:r>
        <w:rPr>
          <w:rFonts w:ascii="Arial" w:cs="Arial" w:eastAsia="Arial" w:hAnsi="Arial"/>
          <w:sz w:val="15"/>
          <w:szCs w:val="15"/>
          <w:color w:val="auto"/>
        </w:rPr>
        <w:t>17</w:t>
      </w:r>
      <w:r>
        <w:rPr>
          <w:rFonts w:ascii="Arial" w:cs="Arial" w:eastAsia="Arial" w:hAnsi="Arial"/>
          <w:sz w:val="15"/>
          <w:szCs w:val="15"/>
          <w:i w:val="1"/>
          <w:iCs w:val="1"/>
          <w:color w:val="auto"/>
        </w:rPr>
        <w:t>t</w:t>
      </w:r>
      <w:r>
        <w:rPr>
          <w:rFonts w:ascii="Arial" w:cs="Arial" w:eastAsia="Arial" w:hAnsi="Arial"/>
          <w:sz w:val="44"/>
          <w:szCs w:val="44"/>
          <w:i w:val="1"/>
          <w:iCs w:val="1"/>
          <w:color w:val="auto"/>
          <w:vertAlign w:val="superscript"/>
        </w:rPr>
        <w:t>SprEa</w:t>
      </w:r>
      <w:r>
        <w:rPr>
          <w:rFonts w:ascii="Arial" w:cs="Arial" w:eastAsia="Arial" w:hAnsi="Arial"/>
          <w:sz w:val="15"/>
          <w:szCs w:val="15"/>
          <w:i w:val="1"/>
          <w:iCs w:val="1"/>
          <w:color w:val="auto"/>
        </w:rPr>
        <w:t>t</w:t>
      </w:r>
      <w:r>
        <w:rPr>
          <w:rFonts w:ascii="Arial" w:cs="Arial" w:eastAsia="Arial" w:hAnsi="Arial"/>
          <w:sz w:val="15"/>
          <w:szCs w:val="15"/>
          <w:color w:val="auto"/>
        </w:rPr>
        <w:t>−1</w:t>
      </w:r>
    </w:p>
    <w:p>
      <w:pPr>
        <w:spacing w:after="0" w:line="54" w:lineRule="exact"/>
        <w:rPr>
          <w:sz w:val="20"/>
          <w:szCs w:val="20"/>
          <w:color w:val="auto"/>
        </w:rPr>
      </w:pPr>
    </w:p>
    <w:p>
      <w:pPr>
        <w:jc w:val="both"/>
        <w:ind w:left="260" w:right="40" w:firstLine="850"/>
        <w:spacing w:after="0" w:line="315" w:lineRule="auto"/>
        <w:rPr>
          <w:sz w:val="20"/>
          <w:szCs w:val="20"/>
          <w:color w:val="auto"/>
        </w:rPr>
      </w:pPr>
      <w:r>
        <w:rPr>
          <w:rFonts w:ascii="Arial" w:cs="Arial" w:eastAsia="Arial" w:hAnsi="Arial"/>
          <w:sz w:val="24"/>
          <w:szCs w:val="24"/>
          <w:color w:val="auto"/>
        </w:rPr>
        <w:t>Diante a definição dos modelos, seguem abaixo as hipóteses conceituais baseadas em concepções teóricas obtidas na pesquisa bibliográfica e das concepções desenvolvidas durante a pesquisa. O conjunto de hipóteses se apresenta na forma objetiva incluindo a expectativas para cada variável e contemplando os dois modelos construídos, com breve explanação sobre a mesma.</w:t>
      </w:r>
    </w:p>
    <w:p>
      <w:pPr>
        <w:sectPr>
          <w:pgSz w:w="11900" w:h="16838" w:orient="portrait"/>
          <w:cols w:equalWidth="0" w:num="1">
            <w:col w:w="9360"/>
          </w:cols>
          <w:pgMar w:left="1440" w:top="991" w:right="1106" w:bottom="325" w:gutter="0" w:footer="0" w:header="0"/>
        </w:sectPr>
      </w:pPr>
    </w:p>
    <w:p>
      <w:pPr>
        <w:ind w:left="9060"/>
        <w:spacing w:after="0"/>
        <w:rPr>
          <w:sz w:val="20"/>
          <w:szCs w:val="20"/>
          <w:color w:val="auto"/>
        </w:rPr>
      </w:pPr>
      <w:r>
        <w:rPr>
          <w:rFonts w:ascii="Arial" w:cs="Arial" w:eastAsia="Arial" w:hAnsi="Arial"/>
          <w:sz w:val="24"/>
          <w:szCs w:val="24"/>
          <w:color w:val="auto"/>
        </w:rPr>
        <w:t>42</w:t>
      </w:r>
    </w:p>
    <w:p>
      <w:pPr>
        <w:spacing w:after="0" w:line="200" w:lineRule="exact"/>
        <w:rPr>
          <w:sz w:val="20"/>
          <w:szCs w:val="20"/>
          <w:color w:val="auto"/>
        </w:rPr>
      </w:pPr>
    </w:p>
    <w:p>
      <w:pPr>
        <w:spacing w:after="0" w:line="223" w:lineRule="exact"/>
        <w:rPr>
          <w:sz w:val="20"/>
          <w:szCs w:val="20"/>
          <w:color w:val="auto"/>
        </w:rPr>
      </w:pPr>
    </w:p>
    <w:p>
      <w:pPr>
        <w:jc w:val="both"/>
        <w:ind w:left="260" w:firstLine="857"/>
        <w:spacing w:after="0" w:line="298" w:lineRule="auto"/>
        <w:rPr>
          <w:sz w:val="20"/>
          <w:szCs w:val="20"/>
          <w:color w:val="auto"/>
        </w:rPr>
      </w:pPr>
      <w:r>
        <w:rPr>
          <w:rFonts w:ascii="Arial" w:cs="Arial" w:eastAsia="Arial" w:hAnsi="Arial"/>
          <w:sz w:val="24"/>
          <w:szCs w:val="24"/>
          <w:i w:val="1"/>
          <w:iCs w:val="1"/>
          <w:color w:val="auto"/>
        </w:rPr>
        <w:t>SprEp</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O Spread Ex-post (</w:t>
      </w:r>
      <w:r>
        <w:rPr>
          <w:rFonts w:ascii="Arial" w:cs="Arial" w:eastAsia="Arial" w:hAnsi="Arial"/>
          <w:sz w:val="24"/>
          <w:szCs w:val="24"/>
          <w:i w:val="1"/>
          <w:iCs w:val="1"/>
          <w:color w:val="auto"/>
        </w:rPr>
        <w:t>SprEp</w:t>
      </w:r>
      <w:r>
        <w:rPr>
          <w:rFonts w:ascii="Arial" w:cs="Arial" w:eastAsia="Arial" w:hAnsi="Arial"/>
          <w:sz w:val="24"/>
          <w:szCs w:val="24"/>
          <w:color w:val="auto"/>
        </w:rPr>
        <w:t>) será calculado a partir dos resultados contábeis, resultante da diferença entre a relação de receitas de operações de cré-dito (</w:t>
      </w:r>
      <w:r>
        <w:rPr>
          <w:rFonts w:ascii="Arial" w:cs="Arial" w:eastAsia="Arial" w:hAnsi="Arial"/>
          <w:sz w:val="24"/>
          <w:szCs w:val="24"/>
          <w:i w:val="1"/>
          <w:iCs w:val="1"/>
          <w:color w:val="auto"/>
        </w:rPr>
        <w:t>RcOpCr</w:t>
      </w:r>
      <w:r>
        <w:rPr>
          <w:rFonts w:ascii="Arial" w:cs="Arial" w:eastAsia="Arial" w:hAnsi="Arial"/>
          <w:sz w:val="24"/>
          <w:szCs w:val="24"/>
          <w:color w:val="auto"/>
        </w:rPr>
        <w:t xml:space="preserve"> — Conta 71100001) e operações de crédito média (</w:t>
      </w:r>
      <w:r>
        <w:rPr>
          <w:rFonts w:ascii="Arial" w:cs="Arial" w:eastAsia="Arial" w:hAnsi="Arial"/>
          <w:sz w:val="24"/>
          <w:szCs w:val="24"/>
          <w:i w:val="1"/>
          <w:iCs w:val="1"/>
          <w:color w:val="auto"/>
        </w:rPr>
        <w:t>OpCrM e</w:t>
      </w:r>
      <w:r>
        <w:rPr>
          <w:rFonts w:ascii="Arial" w:cs="Arial" w:eastAsia="Arial" w:hAnsi="Arial"/>
          <w:sz w:val="24"/>
          <w:szCs w:val="24"/>
          <w:color w:val="auto"/>
        </w:rPr>
        <w:t xml:space="preserve"> — Conta 16000001), e a relação de despesas de captação (</w:t>
      </w:r>
      <w:r>
        <w:rPr>
          <w:rFonts w:ascii="Arial" w:cs="Arial" w:eastAsia="Arial" w:hAnsi="Arial"/>
          <w:sz w:val="24"/>
          <w:szCs w:val="24"/>
          <w:i w:val="1"/>
          <w:iCs w:val="1"/>
          <w:color w:val="auto"/>
        </w:rPr>
        <w:t>DesCap</w:t>
      </w:r>
      <w:r>
        <w:rPr>
          <w:rFonts w:ascii="Arial" w:cs="Arial" w:eastAsia="Arial" w:hAnsi="Arial"/>
          <w:sz w:val="24"/>
          <w:szCs w:val="24"/>
          <w:color w:val="auto"/>
        </w:rPr>
        <w:t xml:space="preserve"> — Conta 81100008 ) e depósitos médio (</w:t>
      </w:r>
      <w:r>
        <w:rPr>
          <w:rFonts w:ascii="Arial" w:cs="Arial" w:eastAsia="Arial" w:hAnsi="Arial"/>
          <w:sz w:val="24"/>
          <w:szCs w:val="24"/>
          <w:i w:val="1"/>
          <w:iCs w:val="1"/>
          <w:color w:val="auto"/>
        </w:rPr>
        <w:t>Dep</w:t>
      </w:r>
      <w:r>
        <w:rPr>
          <w:rFonts w:ascii="Arial" w:cs="Arial" w:eastAsia="Arial" w:hAnsi="Arial"/>
          <w:sz w:val="24"/>
          <w:szCs w:val="24"/>
          <w:color w:val="auto"/>
        </w:rPr>
        <w:t xml:space="preserve"> — Conta 41000007).</w:t>
      </w:r>
    </w:p>
    <w:p>
      <w:pPr>
        <w:spacing w:after="0" w:line="264" w:lineRule="exact"/>
        <w:rPr>
          <w:sz w:val="20"/>
          <w:szCs w:val="20"/>
          <w:color w:val="auto"/>
        </w:rPr>
      </w:pPr>
    </w:p>
    <w:p>
      <w:pPr>
        <w:ind w:left="3720"/>
        <w:spacing w:after="0"/>
        <w:tabs>
          <w:tab w:leader="none" w:pos="6160" w:val="left"/>
        </w:tabs>
        <w:rPr>
          <w:sz w:val="20"/>
          <w:szCs w:val="20"/>
          <w:color w:val="auto"/>
        </w:rPr>
      </w:pPr>
      <w:r>
        <w:rPr>
          <w:rFonts w:ascii="Arial" w:cs="Arial" w:eastAsia="Arial" w:hAnsi="Arial"/>
          <w:sz w:val="24"/>
          <w:szCs w:val="24"/>
          <w:i w:val="1"/>
          <w:iCs w:val="1"/>
          <w:color w:val="auto"/>
        </w:rPr>
        <w:t>RcOpCr</w:t>
      </w:r>
      <w:r>
        <w:rPr>
          <w:rFonts w:ascii="Arial" w:cs="Arial" w:eastAsia="Arial" w:hAnsi="Arial"/>
          <w:sz w:val="15"/>
          <w:szCs w:val="15"/>
          <w:i w:val="1"/>
          <w:iCs w:val="1"/>
          <w:color w:val="auto"/>
        </w:rPr>
        <w:t>it</w:t>
      </w:r>
      <w:r>
        <w:rPr>
          <w:sz w:val="20"/>
          <w:szCs w:val="20"/>
          <w:color w:val="auto"/>
        </w:rPr>
        <w:tab/>
      </w:r>
      <w:r>
        <w:rPr>
          <w:rFonts w:ascii="Arial" w:cs="Arial" w:eastAsia="Arial" w:hAnsi="Arial"/>
          <w:sz w:val="24"/>
          <w:szCs w:val="24"/>
          <w:i w:val="1"/>
          <w:iCs w:val="1"/>
          <w:color w:val="auto"/>
        </w:rPr>
        <w:t>DesCap</w:t>
      </w:r>
      <w:r>
        <w:rPr>
          <w:rFonts w:ascii="Arial" w:cs="Arial" w:eastAsia="Arial" w:hAnsi="Arial"/>
          <w:sz w:val="15"/>
          <w:szCs w:val="15"/>
          <w:i w:val="1"/>
          <w:iCs w:val="1"/>
          <w:color w:val="auto"/>
        </w:rPr>
        <w:t>it</w:t>
      </w:r>
    </w:p>
    <w:p>
      <w:pPr>
        <w:ind w:left="1940"/>
        <w:spacing w:after="0"/>
        <w:rPr>
          <w:sz w:val="20"/>
          <w:szCs w:val="20"/>
          <w:color w:val="auto"/>
        </w:rPr>
      </w:pPr>
      <w:r>
        <w:rPr>
          <w:rFonts w:ascii="Arial" w:cs="Arial" w:eastAsia="Arial" w:hAnsi="Arial"/>
          <w:sz w:val="48"/>
          <w:szCs w:val="48"/>
          <w:i w:val="1"/>
          <w:iCs w:val="1"/>
          <w:color w:val="auto"/>
          <w:vertAlign w:val="superscript"/>
        </w:rPr>
        <w:t>SprEp</w:t>
      </w:r>
      <w:r>
        <w:rPr>
          <w:rFonts w:ascii="Arial" w:cs="Arial" w:eastAsia="Arial" w:hAnsi="Arial"/>
          <w:sz w:val="31"/>
          <w:szCs w:val="31"/>
          <w:i w:val="1"/>
          <w:iCs w:val="1"/>
          <w:color w:val="auto"/>
          <w:vertAlign w:val="superscript"/>
        </w:rPr>
        <w:t>it</w:t>
      </w:r>
      <w:r>
        <w:rPr>
          <w:rFonts w:ascii="Arial" w:cs="Arial" w:eastAsia="Arial" w:hAnsi="Arial"/>
          <w:sz w:val="47"/>
          <w:szCs w:val="47"/>
          <w:color w:val="auto"/>
          <w:vertAlign w:val="superscript"/>
        </w:rPr>
        <w:t xml:space="preserve"> =</w:t>
      </w:r>
      <w:r>
        <w:rPr>
          <w:rFonts w:ascii="Arial" w:cs="Arial" w:eastAsia="Arial" w:hAnsi="Arial"/>
          <w:sz w:val="31"/>
          <w:szCs w:val="31"/>
          <w:color w:val="auto"/>
          <w:vertAlign w:val="superscript"/>
        </w:rPr>
        <w:t xml:space="preserve"> </w:t>
      </w:r>
      <w:r>
        <w:rPr>
          <w:rFonts w:ascii="Arial" w:cs="Arial" w:eastAsia="Arial" w:hAnsi="Arial"/>
          <w:sz w:val="31"/>
          <w:szCs w:val="31"/>
          <w:u w:val="single" w:color="auto"/>
          <w:color w:val="auto"/>
          <w:vertAlign w:val="superscript"/>
        </w:rPr>
        <w:t>1</w:t>
      </w:r>
      <w:r>
        <w:rPr>
          <w:rFonts w:ascii="Arial" w:cs="Arial" w:eastAsia="Arial" w:hAnsi="Arial"/>
          <w:sz w:val="31"/>
          <w:szCs w:val="31"/>
          <w:color w:val="auto"/>
          <w:vertAlign w:val="subscript"/>
        </w:rPr>
        <w:t>2</w:t>
      </w:r>
      <w:r>
        <w:rPr>
          <w:rFonts w:ascii="Arial" w:cs="Arial" w:eastAsia="Arial" w:hAnsi="Arial"/>
          <w:sz w:val="23"/>
          <w:szCs w:val="23"/>
          <w:color w:val="auto"/>
        </w:rPr>
        <w:t xml:space="preserve"> (</w:t>
      </w:r>
      <w:r>
        <w:rPr>
          <w:rFonts w:ascii="Arial" w:cs="Arial" w:eastAsia="Arial" w:hAnsi="Arial"/>
          <w:sz w:val="23"/>
          <w:szCs w:val="23"/>
          <w:i w:val="1"/>
          <w:iCs w:val="1"/>
          <w:color w:val="auto"/>
        </w:rPr>
        <w:t>OpCr</w:t>
      </w:r>
      <w:r>
        <w:rPr>
          <w:rFonts w:ascii="Arial" w:cs="Arial" w:eastAsia="Arial" w:hAnsi="Arial"/>
          <w:sz w:val="31"/>
          <w:szCs w:val="31"/>
          <w:i w:val="1"/>
          <w:iCs w:val="1"/>
          <w:color w:val="auto"/>
          <w:vertAlign w:val="subscript"/>
        </w:rPr>
        <w:t>it</w:t>
      </w:r>
      <w:r>
        <w:rPr>
          <w:rFonts w:ascii="Arial" w:cs="Arial" w:eastAsia="Arial" w:hAnsi="Arial"/>
          <w:sz w:val="23"/>
          <w:szCs w:val="23"/>
          <w:color w:val="auto"/>
        </w:rPr>
        <w:t xml:space="preserve"> + </w:t>
      </w:r>
      <w:r>
        <w:rPr>
          <w:rFonts w:ascii="Arial" w:cs="Arial" w:eastAsia="Arial" w:hAnsi="Arial"/>
          <w:sz w:val="23"/>
          <w:szCs w:val="23"/>
          <w:i w:val="1"/>
          <w:iCs w:val="1"/>
          <w:color w:val="auto"/>
        </w:rPr>
        <w:t>OpCr</w:t>
      </w:r>
      <w:r>
        <w:rPr>
          <w:rFonts w:ascii="Arial" w:cs="Arial" w:eastAsia="Arial" w:hAnsi="Arial"/>
          <w:sz w:val="31"/>
          <w:szCs w:val="31"/>
          <w:i w:val="1"/>
          <w:iCs w:val="1"/>
          <w:color w:val="auto"/>
          <w:vertAlign w:val="subscript"/>
        </w:rPr>
        <w:t>it</w:t>
      </w:r>
      <w:r>
        <w:rPr>
          <w:rFonts w:ascii="Arial" w:cs="Arial" w:eastAsia="Arial" w:hAnsi="Arial"/>
          <w:sz w:val="31"/>
          <w:szCs w:val="31"/>
          <w:color w:val="auto"/>
          <w:vertAlign w:val="subscript"/>
        </w:rPr>
        <w:t>−1</w:t>
      </w:r>
      <w:r>
        <w:rPr>
          <w:rFonts w:ascii="Arial" w:cs="Arial" w:eastAsia="Arial" w:hAnsi="Arial"/>
          <w:sz w:val="23"/>
          <w:szCs w:val="23"/>
          <w:color w:val="auto"/>
        </w:rPr>
        <w: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31"/>
          <w:szCs w:val="31"/>
          <w:color w:val="auto"/>
        </w:rPr>
        <w:t xml:space="preserve"> </w:t>
      </w:r>
      <w:r>
        <w:rPr>
          <w:rFonts w:ascii="Arial" w:cs="Arial" w:eastAsia="Arial" w:hAnsi="Arial"/>
          <w:sz w:val="31"/>
          <w:szCs w:val="31"/>
          <w:u w:val="single" w:color="auto"/>
          <w:color w:val="auto"/>
          <w:vertAlign w:val="superscript"/>
        </w:rPr>
        <w:t>1</w:t>
      </w:r>
      <w:r>
        <w:rPr>
          <w:rFonts w:ascii="Arial" w:cs="Arial" w:eastAsia="Arial" w:hAnsi="Arial"/>
          <w:sz w:val="31"/>
          <w:szCs w:val="31"/>
          <w:color w:val="auto"/>
          <w:vertAlign w:val="subscript"/>
        </w:rPr>
        <w:t>2</w:t>
      </w:r>
      <w:r>
        <w:rPr>
          <w:rFonts w:ascii="Arial" w:cs="Arial" w:eastAsia="Arial" w:hAnsi="Arial"/>
          <w:sz w:val="23"/>
          <w:szCs w:val="23"/>
          <w:color w:val="auto"/>
        </w:rPr>
        <w:t xml:space="preserve"> (</w:t>
      </w:r>
      <w:r>
        <w:rPr>
          <w:rFonts w:ascii="Arial" w:cs="Arial" w:eastAsia="Arial" w:hAnsi="Arial"/>
          <w:sz w:val="23"/>
          <w:szCs w:val="23"/>
          <w:i w:val="1"/>
          <w:iCs w:val="1"/>
          <w:color w:val="auto"/>
        </w:rPr>
        <w:t>Dep</w:t>
      </w:r>
      <w:r>
        <w:rPr>
          <w:rFonts w:ascii="Arial" w:cs="Arial" w:eastAsia="Arial" w:hAnsi="Arial"/>
          <w:sz w:val="31"/>
          <w:szCs w:val="31"/>
          <w:i w:val="1"/>
          <w:iCs w:val="1"/>
          <w:color w:val="auto"/>
          <w:vertAlign w:val="subscript"/>
        </w:rPr>
        <w:t>it</w:t>
      </w:r>
      <w:r>
        <w:rPr>
          <w:rFonts w:ascii="Arial" w:cs="Arial" w:eastAsia="Arial" w:hAnsi="Arial"/>
          <w:sz w:val="23"/>
          <w:szCs w:val="23"/>
          <w:color w:val="auto"/>
        </w:rPr>
        <w:t xml:space="preserve"> + </w:t>
      </w:r>
      <w:r>
        <w:rPr>
          <w:rFonts w:ascii="Arial" w:cs="Arial" w:eastAsia="Arial" w:hAnsi="Arial"/>
          <w:sz w:val="23"/>
          <w:szCs w:val="23"/>
          <w:i w:val="1"/>
          <w:iCs w:val="1"/>
          <w:color w:val="auto"/>
        </w:rPr>
        <w:t>Dep</w:t>
      </w:r>
      <w:r>
        <w:rPr>
          <w:rFonts w:ascii="Arial" w:cs="Arial" w:eastAsia="Arial" w:hAnsi="Arial"/>
          <w:sz w:val="31"/>
          <w:szCs w:val="31"/>
          <w:i w:val="1"/>
          <w:iCs w:val="1"/>
          <w:color w:val="auto"/>
          <w:vertAlign w:val="subscript"/>
        </w:rPr>
        <w:t>it</w:t>
      </w:r>
      <w:r>
        <w:rPr>
          <w:rFonts w:ascii="Arial" w:cs="Arial" w:eastAsia="Arial" w:hAnsi="Arial"/>
          <w:sz w:val="31"/>
          <w:szCs w:val="31"/>
          <w:color w:val="auto"/>
          <w:vertAlign w:val="subscript"/>
        </w:rPr>
        <w:t>−1</w:t>
      </w:r>
      <w:r>
        <w:rPr>
          <w:rFonts w:ascii="Arial" w:cs="Arial" w:eastAsia="Arial" w:hAnsi="Arial"/>
          <w:sz w:val="23"/>
          <w:szCs w:val="23"/>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1964055</wp:posOffset>
                </wp:positionH>
                <wp:positionV relativeFrom="paragraph">
                  <wp:posOffset>-282575</wp:posOffset>
                </wp:positionV>
                <wp:extent cx="1437005"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37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65pt,-22.2499pt" to="267.8pt,-22.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3616960</wp:posOffset>
                </wp:positionH>
                <wp:positionV relativeFrom="paragraph">
                  <wp:posOffset>-282575</wp:posOffset>
                </wp:positionV>
                <wp:extent cx="1225550"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255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8pt,-22.2499pt" to="381.3pt,-22.2499pt" o:allowincell="f" strokecolor="#000000" strokeweight="0.398pt"/>
            </w:pict>
          </mc:Fallback>
        </mc:AlternateContent>
      </w:r>
    </w:p>
    <w:p>
      <w:pPr>
        <w:spacing w:after="0" w:line="65" w:lineRule="exact"/>
        <w:rPr>
          <w:sz w:val="20"/>
          <w:szCs w:val="20"/>
          <w:color w:val="auto"/>
        </w:rPr>
      </w:pPr>
    </w:p>
    <w:p>
      <w:pPr>
        <w:jc w:val="both"/>
        <w:ind w:left="260" w:right="40" w:firstLine="850"/>
        <w:spacing w:after="0" w:line="306" w:lineRule="auto"/>
        <w:rPr>
          <w:sz w:val="20"/>
          <w:szCs w:val="20"/>
          <w:color w:val="auto"/>
        </w:rPr>
      </w:pPr>
      <w:r>
        <w:rPr>
          <w:rFonts w:ascii="Arial" w:cs="Arial" w:eastAsia="Arial" w:hAnsi="Arial"/>
          <w:sz w:val="24"/>
          <w:szCs w:val="24"/>
          <w:i w:val="1"/>
          <w:iCs w:val="1"/>
          <w:color w:val="auto"/>
        </w:rPr>
        <w:t>Rent</w:t>
      </w:r>
      <w:r>
        <w:rPr>
          <w:rFonts w:ascii="Arial" w:cs="Arial" w:eastAsia="Arial" w:hAnsi="Arial"/>
          <w:sz w:val="24"/>
          <w:szCs w:val="24"/>
          <w:color w:val="auto"/>
        </w:rPr>
        <w:t>: A rentabilidade bancária será calculada para cada instituição a partir da relação entre o lucro líquido (</w:t>
      </w:r>
      <w:r>
        <w:rPr>
          <w:rFonts w:ascii="Arial" w:cs="Arial" w:eastAsia="Arial" w:hAnsi="Arial"/>
          <w:sz w:val="24"/>
          <w:szCs w:val="24"/>
          <w:i w:val="1"/>
          <w:iCs w:val="1"/>
          <w:color w:val="auto"/>
        </w:rPr>
        <w:t>LLqd</w:t>
      </w:r>
      <w:r>
        <w:rPr>
          <w:rFonts w:ascii="Arial" w:cs="Arial" w:eastAsia="Arial" w:hAnsi="Arial"/>
          <w:sz w:val="24"/>
          <w:szCs w:val="24"/>
          <w:color w:val="auto"/>
        </w:rPr>
        <w:t xml:space="preserve"> — Conta 61800005) e as receitas das operações de crédito (</w:t>
      </w:r>
      <w:r>
        <w:rPr>
          <w:rFonts w:ascii="Arial" w:cs="Arial" w:eastAsia="Arial" w:hAnsi="Arial"/>
          <w:sz w:val="24"/>
          <w:szCs w:val="24"/>
          <w:i w:val="1"/>
          <w:iCs w:val="1"/>
          <w:color w:val="auto"/>
        </w:rPr>
        <w:t>R</w:t>
      </w:r>
      <w:r>
        <w:rPr>
          <w:rFonts w:ascii="Arial" w:cs="Arial" w:eastAsia="Arial" w:hAnsi="Arial"/>
          <w:sz w:val="24"/>
          <w:szCs w:val="24"/>
          <w:color w:val="auto"/>
        </w:rPr>
        <w:t xml:space="preserve"> — Conta 71100001).</w:t>
      </w:r>
    </w:p>
    <w:p>
      <w:pPr>
        <w:jc w:val="center"/>
        <w:ind w:right="-199"/>
        <w:spacing w:after="0" w:line="225" w:lineRule="auto"/>
        <w:rPr>
          <w:sz w:val="20"/>
          <w:szCs w:val="20"/>
          <w:color w:val="auto"/>
        </w:rPr>
      </w:pPr>
      <w:r>
        <w:rPr>
          <w:rFonts w:ascii="Arial" w:cs="Arial" w:eastAsia="Arial" w:hAnsi="Arial"/>
          <w:sz w:val="48"/>
          <w:szCs w:val="48"/>
          <w:i w:val="1"/>
          <w:iCs w:val="1"/>
          <w:color w:val="auto"/>
          <w:vertAlign w:val="subscript"/>
        </w:rPr>
        <w:t>Rent</w:t>
      </w:r>
      <w:r>
        <w:rPr>
          <w:rFonts w:ascii="Arial" w:cs="Arial" w:eastAsia="Arial" w:hAnsi="Arial"/>
          <w:sz w:val="31"/>
          <w:szCs w:val="31"/>
          <w:i w:val="1"/>
          <w:iCs w:val="1"/>
          <w:color w:val="auto"/>
          <w:vertAlign w:val="subscript"/>
        </w:rPr>
        <w:t>it</w:t>
      </w:r>
      <w:r>
        <w:rPr>
          <w:rFonts w:ascii="Arial" w:cs="Arial" w:eastAsia="Arial" w:hAnsi="Arial"/>
          <w:sz w:val="47"/>
          <w:szCs w:val="47"/>
          <w:color w:val="auto"/>
          <w:vertAlign w:val="subscript"/>
        </w:rPr>
        <w:t xml:space="preserve"> = </w:t>
      </w:r>
      <w:r>
        <w:rPr>
          <w:rFonts w:ascii="Arial" w:cs="Arial" w:eastAsia="Arial" w:hAnsi="Arial"/>
          <w:sz w:val="47"/>
          <w:szCs w:val="47"/>
          <w:i w:val="1"/>
          <w:iCs w:val="1"/>
          <w:color w:val="auto"/>
          <w:vertAlign w:val="superscript"/>
        </w:rPr>
        <w:t>LLqd</w:t>
      </w:r>
      <w:r>
        <w:rPr>
          <w:rFonts w:ascii="Arial" w:cs="Arial" w:eastAsia="Arial" w:hAnsi="Arial"/>
          <w:sz w:val="15"/>
          <w:szCs w:val="15"/>
          <w:i w:val="1"/>
          <w:iCs w:val="1"/>
          <w:color w:val="auto"/>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3129915</wp:posOffset>
                </wp:positionH>
                <wp:positionV relativeFrom="paragraph">
                  <wp:posOffset>-35560</wp:posOffset>
                </wp:positionV>
                <wp:extent cx="433070"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30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6.45pt,-2.7999pt" to="280.55pt,-2.7999pt" o:allowincell="f" strokecolor="#000000" strokeweight="0.398pt"/>
            </w:pict>
          </mc:Fallback>
        </mc:AlternateContent>
      </w:r>
    </w:p>
    <w:p>
      <w:pPr>
        <w:jc w:val="center"/>
        <w:ind w:left="1500"/>
        <w:spacing w:after="0" w:line="205" w:lineRule="auto"/>
        <w:rPr>
          <w:sz w:val="20"/>
          <w:szCs w:val="20"/>
          <w:color w:val="auto"/>
        </w:rPr>
      </w:pPr>
      <w:r>
        <w:rPr>
          <w:rFonts w:ascii="Arial" w:cs="Arial" w:eastAsia="Arial" w:hAnsi="Arial"/>
          <w:sz w:val="48"/>
          <w:szCs w:val="48"/>
          <w:i w:val="1"/>
          <w:iCs w:val="1"/>
          <w:color w:val="auto"/>
          <w:vertAlign w:val="superscript"/>
        </w:rPr>
        <w:t>R</w:t>
      </w:r>
      <w:r>
        <w:rPr>
          <w:rFonts w:ascii="Arial" w:cs="Arial" w:eastAsia="Arial" w:hAnsi="Arial"/>
          <w:sz w:val="15"/>
          <w:szCs w:val="15"/>
          <w:i w:val="1"/>
          <w:iCs w:val="1"/>
          <w:color w:val="auto"/>
        </w:rPr>
        <w:t>it</w:t>
      </w:r>
    </w:p>
    <w:p>
      <w:pPr>
        <w:spacing w:after="0" w:line="2" w:lineRule="exact"/>
        <w:rPr>
          <w:sz w:val="20"/>
          <w:szCs w:val="20"/>
          <w:color w:val="auto"/>
        </w:rPr>
      </w:pPr>
    </w:p>
    <w:p>
      <w:pPr>
        <w:jc w:val="both"/>
        <w:ind w:left="260" w:right="40" w:firstLine="850"/>
        <w:spacing w:after="0" w:line="300"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w:t>
      </w:r>
      <w:r>
        <w:rPr>
          <w:rFonts w:ascii="Arial" w:cs="Arial" w:eastAsia="Arial" w:hAnsi="Arial"/>
          <w:sz w:val="24"/>
          <w:szCs w:val="24"/>
          <w:color w:val="auto"/>
        </w:rPr>
        <w:t>: A proporção das operações de crédito com capital próprio (</w:t>
      </w:r>
      <w:r>
        <w:rPr>
          <w:rFonts w:ascii="Arial" w:cs="Arial" w:eastAsia="Arial" w:hAnsi="Arial"/>
          <w:sz w:val="24"/>
          <w:szCs w:val="24"/>
          <w:i w:val="1"/>
          <w:iCs w:val="1"/>
          <w:color w:val="auto"/>
        </w:rPr>
        <w:t>EP r</w:t>
      </w:r>
      <w:r>
        <w:rPr>
          <w:rFonts w:ascii="Arial" w:cs="Arial" w:eastAsia="Arial" w:hAnsi="Arial"/>
          <w:sz w:val="24"/>
          <w:szCs w:val="24"/>
          <w:color w:val="auto"/>
        </w:rPr>
        <w:t>) em relação 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 guarda relação direta com o spread ex-post (</w:t>
      </w:r>
      <w:r>
        <w:rPr>
          <w:rFonts w:ascii="Arial" w:cs="Arial" w:eastAsia="Arial" w:hAnsi="Arial"/>
          <w:sz w:val="24"/>
          <w:szCs w:val="24"/>
          <w:i w:val="1"/>
          <w:iCs w:val="1"/>
          <w:color w:val="auto"/>
        </w:rPr>
        <w:t>SprEp</w:t>
      </w:r>
      <w:r>
        <w:rPr>
          <w:rFonts w:ascii="Arial" w:cs="Arial" w:eastAsia="Arial" w:hAnsi="Arial"/>
          <w:sz w:val="24"/>
          <w:szCs w:val="24"/>
          <w:color w:val="auto"/>
        </w:rPr>
        <w:t>) e inversa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117" w:lineRule="exact"/>
        <w:rPr>
          <w:sz w:val="20"/>
          <w:szCs w:val="20"/>
          <w:color w:val="auto"/>
        </w:rPr>
      </w:pPr>
    </w:p>
    <w:p>
      <w:pPr>
        <w:jc w:val="both"/>
        <w:ind w:left="260" w:right="40" w:firstLine="858"/>
        <w:spacing w:after="0" w:line="308" w:lineRule="auto"/>
        <w:rPr>
          <w:sz w:val="20"/>
          <w:szCs w:val="20"/>
          <w:color w:val="auto"/>
        </w:rPr>
      </w:pPr>
      <w:r>
        <w:rPr>
          <w:rFonts w:ascii="Arial" w:cs="Arial" w:eastAsia="Arial" w:hAnsi="Arial"/>
          <w:sz w:val="24"/>
          <w:szCs w:val="24"/>
          <w:color w:val="auto"/>
        </w:rPr>
        <w:t>Para a proporção das operações de crédito com capital próprio (</w:t>
      </w:r>
      <w:r>
        <w:rPr>
          <w:rFonts w:ascii="Arial" w:cs="Arial" w:eastAsia="Arial" w:hAnsi="Arial"/>
          <w:sz w:val="24"/>
          <w:szCs w:val="24"/>
          <w:i w:val="1"/>
          <w:iCs w:val="1"/>
          <w:color w:val="auto"/>
        </w:rPr>
        <w:t>Epr</w:t>
      </w:r>
      <w:r>
        <w:rPr>
          <w:rFonts w:ascii="Arial" w:cs="Arial" w:eastAsia="Arial" w:hAnsi="Arial"/>
          <w:sz w:val="24"/>
          <w:szCs w:val="24"/>
          <w:color w:val="auto"/>
        </w:rPr>
        <w:t>) será considerada uma proxy tautológica (</w:t>
      </w:r>
      <w:r>
        <w:rPr>
          <w:rFonts w:ascii="Arial" w:cs="Arial" w:eastAsia="Arial" w:hAnsi="Arial"/>
          <w:sz w:val="24"/>
          <w:szCs w:val="24"/>
          <w:i w:val="1"/>
          <w:iCs w:val="1"/>
          <w:color w:val="auto"/>
        </w:rPr>
        <w:t>OpCr</w:t>
      </w:r>
      <w:r>
        <w:rPr>
          <w:rFonts w:ascii="Arial" w:cs="Arial" w:eastAsia="Arial" w:hAnsi="Arial"/>
          <w:sz w:val="24"/>
          <w:szCs w:val="24"/>
          <w:color w:val="auto"/>
        </w:rPr>
        <w:t xml:space="preserve"> = </w:t>
      </w:r>
      <w:r>
        <w:rPr>
          <w:rFonts w:ascii="Arial" w:cs="Arial" w:eastAsia="Arial" w:hAnsi="Arial"/>
          <w:sz w:val="24"/>
          <w:szCs w:val="24"/>
          <w:i w:val="1"/>
          <w:iCs w:val="1"/>
          <w:color w:val="auto"/>
        </w:rPr>
        <w:t>CpP r</w:t>
      </w:r>
      <w:r>
        <w:rPr>
          <w:rFonts w:ascii="Arial" w:cs="Arial" w:eastAsia="Arial" w:hAnsi="Arial"/>
          <w:sz w:val="24"/>
          <w:szCs w:val="24"/>
          <w:color w:val="auto"/>
        </w:rPr>
        <w:t xml:space="preserve"> + </w:t>
      </w:r>
      <w:r>
        <w:rPr>
          <w:rFonts w:ascii="Arial" w:cs="Arial" w:eastAsia="Arial" w:hAnsi="Arial"/>
          <w:sz w:val="24"/>
          <w:szCs w:val="24"/>
          <w:i w:val="1"/>
          <w:iCs w:val="1"/>
          <w:color w:val="auto"/>
        </w:rPr>
        <w:t>Dep</w:t>
      </w:r>
      <w:r>
        <w:rPr>
          <w:rFonts w:ascii="Arial" w:cs="Arial" w:eastAsia="Arial" w:hAnsi="Arial"/>
          <w:sz w:val="24"/>
          <w:szCs w:val="24"/>
          <w:color w:val="auto"/>
        </w:rPr>
        <w:t>) obtida por meio da diferença entre o total das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 e o total dos depósitos (</w:t>
      </w:r>
      <w:r>
        <w:rPr>
          <w:rFonts w:ascii="Arial" w:cs="Arial" w:eastAsia="Arial" w:hAnsi="Arial"/>
          <w:sz w:val="24"/>
          <w:szCs w:val="24"/>
          <w:i w:val="1"/>
          <w:iCs w:val="1"/>
          <w:color w:val="auto"/>
        </w:rPr>
        <w:t>DepT ot</w:t>
      </w:r>
      <w:r>
        <w:rPr>
          <w:rFonts w:ascii="Arial" w:cs="Arial" w:eastAsia="Arial" w:hAnsi="Arial"/>
          <w:sz w:val="24"/>
          <w:szCs w:val="24"/>
          <w:color w:val="auto"/>
        </w:rPr>
        <w:t xml:space="preserve"> — Conta 41000007) </w:t>
      </w:r>
      <w:r>
        <w:rPr>
          <w:rFonts w:ascii="Arial" w:cs="Arial" w:eastAsia="Arial" w:hAnsi="Arial"/>
          <w:sz w:val="24"/>
          <w:szCs w:val="24"/>
          <w:i w:val="1"/>
          <w:iCs w:val="1"/>
          <w:color w:val="auto"/>
        </w:rPr>
        <w:t>CpP r</w:t>
      </w:r>
      <w:r>
        <w:rPr>
          <w:rFonts w:ascii="Arial" w:cs="Arial" w:eastAsia="Arial" w:hAnsi="Arial"/>
          <w:sz w:val="24"/>
          <w:szCs w:val="24"/>
          <w:color w:val="auto"/>
        </w:rPr>
        <w:t xml:space="preserve"> = </w:t>
      </w:r>
      <w:r>
        <w:rPr>
          <w:rFonts w:ascii="Arial" w:cs="Arial" w:eastAsia="Arial" w:hAnsi="Arial"/>
          <w:sz w:val="24"/>
          <w:szCs w:val="24"/>
          <w:i w:val="1"/>
          <w:iCs w:val="1"/>
          <w:color w:val="auto"/>
        </w:rPr>
        <w:t>OpCr</w:t>
      </w:r>
      <w:r>
        <w:rPr>
          <w:rFonts w:ascii="Arial" w:cs="Arial" w:eastAsia="Arial" w:hAnsi="Arial"/>
          <w:sz w:val="24"/>
          <w:szCs w:val="24"/>
          <w:color w:val="auto"/>
        </w:rPr>
        <w:t xml:space="preserve"> − </w:t>
      </w:r>
      <w:r>
        <w:rPr>
          <w:rFonts w:ascii="Arial" w:cs="Arial" w:eastAsia="Arial" w:hAnsi="Arial"/>
          <w:sz w:val="24"/>
          <w:szCs w:val="24"/>
          <w:i w:val="1"/>
          <w:iCs w:val="1"/>
          <w:color w:val="auto"/>
        </w:rPr>
        <w:t>DepT ot</w:t>
      </w:r>
      <w:r>
        <w:rPr>
          <w:rFonts w:ascii="Arial" w:cs="Arial" w:eastAsia="Arial" w:hAnsi="Arial"/>
          <w:sz w:val="24"/>
          <w:szCs w:val="24"/>
          <w:color w:val="auto"/>
        </w:rPr>
        <w:t>, sobre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w:t>
      </w:r>
    </w:p>
    <w:p>
      <w:pPr>
        <w:ind w:left="3560"/>
        <w:spacing w:after="0" w:line="227" w:lineRule="auto"/>
        <w:rPr>
          <w:sz w:val="20"/>
          <w:szCs w:val="20"/>
          <w:color w:val="auto"/>
        </w:rPr>
      </w:pPr>
      <w:r>
        <w:rPr>
          <w:rFonts w:ascii="Arial" w:cs="Arial" w:eastAsia="Arial" w:hAnsi="Arial"/>
          <w:sz w:val="48"/>
          <w:szCs w:val="48"/>
          <w:i w:val="1"/>
          <w:iCs w:val="1"/>
          <w:color w:val="auto"/>
          <w:vertAlign w:val="subscript"/>
        </w:rPr>
        <w:t>Epr</w:t>
      </w:r>
      <w:r>
        <w:rPr>
          <w:rFonts w:ascii="Arial" w:cs="Arial" w:eastAsia="Arial" w:hAnsi="Arial"/>
          <w:sz w:val="31"/>
          <w:szCs w:val="31"/>
          <w:i w:val="1"/>
          <w:iCs w:val="1"/>
          <w:color w:val="auto"/>
          <w:vertAlign w:val="subscript"/>
        </w:rPr>
        <w:t>it</w:t>
      </w:r>
      <w:r>
        <w:rPr>
          <w:rFonts w:ascii="Arial" w:cs="Arial" w:eastAsia="Arial" w:hAnsi="Arial"/>
          <w:sz w:val="47"/>
          <w:szCs w:val="47"/>
          <w:color w:val="auto"/>
          <w:vertAlign w:val="subscript"/>
        </w:rPr>
        <w:t xml:space="preserve"> = </w:t>
      </w:r>
      <w:r>
        <w:rPr>
          <w:rFonts w:ascii="Arial" w:cs="Arial" w:eastAsia="Arial" w:hAnsi="Arial"/>
          <w:sz w:val="47"/>
          <w:szCs w:val="47"/>
          <w:i w:val="1"/>
          <w:iCs w:val="1"/>
          <w:color w:val="auto"/>
          <w:vertAlign w:val="superscript"/>
        </w:rPr>
        <w:t>OpCr</w:t>
      </w:r>
      <w:r>
        <w:rPr>
          <w:rFonts w:ascii="Arial" w:cs="Arial" w:eastAsia="Arial" w:hAnsi="Arial"/>
          <w:sz w:val="15"/>
          <w:szCs w:val="15"/>
          <w:i w:val="1"/>
          <w:iCs w:val="1"/>
          <w:color w:val="auto"/>
        </w:rPr>
        <w:t>it</w:t>
      </w:r>
      <w:r>
        <w:rPr>
          <w:rFonts w:ascii="Arial" w:cs="Arial" w:eastAsia="Arial" w:hAnsi="Arial"/>
          <w:sz w:val="23"/>
          <w:szCs w:val="23"/>
          <w:color w:val="auto"/>
        </w:rPr>
        <w:t xml:space="preserve"> −</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Dep</w:t>
      </w:r>
      <w:r>
        <w:rPr>
          <w:rFonts w:ascii="Arial" w:cs="Arial" w:eastAsia="Arial" w:hAnsi="Arial"/>
          <w:sz w:val="15"/>
          <w:szCs w:val="15"/>
          <w:i w:val="1"/>
          <w:iCs w:val="1"/>
          <w:color w:val="auto"/>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2815590</wp:posOffset>
                </wp:positionH>
                <wp:positionV relativeFrom="paragraph">
                  <wp:posOffset>-36195</wp:posOffset>
                </wp:positionV>
                <wp:extent cx="996315"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963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1.7pt,-2.8499pt" to="300.15pt,-2.8499pt" o:allowincell="f" strokecolor="#000000" strokeweight="0.398pt"/>
            </w:pict>
          </mc:Fallback>
        </mc:AlternateContent>
      </w:r>
    </w:p>
    <w:p>
      <w:pPr>
        <w:ind w:left="4860"/>
        <w:spacing w:after="0" w:line="185" w:lineRule="auto"/>
        <w:rPr>
          <w:sz w:val="20"/>
          <w:szCs w:val="20"/>
          <w:color w:val="auto"/>
        </w:rPr>
      </w:pPr>
      <w:r>
        <w:rPr>
          <w:rFonts w:ascii="Arial" w:cs="Arial" w:eastAsia="Arial" w:hAnsi="Arial"/>
          <w:sz w:val="21"/>
          <w:szCs w:val="21"/>
          <w:i w:val="1"/>
          <w:iCs w:val="1"/>
          <w:color w:val="auto"/>
        </w:rPr>
        <w:t>OpCr</w:t>
      </w:r>
      <w:r>
        <w:rPr>
          <w:rFonts w:ascii="Arial" w:cs="Arial" w:eastAsia="Arial" w:hAnsi="Arial"/>
          <w:sz w:val="27"/>
          <w:szCs w:val="27"/>
          <w:i w:val="1"/>
          <w:iCs w:val="1"/>
          <w:color w:val="auto"/>
          <w:vertAlign w:val="subscript"/>
        </w:rPr>
        <w:t>it</w:t>
      </w:r>
    </w:p>
    <w:p>
      <w:pPr>
        <w:spacing w:after="0" w:line="301" w:lineRule="exact"/>
        <w:rPr>
          <w:sz w:val="20"/>
          <w:szCs w:val="20"/>
          <w:color w:val="auto"/>
        </w:rPr>
      </w:pPr>
    </w:p>
    <w:p>
      <w:pPr>
        <w:jc w:val="both"/>
        <w:ind w:left="260" w:right="40" w:firstLine="858"/>
        <w:spacing w:after="0" w:line="308" w:lineRule="auto"/>
        <w:rPr>
          <w:sz w:val="20"/>
          <w:szCs w:val="20"/>
          <w:color w:val="auto"/>
        </w:rPr>
      </w:pPr>
      <w:r>
        <w:rPr>
          <w:rFonts w:ascii="Arial" w:cs="Arial" w:eastAsia="Arial" w:hAnsi="Arial"/>
          <w:sz w:val="23"/>
          <w:szCs w:val="23"/>
          <w:color w:val="auto"/>
        </w:rPr>
        <w:t>Para esta relação, presumindo que o custo de oportunidade do capital próprio (</w:t>
      </w:r>
      <w:r>
        <w:rPr>
          <w:rFonts w:ascii="Arial" w:cs="Arial" w:eastAsia="Arial" w:hAnsi="Arial"/>
          <w:sz w:val="23"/>
          <w:szCs w:val="23"/>
          <w:i w:val="1"/>
          <w:iCs w:val="1"/>
          <w:color w:val="auto"/>
        </w:rPr>
        <w:t>CpP R</w:t>
      </w:r>
      <w:r>
        <w:rPr>
          <w:rFonts w:ascii="Arial" w:cs="Arial" w:eastAsia="Arial" w:hAnsi="Arial"/>
          <w:sz w:val="23"/>
          <w:szCs w:val="23"/>
          <w:color w:val="auto"/>
        </w:rPr>
        <w:t>) é maior que a taxa de captação (</w:t>
      </w:r>
      <w:r>
        <w:rPr>
          <w:rFonts w:ascii="Arial" w:cs="Arial" w:eastAsia="Arial" w:hAnsi="Arial"/>
          <w:sz w:val="23"/>
          <w:szCs w:val="23"/>
          <w:i w:val="1"/>
          <w:iCs w:val="1"/>
          <w:color w:val="auto"/>
        </w:rPr>
        <w:t>i</w:t>
      </w:r>
      <w:r>
        <w:rPr>
          <w:rFonts w:ascii="Arial" w:cs="Arial" w:eastAsia="Arial" w:hAnsi="Arial"/>
          <w:sz w:val="30"/>
          <w:szCs w:val="30"/>
          <w:i w:val="1"/>
          <w:iCs w:val="1"/>
          <w:color w:val="auto"/>
          <w:vertAlign w:val="subscript"/>
        </w:rPr>
        <w:t>cap</w:t>
      </w:r>
      <w:r>
        <w:rPr>
          <w:rFonts w:ascii="Arial" w:cs="Arial" w:eastAsia="Arial" w:hAnsi="Arial"/>
          <w:sz w:val="23"/>
          <w:szCs w:val="23"/>
          <w:color w:val="auto"/>
        </w:rPr>
        <w:t>), e que as instituições possuem capacidade de aplicar esse capital em operações mais rentáveis, quanto maior as operações com capital próprio maior será o nível de spread ex-post. E sendo esse retorno menor que operações mais rentáveis, atua na redução da rentabilidade.</w:t>
      </w:r>
    </w:p>
    <w:p>
      <w:pPr>
        <w:spacing w:after="0" w:line="31" w:lineRule="exact"/>
        <w:rPr>
          <w:sz w:val="20"/>
          <w:szCs w:val="20"/>
          <w:color w:val="auto"/>
        </w:rPr>
      </w:pPr>
    </w:p>
    <w:p>
      <w:pPr>
        <w:jc w:val="both"/>
        <w:ind w:left="260" w:right="40" w:firstLine="858"/>
        <w:spacing w:after="0" w:line="309"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2</w:t>
      </w:r>
      <w:r>
        <w:rPr>
          <w:rFonts w:ascii="Arial" w:cs="Arial" w:eastAsia="Arial" w:hAnsi="Arial"/>
          <w:sz w:val="24"/>
          <w:szCs w:val="24"/>
          <w:color w:val="auto"/>
        </w:rPr>
        <w:t>: A proporção dos depósitos à vista (</w:t>
      </w:r>
      <w:r>
        <w:rPr>
          <w:rFonts w:ascii="Arial" w:cs="Arial" w:eastAsia="Arial" w:hAnsi="Arial"/>
          <w:sz w:val="24"/>
          <w:szCs w:val="24"/>
          <w:i w:val="1"/>
          <w:iCs w:val="1"/>
          <w:color w:val="auto"/>
        </w:rPr>
        <w:t>EAv</w:t>
      </w:r>
      <w:r>
        <w:rPr>
          <w:rFonts w:ascii="Arial" w:cs="Arial" w:eastAsia="Arial" w:hAnsi="Arial"/>
          <w:sz w:val="24"/>
          <w:szCs w:val="24"/>
          <w:color w:val="auto"/>
        </w:rPr>
        <w:t>) diante 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 mantém uma relação direta com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106" w:lineRule="exact"/>
        <w:rPr>
          <w:sz w:val="20"/>
          <w:szCs w:val="20"/>
          <w:color w:val="auto"/>
        </w:rPr>
      </w:pPr>
    </w:p>
    <w:p>
      <w:pPr>
        <w:jc w:val="both"/>
        <w:ind w:left="260" w:right="40" w:firstLine="850"/>
        <w:spacing w:after="0" w:line="293" w:lineRule="auto"/>
        <w:rPr>
          <w:sz w:val="20"/>
          <w:szCs w:val="20"/>
          <w:color w:val="auto"/>
        </w:rPr>
      </w:pPr>
      <w:r>
        <w:rPr>
          <w:rFonts w:ascii="Arial" w:cs="Arial" w:eastAsia="Arial" w:hAnsi="Arial"/>
          <w:sz w:val="24"/>
          <w:szCs w:val="24"/>
          <w:color w:val="auto"/>
        </w:rPr>
        <w:t>Para a proporção das operações de crédito com depósito à vista (</w:t>
      </w:r>
      <w:r>
        <w:rPr>
          <w:rFonts w:ascii="Arial" w:cs="Arial" w:eastAsia="Arial" w:hAnsi="Arial"/>
          <w:sz w:val="24"/>
          <w:szCs w:val="24"/>
          <w:i w:val="1"/>
          <w:iCs w:val="1"/>
          <w:color w:val="auto"/>
        </w:rPr>
        <w:t>EAv</w:t>
      </w:r>
      <w:r>
        <w:rPr>
          <w:rFonts w:ascii="Arial" w:cs="Arial" w:eastAsia="Arial" w:hAnsi="Arial"/>
          <w:sz w:val="24"/>
          <w:szCs w:val="24"/>
          <w:color w:val="auto"/>
        </w:rPr>
        <w:t>) será utilizado como proxy</w:t>
      </w:r>
      <w:r>
        <w:rPr>
          <w:rFonts w:ascii="Arial" w:cs="Arial" w:eastAsia="Arial" w:hAnsi="Arial"/>
          <w:sz w:val="31"/>
          <w:szCs w:val="31"/>
          <w:color w:val="auto"/>
          <w:vertAlign w:val="superscript"/>
        </w:rPr>
        <w:t>2</w:t>
      </w:r>
      <w:r>
        <w:rPr>
          <w:rFonts w:ascii="Arial" w:cs="Arial" w:eastAsia="Arial" w:hAnsi="Arial"/>
          <w:sz w:val="24"/>
          <w:szCs w:val="24"/>
          <w:color w:val="auto"/>
        </w:rPr>
        <w:t xml:space="preserve"> o total dos depósitos à vista (</w:t>
      </w:r>
      <w:r>
        <w:rPr>
          <w:rFonts w:ascii="Arial" w:cs="Arial" w:eastAsia="Arial" w:hAnsi="Arial"/>
          <w:sz w:val="24"/>
          <w:szCs w:val="24"/>
          <w:i w:val="1"/>
          <w:iCs w:val="1"/>
          <w:color w:val="auto"/>
        </w:rPr>
        <w:t>DepAv</w:t>
      </w:r>
      <w:r>
        <w:rPr>
          <w:rFonts w:ascii="Arial" w:cs="Arial" w:eastAsia="Arial" w:hAnsi="Arial"/>
          <w:sz w:val="24"/>
          <w:szCs w:val="24"/>
          <w:color w:val="auto"/>
        </w:rPr>
        <w:t xml:space="preserve"> — Conta 41100000) em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205105</wp:posOffset>
                </wp:positionV>
                <wp:extent cx="2302510" cy="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6.15pt" to="194.25pt,16.15pt" o:allowincell="f" strokecolor="#000000" strokeweight="0.398pt"/>
            </w:pict>
          </mc:Fallback>
        </mc:AlternateContent>
      </w:r>
    </w:p>
    <w:p>
      <w:pPr>
        <w:sectPr>
          <w:pgSz w:w="11900" w:h="16838" w:orient="portrait"/>
          <w:cols w:equalWidth="0" w:num="1">
            <w:col w:w="9360"/>
          </w:cols>
          <w:pgMar w:left="1440" w:top="991" w:right="1106" w:bottom="735" w:gutter="0" w:footer="0" w:header="0"/>
        </w:sectPr>
      </w:pPr>
    </w:p>
    <w:p>
      <w:pPr>
        <w:spacing w:after="0" w:line="361" w:lineRule="exact"/>
        <w:rPr>
          <w:sz w:val="20"/>
          <w:szCs w:val="20"/>
          <w:color w:val="auto"/>
        </w:rPr>
      </w:pPr>
    </w:p>
    <w:p>
      <w:pPr>
        <w:ind w:left="540" w:right="40" w:hanging="281"/>
        <w:spacing w:after="0" w:line="210" w:lineRule="auto"/>
        <w:tabs>
          <w:tab w:leader="none" w:pos="540" w:val="left"/>
        </w:tabs>
        <w:numPr>
          <w:ilvl w:val="0"/>
          <w:numId w:val="20"/>
        </w:numPr>
        <w:rPr>
          <w:rFonts w:ascii="Arial" w:cs="Arial" w:eastAsia="Arial" w:hAnsi="Arial"/>
          <w:sz w:val="28"/>
          <w:szCs w:val="28"/>
          <w:color w:val="auto"/>
          <w:vertAlign w:val="superscript"/>
        </w:rPr>
      </w:pPr>
      <w:r>
        <w:rPr>
          <w:rFonts w:ascii="Arial" w:cs="Arial" w:eastAsia="Arial" w:hAnsi="Arial"/>
          <w:sz w:val="20"/>
          <w:szCs w:val="20"/>
          <w:color w:val="auto"/>
        </w:rPr>
        <w:t>A proxy busca uma aproximação pois não possível determinar, diante os dados, o valor exato das captações à vista que foram utilizados para as operações de crédito</w:t>
      </w:r>
    </w:p>
    <w:p>
      <w:pPr>
        <w:sectPr>
          <w:pgSz w:w="11900" w:h="16838" w:orient="portrait"/>
          <w:cols w:equalWidth="0" w:num="1">
            <w:col w:w="9360"/>
          </w:cols>
          <w:pgMar w:left="1440" w:top="991" w:right="1106" w:bottom="735" w:gutter="0" w:footer="0" w:header="0"/>
          <w:type w:val="continuous"/>
        </w:sectPr>
      </w:pPr>
    </w:p>
    <w:p>
      <w:pPr>
        <w:ind w:left="9060"/>
        <w:spacing w:after="0"/>
        <w:rPr>
          <w:sz w:val="20"/>
          <w:szCs w:val="20"/>
          <w:color w:val="auto"/>
        </w:rPr>
      </w:pPr>
      <w:r>
        <w:rPr>
          <w:rFonts w:ascii="Arial" w:cs="Arial" w:eastAsia="Arial" w:hAnsi="Arial"/>
          <w:sz w:val="24"/>
          <w:szCs w:val="24"/>
          <w:color w:val="auto"/>
        </w:rPr>
        <w:t>43</w:t>
      </w:r>
    </w:p>
    <w:p>
      <w:pPr>
        <w:spacing w:after="0" w:line="200" w:lineRule="exact"/>
        <w:rPr>
          <w:sz w:val="20"/>
          <w:szCs w:val="20"/>
          <w:color w:val="auto"/>
        </w:rPr>
      </w:pPr>
    </w:p>
    <w:p>
      <w:pPr>
        <w:spacing w:after="0" w:line="246" w:lineRule="exact"/>
        <w:rPr>
          <w:sz w:val="20"/>
          <w:szCs w:val="20"/>
          <w:color w:val="auto"/>
        </w:rPr>
      </w:pPr>
    </w:p>
    <w:p>
      <w:pPr>
        <w:ind w:left="260"/>
        <w:spacing w:after="0"/>
        <w:rPr>
          <w:sz w:val="20"/>
          <w:szCs w:val="20"/>
          <w:color w:val="auto"/>
        </w:rPr>
      </w:pPr>
      <w:r>
        <w:rPr>
          <w:rFonts w:ascii="Arial" w:cs="Arial" w:eastAsia="Arial" w:hAnsi="Arial"/>
          <w:sz w:val="24"/>
          <w:szCs w:val="24"/>
          <w:color w:val="auto"/>
        </w:rPr>
        <w:t>relação 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w:t>
      </w:r>
    </w:p>
    <w:p>
      <w:pPr>
        <w:spacing w:after="0" w:line="146" w:lineRule="exact"/>
        <w:rPr>
          <w:sz w:val="20"/>
          <w:szCs w:val="20"/>
          <w:color w:val="auto"/>
        </w:rPr>
      </w:pPr>
    </w:p>
    <w:p>
      <w:pPr>
        <w:jc w:val="right"/>
        <w:ind w:right="3720"/>
        <w:spacing w:after="0"/>
        <w:rPr>
          <w:sz w:val="20"/>
          <w:szCs w:val="20"/>
          <w:color w:val="auto"/>
        </w:rPr>
      </w:pPr>
      <w:r>
        <w:rPr>
          <w:rFonts w:ascii="Arial" w:cs="Arial" w:eastAsia="Arial" w:hAnsi="Arial"/>
          <w:sz w:val="24"/>
          <w:szCs w:val="24"/>
          <w:i w:val="1"/>
          <w:iCs w:val="1"/>
          <w:color w:val="auto"/>
        </w:rPr>
        <w:t>DepAv</w:t>
      </w:r>
      <w:r>
        <w:rPr>
          <w:rFonts w:ascii="Arial" w:cs="Arial" w:eastAsia="Arial" w:hAnsi="Arial"/>
          <w:sz w:val="15"/>
          <w:szCs w:val="15"/>
          <w:i w:val="1"/>
          <w:iCs w:val="1"/>
          <w:color w:val="auto"/>
        </w:rPr>
        <w:t>it</w:t>
      </w:r>
    </w:p>
    <w:p>
      <w:pPr>
        <w:jc w:val="right"/>
        <w:ind w:right="3780"/>
        <w:spacing w:after="0" w:line="206" w:lineRule="auto"/>
        <w:rPr>
          <w:sz w:val="20"/>
          <w:szCs w:val="20"/>
          <w:color w:val="auto"/>
        </w:rPr>
      </w:pPr>
      <w:r>
        <w:rPr>
          <w:rFonts w:ascii="Arial" w:cs="Arial" w:eastAsia="Arial" w:hAnsi="Arial"/>
          <w:sz w:val="48"/>
          <w:szCs w:val="48"/>
          <w:i w:val="1"/>
          <w:iCs w:val="1"/>
          <w:color w:val="auto"/>
          <w:vertAlign w:val="superscript"/>
        </w:rPr>
        <w:t>EAv</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bscript"/>
        </w:rPr>
        <w:t>OpCr</w:t>
      </w:r>
      <w:r>
        <w:rPr>
          <w:rFonts w:ascii="Arial" w:cs="Arial" w:eastAsia="Arial" w:hAnsi="Arial"/>
          <w:sz w:val="31"/>
          <w:szCs w:val="31"/>
          <w:i w:val="1"/>
          <w:iCs w:val="1"/>
          <w:color w:val="auto"/>
          <w:vertAlign w:val="subscript"/>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3066415</wp:posOffset>
                </wp:positionH>
                <wp:positionV relativeFrom="paragraph">
                  <wp:posOffset>-233045</wp:posOffset>
                </wp:positionV>
                <wp:extent cx="536575"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65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45pt,-18.3499pt" to="283.7pt,-18.3499pt" o:allowincell="f" strokecolor="#000000" strokeweight="0.398pt"/>
            </w:pict>
          </mc:Fallback>
        </mc:AlternateContent>
      </w:r>
    </w:p>
    <w:p>
      <w:pPr>
        <w:spacing w:after="0" w:line="211" w:lineRule="exact"/>
        <w:rPr>
          <w:sz w:val="20"/>
          <w:szCs w:val="20"/>
          <w:color w:val="auto"/>
        </w:rPr>
      </w:pPr>
    </w:p>
    <w:p>
      <w:pPr>
        <w:jc w:val="both"/>
        <w:ind w:left="260" w:firstLine="850"/>
        <w:spacing w:after="0" w:line="314" w:lineRule="auto"/>
        <w:rPr>
          <w:sz w:val="20"/>
          <w:szCs w:val="20"/>
          <w:color w:val="auto"/>
        </w:rPr>
      </w:pPr>
      <w:r>
        <w:rPr>
          <w:rFonts w:ascii="Arial" w:cs="Arial" w:eastAsia="Arial" w:hAnsi="Arial"/>
          <w:sz w:val="24"/>
          <w:szCs w:val="24"/>
          <w:color w:val="auto"/>
        </w:rPr>
        <w:t>Na relação entre os empréstimo com depósitos à vista e o spread ex-post se espera uma relação direta, uma vez que o percentual de compulsório mais elevado e a maior liquidez para os depositantes, reduzem o multiplicador bancário e aumenta a necessidade de captação, elevando o custo de oportunidade para essa operação. E uma relação direta com a rentabilidade, levando em consideração que o custo de oportunidade será maior devido a um giro menor, e não havendo custos de captação.</w:t>
      </w:r>
    </w:p>
    <w:p>
      <w:pPr>
        <w:spacing w:after="0" w:line="24" w:lineRule="exact"/>
        <w:rPr>
          <w:sz w:val="20"/>
          <w:szCs w:val="20"/>
          <w:color w:val="auto"/>
        </w:rPr>
      </w:pPr>
    </w:p>
    <w:p>
      <w:pPr>
        <w:jc w:val="both"/>
        <w:ind w:left="260" w:right="40" w:firstLine="858"/>
        <w:spacing w:after="0" w:line="309"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3</w:t>
      </w:r>
      <w:r>
        <w:rPr>
          <w:rFonts w:ascii="Arial" w:cs="Arial" w:eastAsia="Arial" w:hAnsi="Arial"/>
          <w:sz w:val="24"/>
          <w:szCs w:val="24"/>
          <w:color w:val="auto"/>
        </w:rPr>
        <w:t>: A proporção das operações de crédito com depósitos à prazo (</w:t>
      </w:r>
      <w:r>
        <w:rPr>
          <w:rFonts w:ascii="Arial" w:cs="Arial" w:eastAsia="Arial" w:hAnsi="Arial"/>
          <w:sz w:val="24"/>
          <w:szCs w:val="24"/>
          <w:i w:val="1"/>
          <w:iCs w:val="1"/>
          <w:color w:val="auto"/>
        </w:rPr>
        <w:t>OpCrDpAp</w:t>
      </w:r>
      <w:r>
        <w:rPr>
          <w:rFonts w:ascii="Arial" w:cs="Arial" w:eastAsia="Arial" w:hAnsi="Arial"/>
          <w:sz w:val="24"/>
          <w:szCs w:val="24"/>
          <w:color w:val="auto"/>
        </w:rPr>
        <w:t>) atuam de forma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 do período.</w:t>
      </w:r>
    </w:p>
    <w:p>
      <w:pPr>
        <w:spacing w:after="0" w:line="106" w:lineRule="exact"/>
        <w:rPr>
          <w:sz w:val="20"/>
          <w:szCs w:val="20"/>
          <w:color w:val="auto"/>
        </w:rPr>
      </w:pPr>
    </w:p>
    <w:p>
      <w:pPr>
        <w:jc w:val="both"/>
        <w:ind w:left="260" w:right="60" w:firstLine="850"/>
        <w:spacing w:after="0" w:line="284" w:lineRule="auto"/>
        <w:rPr>
          <w:sz w:val="20"/>
          <w:szCs w:val="20"/>
          <w:color w:val="auto"/>
        </w:rPr>
      </w:pPr>
      <w:r>
        <w:rPr>
          <w:rFonts w:ascii="Arial" w:cs="Arial" w:eastAsia="Arial" w:hAnsi="Arial"/>
          <w:sz w:val="24"/>
          <w:szCs w:val="24"/>
          <w:color w:val="auto"/>
        </w:rPr>
        <w:t>Para a proporção das operações de crédito com depósito à prazo (</w:t>
      </w:r>
      <w:r>
        <w:rPr>
          <w:rFonts w:ascii="Arial" w:cs="Arial" w:eastAsia="Arial" w:hAnsi="Arial"/>
          <w:sz w:val="24"/>
          <w:szCs w:val="24"/>
          <w:i w:val="1"/>
          <w:iCs w:val="1"/>
          <w:color w:val="auto"/>
        </w:rPr>
        <w:t>EAp</w:t>
      </w:r>
      <w:r>
        <w:rPr>
          <w:rFonts w:ascii="Arial" w:cs="Arial" w:eastAsia="Arial" w:hAnsi="Arial"/>
          <w:sz w:val="24"/>
          <w:szCs w:val="24"/>
          <w:color w:val="auto"/>
        </w:rPr>
        <w:t>) será utilizado como proxy</w:t>
      </w:r>
      <w:r>
        <w:rPr>
          <w:rFonts w:ascii="Arial" w:cs="Arial" w:eastAsia="Arial" w:hAnsi="Arial"/>
          <w:sz w:val="31"/>
          <w:szCs w:val="31"/>
          <w:color w:val="auto"/>
          <w:vertAlign w:val="superscript"/>
        </w:rPr>
        <w:t>3</w:t>
      </w:r>
      <w:r>
        <w:rPr>
          <w:rFonts w:ascii="Arial" w:cs="Arial" w:eastAsia="Arial" w:hAnsi="Arial"/>
          <w:sz w:val="24"/>
          <w:szCs w:val="24"/>
          <w:color w:val="auto"/>
        </w:rPr>
        <w:t xml:space="preserve"> o total dos depósitos à prazos (</w:t>
      </w:r>
      <w:r>
        <w:rPr>
          <w:rFonts w:ascii="Arial" w:cs="Arial" w:eastAsia="Arial" w:hAnsi="Arial"/>
          <w:sz w:val="24"/>
          <w:szCs w:val="24"/>
          <w:i w:val="1"/>
          <w:iCs w:val="1"/>
          <w:color w:val="auto"/>
        </w:rPr>
        <w:t>DepAp</w:t>
      </w:r>
      <w:r>
        <w:rPr>
          <w:rFonts w:ascii="Arial" w:cs="Arial" w:eastAsia="Arial" w:hAnsi="Arial"/>
          <w:sz w:val="24"/>
          <w:szCs w:val="24"/>
          <w:color w:val="auto"/>
        </w:rPr>
        <w:t xml:space="preserve"> — Conta 41500002) em relação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w:t>
      </w:r>
    </w:p>
    <w:p>
      <w:pPr>
        <w:spacing w:after="0" w:line="64" w:lineRule="exact"/>
        <w:rPr>
          <w:sz w:val="20"/>
          <w:szCs w:val="20"/>
          <w:color w:val="auto"/>
        </w:rPr>
      </w:pPr>
    </w:p>
    <w:p>
      <w:pPr>
        <w:jc w:val="right"/>
        <w:ind w:right="3720"/>
        <w:spacing w:after="0"/>
        <w:rPr>
          <w:sz w:val="20"/>
          <w:szCs w:val="20"/>
          <w:color w:val="auto"/>
        </w:rPr>
      </w:pPr>
      <w:r>
        <w:rPr>
          <w:rFonts w:ascii="Arial" w:cs="Arial" w:eastAsia="Arial" w:hAnsi="Arial"/>
          <w:sz w:val="24"/>
          <w:szCs w:val="24"/>
          <w:i w:val="1"/>
          <w:iCs w:val="1"/>
          <w:color w:val="auto"/>
        </w:rPr>
        <w:t>DepAp</w:t>
      </w:r>
      <w:r>
        <w:rPr>
          <w:rFonts w:ascii="Arial" w:cs="Arial" w:eastAsia="Arial" w:hAnsi="Arial"/>
          <w:sz w:val="15"/>
          <w:szCs w:val="15"/>
          <w:i w:val="1"/>
          <w:iCs w:val="1"/>
          <w:color w:val="auto"/>
        </w:rPr>
        <w:t>it</w:t>
      </w:r>
    </w:p>
    <w:p>
      <w:pPr>
        <w:jc w:val="right"/>
        <w:ind w:right="3780"/>
        <w:spacing w:after="0" w:line="206" w:lineRule="auto"/>
        <w:rPr>
          <w:sz w:val="20"/>
          <w:szCs w:val="20"/>
          <w:color w:val="auto"/>
        </w:rPr>
      </w:pPr>
      <w:r>
        <w:rPr>
          <w:rFonts w:ascii="Arial" w:cs="Arial" w:eastAsia="Arial" w:hAnsi="Arial"/>
          <w:sz w:val="48"/>
          <w:szCs w:val="48"/>
          <w:i w:val="1"/>
          <w:iCs w:val="1"/>
          <w:color w:val="auto"/>
          <w:vertAlign w:val="superscript"/>
        </w:rPr>
        <w:t>EAp</w:t>
      </w:r>
      <w:r>
        <w:rPr>
          <w:rFonts w:ascii="Arial" w:cs="Arial" w:eastAsia="Arial" w:hAnsi="Arial"/>
          <w:sz w:val="15"/>
          <w:szCs w:val="15"/>
          <w:i w:val="1"/>
          <w:iCs w:val="1"/>
          <w:color w:val="auto"/>
        </w:rPr>
        <w:t>it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bscript"/>
        </w:rPr>
        <w:t>OpCr</w:t>
      </w:r>
      <w:r>
        <w:rPr>
          <w:rFonts w:ascii="Arial" w:cs="Arial" w:eastAsia="Arial" w:hAnsi="Arial"/>
          <w:sz w:val="31"/>
          <w:szCs w:val="31"/>
          <w:i w:val="1"/>
          <w:iCs w:val="1"/>
          <w:color w:val="auto"/>
          <w:vertAlign w:val="subscript"/>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3066415</wp:posOffset>
                </wp:positionH>
                <wp:positionV relativeFrom="paragraph">
                  <wp:posOffset>-233045</wp:posOffset>
                </wp:positionV>
                <wp:extent cx="539115"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91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45pt,-18.3499pt" to="283.9pt,-18.3499pt" o:allowincell="f" strokecolor="#000000" strokeweight="0.398pt"/>
            </w:pict>
          </mc:Fallback>
        </mc:AlternateContent>
      </w:r>
    </w:p>
    <w:p>
      <w:pPr>
        <w:spacing w:after="0" w:line="211" w:lineRule="exact"/>
        <w:rPr>
          <w:sz w:val="20"/>
          <w:szCs w:val="20"/>
          <w:color w:val="auto"/>
        </w:rPr>
      </w:pPr>
    </w:p>
    <w:p>
      <w:pPr>
        <w:jc w:val="both"/>
        <w:ind w:left="260" w:right="20" w:firstLine="850"/>
        <w:spacing w:after="0" w:line="314" w:lineRule="auto"/>
        <w:rPr>
          <w:sz w:val="20"/>
          <w:szCs w:val="20"/>
          <w:color w:val="auto"/>
        </w:rPr>
      </w:pPr>
      <w:r>
        <w:rPr>
          <w:rFonts w:ascii="Arial" w:cs="Arial" w:eastAsia="Arial" w:hAnsi="Arial"/>
          <w:sz w:val="24"/>
          <w:szCs w:val="24"/>
          <w:color w:val="auto"/>
        </w:rPr>
        <w:t>Na relação entre os empréstimos com depósitos à prazo e o spread ex-post se espera uma relação direta, assumindo que a taxa de captação é menor que os custos de oportunidades das demais captações, possui menor taxa de recolhimento compulsório e menor necessidade de captação para a operação. Em relação a rentabi-lidade é esperado que ocorra uma relação direta, levando em consideração o fato de proporcionar maior giro.</w:t>
      </w:r>
    </w:p>
    <w:p>
      <w:pPr>
        <w:spacing w:after="0" w:line="24" w:lineRule="exact"/>
        <w:rPr>
          <w:sz w:val="20"/>
          <w:szCs w:val="20"/>
          <w:color w:val="auto"/>
        </w:rPr>
      </w:pPr>
    </w:p>
    <w:p>
      <w:pPr>
        <w:jc w:val="both"/>
        <w:ind w:left="260" w:right="60" w:firstLine="858"/>
        <w:spacing w:after="0" w:line="309"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4</w:t>
      </w:r>
      <w:r>
        <w:rPr>
          <w:rFonts w:ascii="Arial" w:cs="Arial" w:eastAsia="Arial" w:hAnsi="Arial"/>
          <w:sz w:val="24"/>
          <w:szCs w:val="24"/>
          <w:color w:val="auto"/>
        </w:rPr>
        <w:t>: A proporção das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mantém uma relação direta com spread ex-post (</w:t>
      </w:r>
      <w:r>
        <w:rPr>
          <w:rFonts w:ascii="Arial" w:cs="Arial" w:eastAsia="Arial" w:hAnsi="Arial"/>
          <w:sz w:val="24"/>
          <w:szCs w:val="24"/>
          <w:i w:val="1"/>
          <w:iCs w:val="1"/>
          <w:color w:val="auto"/>
        </w:rPr>
        <w:t>SprEp</w:t>
      </w:r>
      <w:r>
        <w:rPr>
          <w:rFonts w:ascii="Arial" w:cs="Arial" w:eastAsia="Arial" w:hAnsi="Arial"/>
          <w:sz w:val="24"/>
          <w:szCs w:val="24"/>
          <w:color w:val="auto"/>
        </w:rPr>
        <w:t>) e inversa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106" w:lineRule="exact"/>
        <w:rPr>
          <w:sz w:val="20"/>
          <w:szCs w:val="20"/>
          <w:color w:val="auto"/>
        </w:rPr>
      </w:pPr>
    </w:p>
    <w:p>
      <w:pPr>
        <w:jc w:val="both"/>
        <w:ind w:left="260" w:right="20" w:firstLine="858"/>
        <w:spacing w:after="0" w:line="315" w:lineRule="auto"/>
        <w:rPr>
          <w:sz w:val="20"/>
          <w:szCs w:val="20"/>
          <w:color w:val="auto"/>
        </w:rPr>
      </w:pPr>
      <w:r>
        <w:rPr>
          <w:rFonts w:ascii="Arial" w:cs="Arial" w:eastAsia="Arial" w:hAnsi="Arial"/>
          <w:sz w:val="24"/>
          <w:szCs w:val="24"/>
          <w:color w:val="auto"/>
        </w:rPr>
        <w:t>Para esta variável será considerada a relação entre as despesas administrativas (</w:t>
      </w:r>
      <w:r>
        <w:rPr>
          <w:rFonts w:ascii="Arial" w:cs="Arial" w:eastAsia="Arial" w:hAnsi="Arial"/>
          <w:sz w:val="24"/>
          <w:szCs w:val="24"/>
          <w:i w:val="1"/>
          <w:iCs w:val="1"/>
          <w:color w:val="auto"/>
        </w:rPr>
        <w:t>DA</w:t>
      </w:r>
      <w:r>
        <w:rPr>
          <w:rFonts w:ascii="Arial" w:cs="Arial" w:eastAsia="Arial" w:hAnsi="Arial"/>
          <w:sz w:val="24"/>
          <w:szCs w:val="24"/>
          <w:color w:val="auto"/>
        </w:rPr>
        <w:t xml:space="preserve"> — Conta 81700006) e 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 Espera-se que ocorra uma relação direta com spread ex-post (</w:t>
      </w:r>
      <w:r>
        <w:rPr>
          <w:rFonts w:ascii="Arial" w:cs="Arial" w:eastAsia="Arial" w:hAnsi="Arial"/>
          <w:sz w:val="24"/>
          <w:szCs w:val="24"/>
          <w:i w:val="1"/>
          <w:iCs w:val="1"/>
          <w:color w:val="auto"/>
        </w:rPr>
        <w:t>SprEp</w:t>
      </w:r>
      <w:r>
        <w:rPr>
          <w:rFonts w:ascii="Arial" w:cs="Arial" w:eastAsia="Arial" w:hAnsi="Arial"/>
          <w:sz w:val="24"/>
          <w:szCs w:val="24"/>
          <w:color w:val="auto"/>
        </w:rPr>
        <w:t>), pois este valor estar embutido na taxa de aplicação, e inversa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 pois implicar e maiores despesas.</w:t>
      </w:r>
    </w:p>
    <w:p>
      <w:pPr>
        <w:spacing w:after="0" w:line="144" w:lineRule="exact"/>
        <w:rPr>
          <w:sz w:val="20"/>
          <w:szCs w:val="20"/>
          <w:color w:val="auto"/>
        </w:rPr>
      </w:pPr>
    </w:p>
    <w:p>
      <w:pPr>
        <w:ind w:left="3840"/>
        <w:spacing w:after="0"/>
        <w:rPr>
          <w:sz w:val="20"/>
          <w:szCs w:val="20"/>
          <w:color w:val="auto"/>
        </w:rPr>
      </w:pPr>
      <w:r>
        <w:rPr>
          <w:rFonts w:ascii="Arial" w:cs="Arial" w:eastAsia="Arial" w:hAnsi="Arial"/>
          <w:sz w:val="24"/>
          <w:szCs w:val="24"/>
          <w:i w:val="1"/>
          <w:iCs w:val="1"/>
          <w:color w:val="auto"/>
        </w:rPr>
        <w:t>DAdm</w:t>
      </w:r>
      <w:r>
        <w:rPr>
          <w:rFonts w:ascii="Arial" w:cs="Arial" w:eastAsia="Arial" w:hAnsi="Arial"/>
          <w:sz w:val="15"/>
          <w:szCs w:val="15"/>
          <w:i w:val="1"/>
          <w:iCs w:val="1"/>
          <w:color w:val="auto"/>
        </w:rPr>
        <w:t>it</w:t>
      </w:r>
      <w:r>
        <w:rPr>
          <w:rFonts w:ascii="Arial" w:cs="Arial" w:eastAsia="Arial" w:hAnsi="Arial"/>
          <w:sz w:val="24"/>
          <w:szCs w:val="24"/>
          <w:color w:val="auto"/>
        </w:rPr>
        <w:t xml:space="preserve"> =</w:t>
      </w:r>
      <w:r>
        <w:rPr>
          <w:rFonts w:ascii="Arial" w:cs="Arial" w:eastAsia="Arial" w:hAnsi="Arial"/>
          <w:sz w:val="47"/>
          <w:szCs w:val="47"/>
          <w:color w:val="auto"/>
        </w:rPr>
        <w:t xml:space="preserve">  </w:t>
      </w:r>
      <w:r>
        <w:rPr>
          <w:rFonts w:ascii="Arial" w:cs="Arial" w:eastAsia="Arial" w:hAnsi="Arial"/>
          <w:sz w:val="47"/>
          <w:szCs w:val="47"/>
          <w:i w:val="1"/>
          <w:iCs w:val="1"/>
          <w:color w:val="auto"/>
          <w:vertAlign w:val="superscript"/>
        </w:rPr>
        <w:t>DA</w:t>
      </w:r>
      <w:r>
        <w:rPr>
          <w:rFonts w:ascii="Arial" w:cs="Arial" w:eastAsia="Arial" w:hAnsi="Arial"/>
          <w:sz w:val="31"/>
          <w:szCs w:val="31"/>
          <w:i w:val="1"/>
          <w:iCs w:val="1"/>
          <w:color w:val="auto"/>
          <w:vertAlign w:val="superscript"/>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3177540</wp:posOffset>
                </wp:positionH>
                <wp:positionV relativeFrom="paragraph">
                  <wp:posOffset>-36195</wp:posOffset>
                </wp:positionV>
                <wp:extent cx="458470" cy="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84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0.2pt,-2.8499pt" to="286.3pt,-2.8499pt" o:allowincell="f" strokecolor="#000000" strokeweight="0.398pt"/>
            </w:pict>
          </mc:Fallback>
        </mc:AlternateContent>
      </w:r>
    </w:p>
    <w:p>
      <w:pPr>
        <w:ind w:left="5000"/>
        <w:spacing w:after="0" w:line="185" w:lineRule="auto"/>
        <w:rPr>
          <w:sz w:val="20"/>
          <w:szCs w:val="20"/>
          <w:color w:val="auto"/>
        </w:rPr>
      </w:pPr>
      <w:r>
        <w:rPr>
          <w:rFonts w:ascii="Arial" w:cs="Arial" w:eastAsia="Arial" w:hAnsi="Arial"/>
          <w:sz w:val="21"/>
          <w:szCs w:val="21"/>
          <w:i w:val="1"/>
          <w:iCs w:val="1"/>
          <w:color w:val="auto"/>
        </w:rPr>
        <w:t>OpCr</w:t>
      </w:r>
      <w:r>
        <w:rPr>
          <w:rFonts w:ascii="Arial" w:cs="Arial" w:eastAsia="Arial" w:hAnsi="Arial"/>
          <w:sz w:val="27"/>
          <w:szCs w:val="27"/>
          <w:i w:val="1"/>
          <w:iCs w:val="1"/>
          <w:color w:val="auto"/>
          <w:vertAlign w:val="subscript"/>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231140</wp:posOffset>
                </wp:positionV>
                <wp:extent cx="2302510"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18.2pt" to="194.25pt,18.2pt" o:allowincell="f" strokecolor="#000000" strokeweight="0.398pt"/>
            </w:pict>
          </mc:Fallback>
        </mc:AlternateContent>
      </w:r>
    </w:p>
    <w:p>
      <w:pPr>
        <w:sectPr>
          <w:pgSz w:w="11900" w:h="16838" w:orient="portrait"/>
          <w:cols w:equalWidth="0" w:num="1">
            <w:col w:w="9380"/>
          </w:cols>
          <w:pgMar w:left="1440" w:top="991" w:right="1086" w:bottom="486" w:gutter="0" w:footer="0" w:header="0"/>
        </w:sectPr>
      </w:pPr>
    </w:p>
    <w:p>
      <w:pPr>
        <w:spacing w:after="0" w:line="200" w:lineRule="exact"/>
        <w:rPr>
          <w:sz w:val="20"/>
          <w:szCs w:val="20"/>
          <w:color w:val="auto"/>
        </w:rPr>
      </w:pPr>
    </w:p>
    <w:p>
      <w:pPr>
        <w:spacing w:after="0" w:line="202" w:lineRule="exact"/>
        <w:rPr>
          <w:sz w:val="20"/>
          <w:szCs w:val="20"/>
          <w:color w:val="auto"/>
        </w:rPr>
      </w:pPr>
    </w:p>
    <w:p>
      <w:pPr>
        <w:ind w:left="540" w:right="60" w:hanging="281"/>
        <w:spacing w:after="0" w:line="210" w:lineRule="auto"/>
        <w:tabs>
          <w:tab w:leader="none" w:pos="540" w:val="left"/>
        </w:tabs>
        <w:numPr>
          <w:ilvl w:val="0"/>
          <w:numId w:val="21"/>
        </w:numPr>
        <w:rPr>
          <w:rFonts w:ascii="Arial" w:cs="Arial" w:eastAsia="Arial" w:hAnsi="Arial"/>
          <w:sz w:val="28"/>
          <w:szCs w:val="28"/>
          <w:color w:val="auto"/>
          <w:vertAlign w:val="superscript"/>
        </w:rPr>
      </w:pPr>
      <w:r>
        <w:rPr>
          <w:rFonts w:ascii="Arial" w:cs="Arial" w:eastAsia="Arial" w:hAnsi="Arial"/>
          <w:sz w:val="20"/>
          <w:szCs w:val="20"/>
          <w:color w:val="auto"/>
        </w:rPr>
        <w:t>A proxy é no sentido que não é possível determinar, diante os dados, o valor exato das captações à prazo que foram utilizados para as operações de crédito</w:t>
      </w:r>
    </w:p>
    <w:p>
      <w:pPr>
        <w:sectPr>
          <w:pgSz w:w="11900" w:h="16838" w:orient="portrait"/>
          <w:cols w:equalWidth="0" w:num="1">
            <w:col w:w="9380"/>
          </w:cols>
          <w:pgMar w:left="1440" w:top="991" w:right="1086" w:bottom="486" w:gutter="0" w:footer="0" w:header="0"/>
          <w:type w:val="continuous"/>
        </w:sectPr>
      </w:pPr>
    </w:p>
    <w:p>
      <w:pPr>
        <w:ind w:left="9060"/>
        <w:spacing w:after="0"/>
        <w:rPr>
          <w:sz w:val="20"/>
          <w:szCs w:val="20"/>
          <w:color w:val="auto"/>
        </w:rPr>
      </w:pPr>
      <w:r>
        <w:rPr>
          <w:rFonts w:ascii="Arial" w:cs="Arial" w:eastAsia="Arial" w:hAnsi="Arial"/>
          <w:sz w:val="24"/>
          <w:szCs w:val="24"/>
          <w:color w:val="auto"/>
        </w:rPr>
        <w:t>44</w:t>
      </w:r>
    </w:p>
    <w:p>
      <w:pPr>
        <w:spacing w:after="0" w:line="365" w:lineRule="exact"/>
        <w:rPr>
          <w:sz w:val="20"/>
          <w:szCs w:val="20"/>
          <w:color w:val="auto"/>
        </w:rPr>
      </w:pPr>
    </w:p>
    <w:p>
      <w:pPr>
        <w:jc w:val="both"/>
        <w:ind w:left="260" w:right="40" w:firstLine="850"/>
        <w:spacing w:after="0" w:line="327"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5</w:t>
      </w:r>
      <w:r>
        <w:rPr>
          <w:rFonts w:ascii="Arial" w:cs="Arial" w:eastAsia="Arial" w:hAnsi="Arial"/>
          <w:sz w:val="24"/>
          <w:szCs w:val="24"/>
          <w:color w:val="auto"/>
        </w:rPr>
        <w:t>: O volume das operações de crédito (</w:t>
      </w:r>
      <w:r>
        <w:rPr>
          <w:rFonts w:ascii="Arial" w:cs="Arial" w:eastAsia="Arial" w:hAnsi="Arial"/>
          <w:sz w:val="24"/>
          <w:szCs w:val="24"/>
          <w:i w:val="1"/>
          <w:iCs w:val="1"/>
          <w:color w:val="auto"/>
        </w:rPr>
        <w:t>V ol</w:t>
      </w:r>
      <w:r>
        <w:rPr>
          <w:rFonts w:ascii="Arial" w:cs="Arial" w:eastAsia="Arial" w:hAnsi="Arial"/>
          <w:sz w:val="24"/>
          <w:szCs w:val="24"/>
          <w:color w:val="auto"/>
        </w:rPr>
        <w:t>) atua de forma inversa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55" w:lineRule="exact"/>
        <w:rPr>
          <w:sz w:val="20"/>
          <w:szCs w:val="20"/>
          <w:color w:val="auto"/>
        </w:rPr>
      </w:pPr>
    </w:p>
    <w:p>
      <w:pPr>
        <w:jc w:val="both"/>
        <w:ind w:left="260" w:right="40" w:firstLine="850"/>
        <w:spacing w:after="0" w:line="304" w:lineRule="auto"/>
        <w:rPr>
          <w:sz w:val="20"/>
          <w:szCs w:val="20"/>
          <w:color w:val="auto"/>
        </w:rPr>
      </w:pPr>
      <w:r>
        <w:rPr>
          <w:rFonts w:ascii="Arial" w:cs="Arial" w:eastAsia="Arial" w:hAnsi="Arial"/>
          <w:sz w:val="24"/>
          <w:szCs w:val="24"/>
          <w:color w:val="auto"/>
        </w:rPr>
        <w:t>Para esta variável será considerado o logarítimo natural das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 Espera-se uma relação inversa com o spread ex-post (</w:t>
      </w:r>
      <w:r>
        <w:rPr>
          <w:rFonts w:ascii="Arial" w:cs="Arial" w:eastAsia="Arial" w:hAnsi="Arial"/>
          <w:sz w:val="24"/>
          <w:szCs w:val="24"/>
          <w:i w:val="1"/>
          <w:iCs w:val="1"/>
          <w:color w:val="auto"/>
        </w:rPr>
        <w:t>SprEp</w:t>
      </w:r>
      <w:r>
        <w:rPr>
          <w:rFonts w:ascii="Arial" w:cs="Arial" w:eastAsia="Arial" w:hAnsi="Arial"/>
          <w:sz w:val="24"/>
          <w:szCs w:val="24"/>
          <w:color w:val="auto"/>
        </w:rPr>
        <w:t>), uma vez que um maior volume durante o período permite redução na taxa de aplicação, e redução de custos operacionais, mantendo uma relação direta com a rentabilidade.</w:t>
      </w:r>
    </w:p>
    <w:p>
      <w:pPr>
        <w:jc w:val="center"/>
        <w:ind w:right="-239"/>
        <w:spacing w:after="0" w:line="232" w:lineRule="auto"/>
        <w:rPr>
          <w:sz w:val="20"/>
          <w:szCs w:val="20"/>
          <w:color w:val="auto"/>
        </w:rPr>
      </w:pPr>
      <w:r>
        <w:rPr>
          <w:rFonts w:ascii="Arial" w:cs="Arial" w:eastAsia="Arial" w:hAnsi="Arial"/>
          <w:sz w:val="24"/>
          <w:szCs w:val="24"/>
          <w:i w:val="1"/>
          <w:iCs w:val="1"/>
          <w:color w:val="auto"/>
        </w:rPr>
        <w:t>V ol</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 ln(</w:t>
      </w:r>
      <w:r>
        <w:rPr>
          <w:rFonts w:ascii="Arial" w:cs="Arial" w:eastAsia="Arial" w:hAnsi="Arial"/>
          <w:sz w:val="24"/>
          <w:szCs w:val="24"/>
          <w:i w:val="1"/>
          <w:iCs w:val="1"/>
          <w:color w:val="auto"/>
        </w:rPr>
        <w:t>OpCr</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w:t>
      </w:r>
    </w:p>
    <w:p>
      <w:pPr>
        <w:spacing w:after="0" w:line="227" w:lineRule="exact"/>
        <w:rPr>
          <w:sz w:val="20"/>
          <w:szCs w:val="20"/>
          <w:color w:val="auto"/>
        </w:rPr>
      </w:pPr>
    </w:p>
    <w:p>
      <w:pPr>
        <w:jc w:val="both"/>
        <w:ind w:left="260" w:right="40" w:firstLine="850"/>
        <w:spacing w:after="0" w:line="327"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6</w:t>
      </w:r>
      <w:r>
        <w:rPr>
          <w:rFonts w:ascii="Arial" w:cs="Arial" w:eastAsia="Arial" w:hAnsi="Arial"/>
          <w:sz w:val="24"/>
          <w:szCs w:val="24"/>
          <w:color w:val="auto"/>
        </w:rPr>
        <w:t>: O tamanho da instituição (</w:t>
      </w:r>
      <w:r>
        <w:rPr>
          <w:rFonts w:ascii="Arial" w:cs="Arial" w:eastAsia="Arial" w:hAnsi="Arial"/>
          <w:sz w:val="24"/>
          <w:szCs w:val="24"/>
          <w:i w:val="1"/>
          <w:iCs w:val="1"/>
          <w:color w:val="auto"/>
        </w:rPr>
        <w:t>T am</w:t>
      </w:r>
      <w:r>
        <w:rPr>
          <w:rFonts w:ascii="Arial" w:cs="Arial" w:eastAsia="Arial" w:hAnsi="Arial"/>
          <w:sz w:val="24"/>
          <w:szCs w:val="24"/>
          <w:color w:val="auto"/>
        </w:rPr>
        <w:t>) mantém uma relação inversa com 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55" w:lineRule="exact"/>
        <w:rPr>
          <w:sz w:val="20"/>
          <w:szCs w:val="20"/>
          <w:color w:val="auto"/>
        </w:rPr>
      </w:pPr>
    </w:p>
    <w:p>
      <w:pPr>
        <w:jc w:val="both"/>
        <w:ind w:left="260" w:firstLine="850"/>
        <w:spacing w:after="0" w:line="304" w:lineRule="auto"/>
        <w:rPr>
          <w:sz w:val="20"/>
          <w:szCs w:val="20"/>
          <w:color w:val="auto"/>
        </w:rPr>
      </w:pPr>
      <w:r>
        <w:rPr>
          <w:rFonts w:ascii="Arial" w:cs="Arial" w:eastAsia="Arial" w:hAnsi="Arial"/>
          <w:sz w:val="24"/>
          <w:szCs w:val="24"/>
          <w:color w:val="auto"/>
        </w:rPr>
        <w:t>Para a variável de tamanho da instituição (</w:t>
      </w:r>
      <w:r>
        <w:rPr>
          <w:rFonts w:ascii="Arial" w:cs="Arial" w:eastAsia="Arial" w:hAnsi="Arial"/>
          <w:sz w:val="24"/>
          <w:szCs w:val="24"/>
          <w:i w:val="1"/>
          <w:iCs w:val="1"/>
          <w:color w:val="auto"/>
        </w:rPr>
        <w:t>T am</w:t>
      </w:r>
      <w:r>
        <w:rPr>
          <w:rFonts w:ascii="Arial" w:cs="Arial" w:eastAsia="Arial" w:hAnsi="Arial"/>
          <w:sz w:val="24"/>
          <w:szCs w:val="24"/>
          <w:color w:val="auto"/>
        </w:rPr>
        <w:t>) será considerado o loga-rítimo natural do ativo total (</w:t>
      </w:r>
      <w:r>
        <w:rPr>
          <w:rFonts w:ascii="Arial" w:cs="Arial" w:eastAsia="Arial" w:hAnsi="Arial"/>
          <w:sz w:val="24"/>
          <w:szCs w:val="24"/>
          <w:i w:val="1"/>
          <w:iCs w:val="1"/>
          <w:color w:val="auto"/>
        </w:rPr>
        <w:t>AtvT oT</w:t>
      </w:r>
      <w:r>
        <w:rPr>
          <w:rFonts w:ascii="Arial" w:cs="Arial" w:eastAsia="Arial" w:hAnsi="Arial"/>
          <w:sz w:val="24"/>
          <w:szCs w:val="24"/>
          <w:color w:val="auto"/>
        </w:rPr>
        <w:t xml:space="preserve"> — Conta 39999993). É esperada um relação inversa com o spread, pois com maior poder de mercado, as instituições podem reduzir suas margens para aumentar volume, o que implicaria em uma relação direta com a rentabilidade.</w:t>
      </w:r>
    </w:p>
    <w:p>
      <w:pPr>
        <w:jc w:val="center"/>
        <w:ind w:right="-239"/>
        <w:spacing w:after="0" w:line="232" w:lineRule="auto"/>
        <w:rPr>
          <w:sz w:val="20"/>
          <w:szCs w:val="20"/>
          <w:color w:val="auto"/>
        </w:rPr>
      </w:pPr>
      <w:r>
        <w:rPr>
          <w:rFonts w:ascii="Arial" w:cs="Arial" w:eastAsia="Arial" w:hAnsi="Arial"/>
          <w:sz w:val="24"/>
          <w:szCs w:val="24"/>
          <w:i w:val="1"/>
          <w:iCs w:val="1"/>
          <w:color w:val="auto"/>
        </w:rPr>
        <w:t>T am</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 ln(</w:t>
      </w:r>
      <w:r>
        <w:rPr>
          <w:rFonts w:ascii="Arial" w:cs="Arial" w:eastAsia="Arial" w:hAnsi="Arial"/>
          <w:sz w:val="24"/>
          <w:szCs w:val="24"/>
          <w:i w:val="1"/>
          <w:iCs w:val="1"/>
          <w:color w:val="auto"/>
        </w:rPr>
        <w:t>AtvT ot</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w:t>
      </w:r>
    </w:p>
    <w:p>
      <w:pPr>
        <w:spacing w:after="0" w:line="108" w:lineRule="exact"/>
        <w:rPr>
          <w:sz w:val="20"/>
          <w:szCs w:val="20"/>
          <w:color w:val="auto"/>
        </w:rPr>
      </w:pPr>
    </w:p>
    <w:p>
      <w:pPr>
        <w:ind w:left="260" w:right="40"/>
        <w:spacing w:after="0" w:line="327"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7</w:t>
      </w:r>
      <w:r>
        <w:rPr>
          <w:rFonts w:ascii="Arial" w:cs="Arial" w:eastAsia="Arial" w:hAnsi="Arial"/>
          <w:sz w:val="24"/>
          <w:szCs w:val="24"/>
          <w:color w:val="auto"/>
        </w:rPr>
        <w:t>: O risco de crédito da carteira (</w:t>
      </w:r>
      <w:r>
        <w:rPr>
          <w:rFonts w:ascii="Arial" w:cs="Arial" w:eastAsia="Arial" w:hAnsi="Arial"/>
          <w:sz w:val="24"/>
          <w:szCs w:val="24"/>
          <w:i w:val="1"/>
          <w:iCs w:val="1"/>
          <w:color w:val="auto"/>
        </w:rPr>
        <w:t>RC</w:t>
      </w:r>
      <w:r>
        <w:rPr>
          <w:rFonts w:ascii="Arial" w:cs="Arial" w:eastAsia="Arial" w:hAnsi="Arial"/>
          <w:sz w:val="24"/>
          <w:szCs w:val="24"/>
          <w:color w:val="auto"/>
        </w:rPr>
        <w:t>) mantém uma relação direta com 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55" w:lineRule="exact"/>
        <w:rPr>
          <w:sz w:val="20"/>
          <w:szCs w:val="20"/>
          <w:color w:val="auto"/>
        </w:rPr>
      </w:pPr>
    </w:p>
    <w:p>
      <w:pPr>
        <w:jc w:val="both"/>
        <w:ind w:left="260" w:firstLine="850"/>
        <w:spacing w:after="0" w:line="315" w:lineRule="auto"/>
        <w:rPr>
          <w:sz w:val="20"/>
          <w:szCs w:val="20"/>
          <w:color w:val="auto"/>
        </w:rPr>
      </w:pPr>
      <w:r>
        <w:rPr>
          <w:rFonts w:ascii="Arial" w:cs="Arial" w:eastAsia="Arial" w:hAnsi="Arial"/>
          <w:sz w:val="24"/>
          <w:szCs w:val="24"/>
          <w:color w:val="auto"/>
        </w:rPr>
        <w:t>Para o risco de crédito será utilizada a participação da média ponderada das provisões de risco das operações de crédito (</w:t>
      </w:r>
      <w:r>
        <w:rPr>
          <w:rFonts w:ascii="Arial" w:cs="Arial" w:eastAsia="Arial" w:hAnsi="Arial"/>
          <w:sz w:val="24"/>
          <w:szCs w:val="24"/>
          <w:i w:val="1"/>
          <w:iCs w:val="1"/>
          <w:color w:val="auto"/>
        </w:rPr>
        <w:t>P OC</w:t>
      </w:r>
      <w:r>
        <w:rPr>
          <w:rFonts w:ascii="Arial" w:cs="Arial" w:eastAsia="Arial" w:hAnsi="Arial"/>
          <w:sz w:val="24"/>
          <w:szCs w:val="24"/>
          <w:color w:val="auto"/>
        </w:rPr>
        <w:t xml:space="preserve"> — Contas 31100003, 31200006, 31300009, 31500005, 31600008, 31700001, 31800004, 31900007), diante os percen-tuais de provisões legais para cada nível de risco, sobre as provisões de risco para operações de crédito (</w:t>
      </w:r>
      <w:r>
        <w:rPr>
          <w:rFonts w:ascii="Arial" w:cs="Arial" w:eastAsia="Arial" w:hAnsi="Arial"/>
          <w:sz w:val="24"/>
          <w:szCs w:val="24"/>
          <w:i w:val="1"/>
          <w:iCs w:val="1"/>
          <w:color w:val="auto"/>
        </w:rPr>
        <w:t>P OC</w:t>
      </w:r>
      <w:r>
        <w:rPr>
          <w:rFonts w:ascii="Arial" w:cs="Arial" w:eastAsia="Arial" w:hAnsi="Arial"/>
          <w:sz w:val="24"/>
          <w:szCs w:val="24"/>
          <w:color w:val="auto"/>
        </w:rPr>
        <w:t>).</w:t>
      </w:r>
    </w:p>
    <w:p>
      <w:pPr>
        <w:jc w:val="center"/>
        <w:ind w:right="340"/>
        <w:spacing w:after="0" w:line="202" w:lineRule="auto"/>
        <w:rPr>
          <w:sz w:val="20"/>
          <w:szCs w:val="20"/>
          <w:color w:val="auto"/>
        </w:rPr>
      </w:pPr>
      <w:r>
        <w:rPr>
          <w:rFonts w:ascii="Arial" w:cs="Arial" w:eastAsia="Arial" w:hAnsi="Arial"/>
          <w:sz w:val="20"/>
          <w:szCs w:val="20"/>
          <w:color w:val="auto"/>
        </w:rPr>
        <w:t>P</w:t>
      </w:r>
      <w:r>
        <w:rPr>
          <w:rFonts w:ascii="Arial" w:cs="Arial" w:eastAsia="Arial" w:hAnsi="Arial"/>
          <w:sz w:val="23"/>
          <w:szCs w:val="23"/>
          <w:i w:val="1"/>
          <w:iCs w:val="1"/>
          <w:color w:val="auto"/>
          <w:vertAlign w:val="subscript"/>
        </w:rPr>
        <w:t>H</w:t>
      </w:r>
    </w:p>
    <w:p>
      <w:pPr>
        <w:ind w:left="4560"/>
        <w:spacing w:after="0" w:line="197" w:lineRule="exact"/>
        <w:rPr>
          <w:sz w:val="20"/>
          <w:szCs w:val="20"/>
          <w:color w:val="auto"/>
        </w:rPr>
      </w:pPr>
      <w:r>
        <w:rPr>
          <w:rFonts w:ascii="Arial" w:cs="Arial" w:eastAsia="Arial" w:hAnsi="Arial"/>
          <w:sz w:val="15"/>
          <w:szCs w:val="15"/>
          <w:i w:val="1"/>
          <w:iCs w:val="1"/>
          <w:color w:val="auto"/>
          <w:vertAlign w:val="subscript"/>
        </w:rPr>
        <w:t>RC</w:t>
      </w:r>
      <w:r>
        <w:rPr>
          <w:rFonts w:ascii="Arial" w:cs="Arial" w:eastAsia="Arial" w:hAnsi="Arial"/>
          <w:sz w:val="15"/>
          <w:szCs w:val="15"/>
          <w:color w:val="auto"/>
          <w:vertAlign w:val="subscript"/>
        </w:rPr>
        <w:t>=</w:t>
      </w:r>
      <w:r>
        <w:rPr>
          <w:rFonts w:ascii="Arial" w:cs="Arial" w:eastAsia="Arial" w:hAnsi="Arial"/>
          <w:sz w:val="15"/>
          <w:szCs w:val="15"/>
          <w:i w:val="1"/>
          <w:iCs w:val="1"/>
          <w:color w:val="auto"/>
          <w:vertAlign w:val="subscript"/>
        </w:rPr>
        <w:t>Aa</w:t>
      </w:r>
      <w:r>
        <w:rPr>
          <w:rFonts w:ascii="Arial" w:cs="Arial" w:eastAsia="Arial" w:hAnsi="Arial"/>
          <w:sz w:val="19"/>
          <w:szCs w:val="19"/>
          <w:i w:val="1"/>
          <w:iCs w:val="1"/>
          <w:color w:val="auto"/>
          <w:vertAlign w:val="subscript"/>
        </w:rPr>
        <w:t xml:space="preserve"> </w:t>
      </w:r>
      <w:r>
        <w:rPr>
          <w:rFonts w:ascii="Arial" w:cs="Arial" w:eastAsia="Arial" w:hAnsi="Arial"/>
          <w:sz w:val="19"/>
          <w:szCs w:val="19"/>
          <w:i w:val="1"/>
          <w:iCs w:val="1"/>
          <w:color w:val="auto"/>
          <w:vertAlign w:val="superscript"/>
        </w:rPr>
        <w:t>OC</w:t>
      </w:r>
      <w:r>
        <w:rPr>
          <w:rFonts w:ascii="Arial" w:cs="Arial" w:eastAsia="Arial" w:hAnsi="Arial"/>
          <w:sz w:val="9"/>
          <w:szCs w:val="9"/>
          <w:i w:val="1"/>
          <w:iCs w:val="1"/>
          <w:color w:val="auto"/>
        </w:rPr>
        <w:t>RC</w:t>
      </w:r>
      <w:r>
        <w:rPr>
          <w:rFonts w:ascii="Arial Unicode MS" w:cs="Arial Unicode MS" w:eastAsia="Arial Unicode MS" w:hAnsi="Arial Unicode MS"/>
          <w:sz w:val="19"/>
          <w:szCs w:val="19"/>
          <w:color w:val="auto"/>
          <w:vertAlign w:val="superscript"/>
        </w:rPr>
        <w:t>∗</w:t>
      </w:r>
      <w:r>
        <w:rPr>
          <w:rFonts w:ascii="Arial" w:cs="Arial" w:eastAsia="Arial" w:hAnsi="Arial"/>
          <w:sz w:val="19"/>
          <w:szCs w:val="19"/>
          <w:i w:val="1"/>
          <w:iCs w:val="1"/>
          <w:color w:val="auto"/>
          <w:vertAlign w:val="superscript"/>
        </w:rPr>
        <w:t>P</w:t>
      </w:r>
      <w:r>
        <w:rPr>
          <w:rFonts w:ascii="Arial" w:cs="Arial" w:eastAsia="Arial" w:hAnsi="Arial"/>
          <w:sz w:val="9"/>
          <w:szCs w:val="9"/>
          <w:i w:val="1"/>
          <w:iCs w:val="1"/>
          <w:color w:val="auto"/>
        </w:rPr>
        <w:t>RC</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2757170</wp:posOffset>
                </wp:positionH>
                <wp:positionV relativeFrom="paragraph">
                  <wp:posOffset>-1905</wp:posOffset>
                </wp:positionV>
                <wp:extent cx="1073785"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37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7.1pt,-0.1499pt" to="301.65pt,-0.1499pt" o:allowincell="f" strokecolor="#000000" strokeweight="0.398pt"/>
            </w:pict>
          </mc:Fallback>
        </mc:AlternateContent>
      </w:r>
    </w:p>
    <w:tbl>
      <w:tblPr>
        <w:tblLayout w:type="fixed"/>
        <w:tblInd w:w="3500" w:type="dxa"/>
        <w:tblCellMar>
          <w:top w:w="0" w:type="dxa"/>
          <w:left w:w="0" w:type="dxa"/>
          <w:bottom w:w="0" w:type="dxa"/>
          <w:right w:w="0" w:type="dxa"/>
        </w:tblCellMar>
      </w:tblPr>
      <w:tr>
        <w:trPr>
          <w:trHeight w:val="175"/>
        </w:trPr>
        <w:tc>
          <w:tcPr>
            <w:tcW w:w="820" w:type="dxa"/>
            <w:vAlign w:val="bottom"/>
          </w:tcPr>
          <w:p>
            <w:pPr>
              <w:spacing w:after="0"/>
              <w:rPr>
                <w:sz w:val="15"/>
                <w:szCs w:val="15"/>
                <w:color w:val="auto"/>
              </w:rPr>
            </w:pPr>
          </w:p>
        </w:tc>
        <w:tc>
          <w:tcPr>
            <w:tcW w:w="1760" w:type="dxa"/>
            <w:vAlign w:val="bottom"/>
          </w:tcPr>
          <w:p>
            <w:pPr>
              <w:ind w:left="820"/>
              <w:spacing w:after="0" w:line="175" w:lineRule="exact"/>
              <w:rPr>
                <w:sz w:val="20"/>
                <w:szCs w:val="20"/>
                <w:color w:val="auto"/>
              </w:rPr>
            </w:pPr>
            <w:r>
              <w:rPr>
                <w:rFonts w:ascii="Arial" w:cs="Arial" w:eastAsia="Arial" w:hAnsi="Arial"/>
                <w:sz w:val="20"/>
                <w:szCs w:val="20"/>
                <w:i w:val="1"/>
                <w:iCs w:val="1"/>
                <w:color w:val="auto"/>
                <w:vertAlign w:val="superscript"/>
              </w:rPr>
              <w:t>P</w:t>
            </w:r>
            <w:r>
              <w:rPr>
                <w:rFonts w:ascii="Arial" w:cs="Arial" w:eastAsia="Arial" w:hAnsi="Arial"/>
                <w:sz w:val="9"/>
                <w:szCs w:val="9"/>
                <w:i w:val="1"/>
                <w:iCs w:val="1"/>
                <w:color w:val="auto"/>
              </w:rPr>
              <w:t>RC</w:t>
            </w:r>
          </w:p>
        </w:tc>
      </w:tr>
      <w:tr>
        <w:trPr>
          <w:trHeight w:val="127"/>
        </w:trPr>
        <w:tc>
          <w:tcPr>
            <w:tcW w:w="820" w:type="dxa"/>
            <w:vAlign w:val="bottom"/>
          </w:tcPr>
          <w:p>
            <w:pPr>
              <w:spacing w:after="0" w:line="127" w:lineRule="exact"/>
              <w:rPr>
                <w:sz w:val="20"/>
                <w:szCs w:val="20"/>
                <w:color w:val="auto"/>
              </w:rPr>
            </w:pPr>
            <w:r>
              <w:rPr>
                <w:rFonts w:ascii="Arial" w:cs="Arial" w:eastAsia="Arial" w:hAnsi="Arial"/>
                <w:sz w:val="12"/>
                <w:szCs w:val="12"/>
                <w:i w:val="1"/>
                <w:iCs w:val="1"/>
                <w:color w:val="auto"/>
              </w:rPr>
              <w:t>RC</w:t>
            </w:r>
            <w:r>
              <w:rPr>
                <w:rFonts w:ascii="Arial" w:cs="Arial" w:eastAsia="Arial" w:hAnsi="Arial"/>
                <w:sz w:val="14"/>
                <w:szCs w:val="14"/>
                <w:i w:val="1"/>
                <w:iCs w:val="1"/>
                <w:color w:val="auto"/>
                <w:vertAlign w:val="subscript"/>
              </w:rPr>
              <w:t>it</w:t>
            </w:r>
            <w:r>
              <w:rPr>
                <w:rFonts w:ascii="Arial" w:cs="Arial" w:eastAsia="Arial" w:hAnsi="Arial"/>
                <w:sz w:val="12"/>
                <w:szCs w:val="12"/>
                <w:color w:val="auto"/>
              </w:rPr>
              <w:t xml:space="preserve"> =</w:t>
            </w:r>
          </w:p>
        </w:tc>
        <w:tc>
          <w:tcPr>
            <w:tcW w:w="1760" w:type="dxa"/>
            <w:vAlign w:val="bottom"/>
          </w:tcPr>
          <w:p>
            <w:pPr>
              <w:ind w:left="580"/>
              <w:spacing w:after="0" w:line="127" w:lineRule="exact"/>
              <w:rPr>
                <w:sz w:val="20"/>
                <w:szCs w:val="20"/>
                <w:color w:val="auto"/>
              </w:rPr>
            </w:pPr>
            <w:r>
              <w:rPr>
                <w:rFonts w:ascii="Arial" w:cs="Arial" w:eastAsia="Arial" w:hAnsi="Arial"/>
                <w:sz w:val="14"/>
                <w:szCs w:val="14"/>
                <w:color w:val="auto"/>
                <w:vertAlign w:val="superscript"/>
              </w:rPr>
              <w:t>P</w:t>
            </w:r>
            <w:r>
              <w:rPr>
                <w:rFonts w:ascii="Arial" w:cs="Arial" w:eastAsia="Arial" w:hAnsi="Arial"/>
                <w:sz w:val="10"/>
                <w:szCs w:val="10"/>
                <w:i w:val="1"/>
                <w:iCs w:val="1"/>
                <w:color w:val="auto"/>
              </w:rPr>
              <w:t>OC</w:t>
            </w:r>
            <w:r>
              <w:rPr>
                <w:rFonts w:ascii="Arial" w:cs="Arial" w:eastAsia="Arial" w:hAnsi="Arial"/>
                <w:sz w:val="11"/>
                <w:szCs w:val="11"/>
                <w:i w:val="1"/>
                <w:iCs w:val="1"/>
                <w:color w:val="auto"/>
                <w:vertAlign w:val="subscript"/>
              </w:rPr>
              <w:t>RC</w:t>
            </w:r>
          </w:p>
        </w:tc>
      </w:tr>
      <w:tr>
        <w:trPr>
          <w:trHeight w:val="628"/>
        </w:trPr>
        <w:tc>
          <w:tcPr>
            <w:tcW w:w="820" w:type="dxa"/>
            <w:vAlign w:val="bottom"/>
          </w:tcPr>
          <w:p>
            <w:pPr>
              <w:spacing w:after="0"/>
              <w:rPr>
                <w:sz w:val="24"/>
                <w:szCs w:val="24"/>
                <w:color w:val="auto"/>
              </w:rPr>
            </w:pPr>
          </w:p>
        </w:tc>
        <w:tc>
          <w:tcPr>
            <w:tcW w:w="1760" w:type="dxa"/>
            <w:vAlign w:val="bottom"/>
          </w:tcPr>
          <w:p>
            <w:pPr>
              <w:ind w:left="520"/>
              <w:spacing w:after="0"/>
              <w:rPr>
                <w:sz w:val="20"/>
                <w:szCs w:val="20"/>
                <w:color w:val="auto"/>
              </w:rPr>
            </w:pPr>
            <w:r>
              <w:rPr>
                <w:rFonts w:ascii="Arial" w:cs="Arial" w:eastAsia="Arial" w:hAnsi="Arial"/>
                <w:sz w:val="20"/>
                <w:szCs w:val="20"/>
                <w:color w:val="auto"/>
              </w:rPr>
              <w:t>P</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2741930</wp:posOffset>
                </wp:positionH>
                <wp:positionV relativeFrom="paragraph">
                  <wp:posOffset>-434340</wp:posOffset>
                </wp:positionV>
                <wp:extent cx="1104265"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042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9pt,-34.1999pt" to="302.85pt,-34.1999pt" o:allowincell="f" strokecolor="#000000" strokeweight="0.398pt"/>
            </w:pict>
          </mc:Fallback>
        </mc:AlternateContent>
      </w:r>
    </w:p>
    <w:p>
      <w:pPr>
        <w:jc w:val="both"/>
        <w:ind w:left="260" w:right="40" w:firstLine="850"/>
        <w:spacing w:after="0" w:line="295" w:lineRule="auto"/>
        <w:rPr>
          <w:sz w:val="20"/>
          <w:szCs w:val="20"/>
          <w:color w:val="auto"/>
        </w:rPr>
      </w:pPr>
      <w:r>
        <w:rPr>
          <w:rFonts w:ascii="Arial" w:cs="Arial" w:eastAsia="Arial" w:hAnsi="Arial"/>
          <w:sz w:val="24"/>
          <w:szCs w:val="24"/>
          <w:color w:val="auto"/>
        </w:rPr>
        <w:t>Para a composição das operações de crédito espera-se influência direta no spread e na rentabilidade no curto prazo, pois operações com maior riscos tendem retornar maiores lucros.</w:t>
      </w:r>
    </w:p>
    <w:p>
      <w:pPr>
        <w:spacing w:after="0" w:line="41" w:lineRule="exact"/>
        <w:rPr>
          <w:sz w:val="20"/>
          <w:szCs w:val="20"/>
          <w:color w:val="auto"/>
        </w:rPr>
      </w:pPr>
    </w:p>
    <w:p>
      <w:pPr>
        <w:jc w:val="both"/>
        <w:ind w:left="260" w:right="40" w:firstLine="850"/>
        <w:spacing w:after="0" w:line="327"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8</w:t>
      </w:r>
      <w:r>
        <w:rPr>
          <w:rFonts w:ascii="Arial" w:cs="Arial" w:eastAsia="Arial" w:hAnsi="Arial"/>
          <w:sz w:val="24"/>
          <w:szCs w:val="24"/>
          <w:color w:val="auto"/>
        </w:rPr>
        <w:t>: A participação de mercado das instituições (</w:t>
      </w:r>
      <w:r>
        <w:rPr>
          <w:rFonts w:ascii="Arial" w:cs="Arial" w:eastAsia="Arial" w:hAnsi="Arial"/>
          <w:sz w:val="24"/>
          <w:szCs w:val="24"/>
          <w:i w:val="1"/>
          <w:iCs w:val="1"/>
          <w:color w:val="auto"/>
        </w:rPr>
        <w:t>M kSh</w:t>
      </w:r>
      <w:r>
        <w:rPr>
          <w:rFonts w:ascii="Arial" w:cs="Arial" w:eastAsia="Arial" w:hAnsi="Arial"/>
          <w:sz w:val="24"/>
          <w:szCs w:val="24"/>
          <w:color w:val="auto"/>
        </w:rPr>
        <w:t>) guarda relação inversa com 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55" w:lineRule="exact"/>
        <w:rPr>
          <w:sz w:val="20"/>
          <w:szCs w:val="20"/>
          <w:color w:val="auto"/>
        </w:rPr>
      </w:pPr>
    </w:p>
    <w:p>
      <w:pPr>
        <w:jc w:val="both"/>
        <w:ind w:left="260" w:right="40" w:firstLine="856"/>
        <w:spacing w:after="0" w:line="319" w:lineRule="auto"/>
        <w:rPr>
          <w:sz w:val="20"/>
          <w:szCs w:val="20"/>
          <w:color w:val="auto"/>
        </w:rPr>
      </w:pPr>
      <w:r>
        <w:rPr>
          <w:rFonts w:ascii="Arial" w:cs="Arial" w:eastAsia="Arial" w:hAnsi="Arial"/>
          <w:sz w:val="24"/>
          <w:szCs w:val="24"/>
          <w:color w:val="auto"/>
        </w:rPr>
        <w:t>Para a participação de mercado da instituições será utilizada a participação volume das operações de crédito (</w:t>
      </w:r>
      <w:r>
        <w:rPr>
          <w:rFonts w:ascii="Arial" w:cs="Arial" w:eastAsia="Arial" w:hAnsi="Arial"/>
          <w:sz w:val="24"/>
          <w:szCs w:val="24"/>
          <w:i w:val="1"/>
          <w:iCs w:val="1"/>
          <w:color w:val="auto"/>
        </w:rPr>
        <w:t>OpCr</w:t>
      </w:r>
      <w:r>
        <w:rPr>
          <w:rFonts w:ascii="Arial" w:cs="Arial" w:eastAsia="Arial" w:hAnsi="Arial"/>
          <w:sz w:val="24"/>
          <w:szCs w:val="24"/>
          <w:color w:val="auto"/>
        </w:rPr>
        <w:t xml:space="preserve"> — Conta 16000001) de cada instituição, sobre o total das operações de crédito para cada período.</w:t>
      </w:r>
    </w:p>
    <w:p>
      <w:pPr>
        <w:ind w:left="5000"/>
        <w:spacing w:after="0" w:line="211" w:lineRule="auto"/>
        <w:rPr>
          <w:sz w:val="20"/>
          <w:szCs w:val="20"/>
          <w:color w:val="auto"/>
        </w:rPr>
      </w:pPr>
      <w:r>
        <w:rPr>
          <w:rFonts w:ascii="Arial" w:cs="Arial" w:eastAsia="Arial" w:hAnsi="Arial"/>
          <w:sz w:val="24"/>
          <w:szCs w:val="24"/>
          <w:i w:val="1"/>
          <w:iCs w:val="1"/>
          <w:color w:val="auto"/>
        </w:rPr>
        <w:t>OpCr</w:t>
      </w:r>
      <w:r>
        <w:rPr>
          <w:rFonts w:ascii="Arial" w:cs="Arial" w:eastAsia="Arial" w:hAnsi="Arial"/>
          <w:sz w:val="31"/>
          <w:szCs w:val="31"/>
          <w:i w:val="1"/>
          <w:iCs w:val="1"/>
          <w:color w:val="auto"/>
          <w:vertAlign w:val="subscript"/>
        </w:rPr>
        <w:t>it</w:t>
      </w:r>
    </w:p>
    <w:p>
      <w:pPr>
        <w:spacing w:after="0" w:line="1" w:lineRule="exact"/>
        <w:rPr>
          <w:sz w:val="20"/>
          <w:szCs w:val="20"/>
          <w:color w:val="auto"/>
        </w:rPr>
      </w:pPr>
    </w:p>
    <w:p>
      <w:pPr>
        <w:ind w:left="3580"/>
        <w:spacing w:after="0"/>
        <w:rPr>
          <w:sz w:val="20"/>
          <w:szCs w:val="20"/>
          <w:color w:val="auto"/>
        </w:rPr>
      </w:pPr>
      <w:r>
        <w:rPr>
          <w:rFonts w:ascii="Arial" w:cs="Arial" w:eastAsia="Arial" w:hAnsi="Arial"/>
          <w:sz w:val="48"/>
          <w:szCs w:val="48"/>
          <w:i w:val="1"/>
          <w:iCs w:val="1"/>
          <w:color w:val="auto"/>
          <w:vertAlign w:val="superscript"/>
        </w:rPr>
        <w:t>M</w:t>
      </w:r>
      <w:r>
        <w:rPr>
          <w:rFonts w:ascii="Arial" w:cs="Arial" w:eastAsia="Arial" w:hAnsi="Arial"/>
          <w:sz w:val="47"/>
          <w:szCs w:val="47"/>
          <w:i w:val="1"/>
          <w:iCs w:val="1"/>
          <w:color w:val="auto"/>
          <w:vertAlign w:val="superscript"/>
        </w:rPr>
        <w:t xml:space="preserve"> </w:t>
      </w:r>
      <w:r>
        <w:rPr>
          <w:rFonts w:ascii="Arial" w:cs="Arial" w:eastAsia="Arial" w:hAnsi="Arial"/>
          <w:sz w:val="48"/>
          <w:szCs w:val="48"/>
          <w:i w:val="1"/>
          <w:iCs w:val="1"/>
          <w:color w:val="auto"/>
          <w:vertAlign w:val="superscript"/>
        </w:rPr>
        <w:t>kSh</w:t>
      </w:r>
      <w:r>
        <w:rPr>
          <w:rFonts w:ascii="Arial" w:cs="Arial" w:eastAsia="Arial" w:hAnsi="Arial"/>
          <w:sz w:val="31"/>
          <w:szCs w:val="31"/>
          <w:i w:val="1"/>
          <w:iCs w:val="1"/>
          <w:color w:val="auto"/>
          <w:vertAlign w:val="superscript"/>
        </w:rPr>
        <w:t>it</w:t>
      </w:r>
      <w:r>
        <w:rPr>
          <w:rFonts w:ascii="Arial" w:cs="Arial" w:eastAsia="Arial" w:hAnsi="Arial"/>
          <w:sz w:val="47"/>
          <w:szCs w:val="47"/>
          <w:color w:val="auto"/>
          <w:vertAlign w:val="superscript"/>
        </w:rPr>
        <w:t xml:space="preserve"> =</w:t>
      </w:r>
      <w:r>
        <w:rPr>
          <w:rFonts w:ascii="Arial" w:cs="Arial" w:eastAsia="Arial" w:hAnsi="Arial"/>
          <w:sz w:val="19"/>
          <w:szCs w:val="19"/>
          <w:color w:val="auto"/>
          <w:vertAlign w:val="superscript"/>
        </w:rPr>
        <w:t xml:space="preserve"> </w:t>
      </w:r>
      <w:r>
        <w:rPr>
          <w:rFonts w:ascii="Arial" w:cs="Arial" w:eastAsia="Arial" w:hAnsi="Arial"/>
          <w:sz w:val="19"/>
          <w:szCs w:val="19"/>
          <w:color w:val="auto"/>
        </w:rPr>
        <w:t>P</w:t>
      </w:r>
      <w:r>
        <w:rPr>
          <w:rFonts w:ascii="Arial" w:cs="Arial" w:eastAsia="Arial" w:hAnsi="Arial"/>
          <w:sz w:val="15"/>
          <w:szCs w:val="15"/>
          <w:i w:val="1"/>
          <w:iCs w:val="1"/>
          <w:color w:val="auto"/>
        </w:rPr>
        <w:t>n</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bscript"/>
        </w:rPr>
        <w:t>OpCr</w:t>
      </w:r>
      <w:r>
        <w:rPr>
          <w:rFonts w:ascii="Arial" w:cs="Arial" w:eastAsia="Arial" w:hAnsi="Arial"/>
          <w:sz w:val="31"/>
          <w:szCs w:val="31"/>
          <w:i w:val="1"/>
          <w:iCs w:val="1"/>
          <w:color w:val="auto"/>
          <w:vertAlign w:val="subscript"/>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2997835</wp:posOffset>
                </wp:positionH>
                <wp:positionV relativeFrom="paragraph">
                  <wp:posOffset>-282575</wp:posOffset>
                </wp:positionV>
                <wp:extent cx="799465" cy="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994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6.05pt,-22.2499pt" to="299pt,-22.2499pt" o:allowincell="f" strokecolor="#000000" strokeweight="0.398pt"/>
            </w:pict>
          </mc:Fallback>
        </mc:AlternateContent>
      </w:r>
    </w:p>
    <w:p>
      <w:pPr>
        <w:sectPr>
          <w:pgSz w:w="11900" w:h="16838" w:orient="portrait"/>
          <w:cols w:equalWidth="0" w:num="1">
            <w:col w:w="9360"/>
          </w:cols>
          <w:pgMar w:left="1440" w:top="991" w:right="1106" w:bottom="266" w:gutter="0" w:footer="0" w:header="0"/>
        </w:sectPr>
      </w:pPr>
    </w:p>
    <w:p>
      <w:pPr>
        <w:ind w:left="9060"/>
        <w:spacing w:after="0"/>
        <w:rPr>
          <w:sz w:val="20"/>
          <w:szCs w:val="20"/>
          <w:color w:val="auto"/>
        </w:rPr>
      </w:pPr>
      <w:r>
        <w:rPr>
          <w:rFonts w:ascii="Arial" w:cs="Arial" w:eastAsia="Arial" w:hAnsi="Arial"/>
          <w:sz w:val="24"/>
          <w:szCs w:val="24"/>
          <w:color w:val="auto"/>
        </w:rPr>
        <w:t>45</w:t>
      </w:r>
    </w:p>
    <w:p>
      <w:pPr>
        <w:spacing w:after="0" w:line="200" w:lineRule="exact"/>
        <w:rPr>
          <w:sz w:val="20"/>
          <w:szCs w:val="20"/>
          <w:color w:val="auto"/>
        </w:rPr>
      </w:pPr>
    </w:p>
    <w:p>
      <w:pPr>
        <w:spacing w:after="0" w:line="246" w:lineRule="exact"/>
        <w:rPr>
          <w:sz w:val="20"/>
          <w:szCs w:val="20"/>
          <w:color w:val="auto"/>
        </w:rPr>
      </w:pPr>
    </w:p>
    <w:p>
      <w:pPr>
        <w:jc w:val="both"/>
        <w:ind w:left="260" w:firstLine="850"/>
        <w:spacing w:after="0" w:line="317" w:lineRule="auto"/>
        <w:rPr>
          <w:sz w:val="20"/>
          <w:szCs w:val="20"/>
          <w:color w:val="auto"/>
        </w:rPr>
      </w:pPr>
      <w:r>
        <w:rPr>
          <w:rFonts w:ascii="Arial" w:cs="Arial" w:eastAsia="Arial" w:hAnsi="Arial"/>
          <w:sz w:val="24"/>
          <w:szCs w:val="24"/>
          <w:color w:val="auto"/>
        </w:rPr>
        <w:t>Para a influência da participação de mercado das instituições sobre o spread espera-se uma relação inversa, pois com maior poder de mercado a instituição ga-rante um maior volume de operações, reduzindo o spread, bem como reduzir custos operacionais influenciando de forma direta a rentabilidade.</w:t>
      </w:r>
    </w:p>
    <w:p>
      <w:pPr>
        <w:spacing w:after="0" w:line="11" w:lineRule="exact"/>
        <w:rPr>
          <w:sz w:val="20"/>
          <w:szCs w:val="20"/>
          <w:color w:val="auto"/>
        </w:rPr>
      </w:pPr>
    </w:p>
    <w:p>
      <w:pPr>
        <w:jc w:val="both"/>
        <w:ind w:left="260" w:right="40" w:firstLine="850"/>
        <w:spacing w:after="0" w:line="327"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9</w:t>
      </w:r>
      <w:r>
        <w:rPr>
          <w:rFonts w:ascii="Arial" w:cs="Arial" w:eastAsia="Arial" w:hAnsi="Arial"/>
          <w:sz w:val="24"/>
          <w:szCs w:val="24"/>
          <w:color w:val="auto"/>
        </w:rPr>
        <w:t>: o grau de concentração de mercado (</w:t>
      </w:r>
      <w:r>
        <w:rPr>
          <w:rFonts w:ascii="Arial" w:cs="Arial" w:eastAsia="Arial" w:hAnsi="Arial"/>
          <w:sz w:val="24"/>
          <w:szCs w:val="24"/>
          <w:i w:val="1"/>
          <w:iCs w:val="1"/>
          <w:color w:val="auto"/>
        </w:rPr>
        <w:t>GC</w:t>
      </w:r>
      <w:r>
        <w:rPr>
          <w:rFonts w:ascii="Arial" w:cs="Arial" w:eastAsia="Arial" w:hAnsi="Arial"/>
          <w:sz w:val="24"/>
          <w:szCs w:val="24"/>
          <w:color w:val="auto"/>
        </w:rPr>
        <w:t>) mantém relação direta com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52" w:lineRule="exact"/>
        <w:rPr>
          <w:sz w:val="20"/>
          <w:szCs w:val="20"/>
          <w:color w:val="auto"/>
        </w:rPr>
      </w:pPr>
    </w:p>
    <w:p>
      <w:pPr>
        <w:jc w:val="both"/>
        <w:ind w:left="260" w:right="20" w:firstLine="850"/>
        <w:spacing w:after="0" w:line="317" w:lineRule="auto"/>
        <w:rPr>
          <w:sz w:val="20"/>
          <w:szCs w:val="20"/>
          <w:color w:val="auto"/>
        </w:rPr>
      </w:pPr>
      <w:r>
        <w:rPr>
          <w:rFonts w:ascii="Arial" w:cs="Arial" w:eastAsia="Arial" w:hAnsi="Arial"/>
          <w:sz w:val="24"/>
          <w:szCs w:val="24"/>
          <w:color w:val="auto"/>
        </w:rPr>
        <w:t>Para a variável de grau de concentração de mercado será utilizado o índice HHI, usando como medida as receitas das operações de crédito (</w:t>
      </w:r>
      <w:r>
        <w:rPr>
          <w:rFonts w:ascii="Arial" w:cs="Arial" w:eastAsia="Arial" w:hAnsi="Arial"/>
          <w:sz w:val="24"/>
          <w:szCs w:val="24"/>
          <w:i w:val="1"/>
          <w:iCs w:val="1"/>
          <w:color w:val="auto"/>
        </w:rPr>
        <w:t>R</w:t>
      </w:r>
      <w:r>
        <w:rPr>
          <w:rFonts w:ascii="Arial" w:cs="Arial" w:eastAsia="Arial" w:hAnsi="Arial"/>
          <w:sz w:val="24"/>
          <w:szCs w:val="24"/>
          <w:color w:val="auto"/>
        </w:rPr>
        <w:t xml:space="preserve"> — Conta 71100001) e o número de instituições para cada período (</w:t>
      </w:r>
      <w:r>
        <w:rPr>
          <w:rFonts w:ascii="Arial" w:cs="Arial" w:eastAsia="Arial" w:hAnsi="Arial"/>
          <w:sz w:val="24"/>
          <w:szCs w:val="24"/>
          <w:i w:val="1"/>
          <w:iCs w:val="1"/>
          <w:color w:val="auto"/>
        </w:rPr>
        <w:t>n</w:t>
      </w:r>
      <w:r>
        <w:rPr>
          <w:rFonts w:ascii="Arial" w:cs="Arial" w:eastAsia="Arial" w:hAnsi="Arial"/>
          <w:sz w:val="24"/>
          <w:szCs w:val="24"/>
          <w:color w:val="auto"/>
        </w:rPr>
        <w:t>). Espera-se que quanto maior a concentração de mercado, maior serão os níveis de spread e rentabilidade.</w:t>
      </w:r>
    </w:p>
    <w:tbl>
      <w:tblPr>
        <w:tblLayout w:type="fixed"/>
        <w:tblInd w:w="3420" w:type="dxa"/>
        <w:tblCellMar>
          <w:top w:w="0" w:type="dxa"/>
          <w:left w:w="0" w:type="dxa"/>
          <w:bottom w:w="0" w:type="dxa"/>
          <w:right w:w="0" w:type="dxa"/>
        </w:tblCellMar>
      </w:tblPr>
      <w:tr>
        <w:trPr>
          <w:trHeight w:val="479"/>
        </w:trPr>
        <w:tc>
          <w:tcPr>
            <w:tcW w:w="960" w:type="dxa"/>
            <w:vAlign w:val="bottom"/>
            <w:gridSpan w:val="2"/>
          </w:tcPr>
          <w:p>
            <w:pPr>
              <w:ind w:left="840"/>
              <w:spacing w:after="0"/>
              <w:rPr>
                <w:sz w:val="20"/>
                <w:szCs w:val="20"/>
                <w:color w:val="auto"/>
              </w:rPr>
            </w:pPr>
            <w:r>
              <w:rPr>
                <w:rFonts w:ascii="Arial" w:cs="Arial" w:eastAsia="Arial" w:hAnsi="Arial"/>
                <w:sz w:val="24"/>
                <w:szCs w:val="24"/>
                <w:color w:val="auto"/>
                <w:w w:val="74"/>
              </w:rPr>
              <w:t>1</w:t>
            </w:r>
          </w:p>
        </w:tc>
        <w:tc>
          <w:tcPr>
            <w:tcW w:w="480" w:type="dxa"/>
            <w:vAlign w:val="bottom"/>
          </w:tcPr>
          <w:p>
            <w:pPr>
              <w:spacing w:after="0"/>
              <w:rPr>
                <w:sz w:val="24"/>
                <w:szCs w:val="24"/>
                <w:color w:val="auto"/>
              </w:rPr>
            </w:pPr>
          </w:p>
        </w:tc>
        <w:tc>
          <w:tcPr>
            <w:tcW w:w="200" w:type="dxa"/>
            <w:vAlign w:val="bottom"/>
            <w:vMerge w:val="restart"/>
          </w:tcPr>
          <w:p>
            <w:pPr>
              <w:spacing w:after="0"/>
              <w:rPr>
                <w:sz w:val="20"/>
                <w:szCs w:val="20"/>
                <w:color w:val="auto"/>
              </w:rPr>
            </w:pPr>
            <w:r>
              <w:rPr>
                <w:rFonts w:ascii="Arial" w:cs="Arial" w:eastAsia="Arial" w:hAnsi="Arial"/>
                <w:sz w:val="20"/>
                <w:szCs w:val="20"/>
                <w:color w:val="auto"/>
              </w:rPr>
              <w:t>P</w:t>
            </w:r>
          </w:p>
        </w:tc>
        <w:tc>
          <w:tcPr>
            <w:tcW w:w="280" w:type="dxa"/>
            <w:vAlign w:val="bottom"/>
          </w:tcPr>
          <w:p>
            <w:pPr>
              <w:spacing w:after="0"/>
              <w:rPr>
                <w:sz w:val="20"/>
                <w:szCs w:val="20"/>
                <w:color w:val="auto"/>
              </w:rPr>
            </w:pPr>
            <w:r>
              <w:rPr>
                <w:rFonts w:ascii="Arial" w:cs="Arial" w:eastAsia="Arial" w:hAnsi="Arial"/>
                <w:sz w:val="16"/>
                <w:szCs w:val="16"/>
                <w:i w:val="1"/>
                <w:iCs w:val="1"/>
                <w:color w:val="auto"/>
              </w:rPr>
              <w:t>n</w:t>
            </w:r>
          </w:p>
        </w:tc>
        <w:tc>
          <w:tcPr>
            <w:tcW w:w="800" w:type="dxa"/>
            <w:vAlign w:val="bottom"/>
            <w:gridSpan w:val="3"/>
          </w:tcPr>
          <w:p>
            <w:pPr>
              <w:ind w:left="20"/>
              <w:spacing w:after="0" w:line="479" w:lineRule="exact"/>
              <w:rPr>
                <w:sz w:val="20"/>
                <w:szCs w:val="20"/>
                <w:color w:val="auto"/>
              </w:rPr>
            </w:pPr>
            <w:r>
              <w:rPr>
                <w:rFonts w:ascii="Arial" w:cs="Arial" w:eastAsia="Arial" w:hAnsi="Arial"/>
                <w:sz w:val="48"/>
                <w:szCs w:val="48"/>
                <w:color w:val="auto"/>
                <w:w w:val="87"/>
                <w:vertAlign w:val="subscript"/>
              </w:rPr>
              <w:t>(</w:t>
            </w:r>
            <w:r>
              <w:rPr>
                <w:rFonts w:ascii="Arial" w:cs="Arial" w:eastAsia="Arial" w:hAnsi="Arial"/>
                <w:sz w:val="31"/>
                <w:szCs w:val="31"/>
                <w:i w:val="1"/>
                <w:iCs w:val="1"/>
                <w:color w:val="auto"/>
                <w:w w:val="87"/>
                <w:vertAlign w:val="superscript"/>
              </w:rPr>
              <w:t>R</w:t>
            </w:r>
            <w:r>
              <w:rPr>
                <w:rFonts w:ascii="Arial" w:cs="Arial" w:eastAsia="Arial" w:hAnsi="Arial"/>
                <w:sz w:val="11"/>
                <w:szCs w:val="11"/>
                <w:i w:val="1"/>
                <w:iCs w:val="1"/>
                <w:color w:val="auto"/>
                <w:w w:val="87"/>
              </w:rPr>
              <w:t>it</w:t>
            </w:r>
            <w:r>
              <w:rPr>
                <w:rFonts w:ascii="Arial" w:cs="Arial" w:eastAsia="Arial" w:hAnsi="Arial"/>
                <w:sz w:val="31"/>
                <w:szCs w:val="31"/>
                <w:color w:val="auto"/>
                <w:w w:val="87"/>
                <w:vertAlign w:val="superscript"/>
              </w:rPr>
              <w:t>−1</w:t>
            </w:r>
            <w:r>
              <w:rPr>
                <w:rFonts w:ascii="Arial" w:cs="Arial" w:eastAsia="Arial" w:hAnsi="Arial"/>
                <w:sz w:val="48"/>
                <w:szCs w:val="48"/>
                <w:color w:val="auto"/>
                <w:w w:val="87"/>
              </w:rPr>
              <w:t xml:space="preserve"> </w:t>
            </w:r>
            <w:r>
              <w:rPr>
                <w:rFonts w:ascii="Arial" w:cs="Arial" w:eastAsia="Arial" w:hAnsi="Arial"/>
                <w:sz w:val="48"/>
                <w:szCs w:val="48"/>
                <w:color w:val="auto"/>
                <w:w w:val="87"/>
                <w:vertAlign w:val="subscript"/>
              </w:rPr>
              <w:t>)</w:t>
            </w:r>
            <w:r>
              <w:rPr>
                <w:rFonts w:ascii="Arial" w:cs="Arial" w:eastAsia="Arial" w:hAnsi="Arial"/>
                <w:sz w:val="15"/>
                <w:szCs w:val="15"/>
                <w:color w:val="auto"/>
                <w:w w:val="87"/>
              </w:rPr>
              <w:t>2</w:t>
            </w:r>
          </w:p>
        </w:tc>
        <w:tc>
          <w:tcPr>
            <w:tcW w:w="0" w:type="dxa"/>
            <w:vAlign w:val="bottom"/>
          </w:tcPr>
          <w:p>
            <w:pPr>
              <w:spacing w:after="0"/>
              <w:rPr>
                <w:sz w:val="1"/>
                <w:szCs w:val="1"/>
                <w:color w:val="auto"/>
              </w:rPr>
            </w:pPr>
          </w:p>
        </w:tc>
      </w:tr>
      <w:tr>
        <w:trPr>
          <w:trHeight w:val="20"/>
        </w:trPr>
        <w:tc>
          <w:tcPr>
            <w:tcW w:w="820" w:type="dxa"/>
            <w:vAlign w:val="bottom"/>
            <w:vMerge w:val="restart"/>
          </w:tcPr>
          <w:p>
            <w:pPr>
              <w:spacing w:after="0" w:line="335" w:lineRule="exact"/>
              <w:rPr>
                <w:sz w:val="20"/>
                <w:szCs w:val="20"/>
                <w:color w:val="auto"/>
              </w:rPr>
            </w:pPr>
            <w:r>
              <w:rPr>
                <w:rFonts w:ascii="Arial" w:cs="Arial" w:eastAsia="Arial" w:hAnsi="Arial"/>
                <w:sz w:val="24"/>
                <w:szCs w:val="24"/>
                <w:i w:val="1"/>
                <w:iCs w:val="1"/>
                <w:color w:val="auto"/>
              </w:rPr>
              <w:t>GC</w:t>
            </w:r>
            <w:r>
              <w:rPr>
                <w:rFonts w:ascii="Arial" w:cs="Arial" w:eastAsia="Arial" w:hAnsi="Arial"/>
                <w:sz w:val="31"/>
                <w:szCs w:val="31"/>
                <w:i w:val="1"/>
                <w:iCs w:val="1"/>
                <w:color w:val="auto"/>
                <w:vertAlign w:val="subscript"/>
              </w:rPr>
              <w:t>it</w:t>
            </w:r>
            <w:r>
              <w:rPr>
                <w:rFonts w:ascii="Arial" w:cs="Arial" w:eastAsia="Arial" w:hAnsi="Arial"/>
                <w:sz w:val="24"/>
                <w:szCs w:val="24"/>
                <w:color w:val="auto"/>
              </w:rPr>
              <w:t xml:space="preserve"> =</w:t>
            </w:r>
          </w:p>
        </w:tc>
        <w:tc>
          <w:tcPr>
            <w:tcW w:w="140" w:type="dxa"/>
            <w:vAlign w:val="bottom"/>
          </w:tcPr>
          <w:p>
            <w:pPr>
              <w:spacing w:after="0" w:line="20" w:lineRule="exact"/>
              <w:rPr>
                <w:sz w:val="1"/>
                <w:szCs w:val="1"/>
                <w:color w:val="auto"/>
              </w:rPr>
            </w:pPr>
          </w:p>
        </w:tc>
        <w:tc>
          <w:tcPr>
            <w:tcW w:w="480" w:type="dxa"/>
            <w:vAlign w:val="bottom"/>
            <w:vMerge w:val="restart"/>
          </w:tcPr>
          <w:p>
            <w:pPr>
              <w:ind w:left="80"/>
              <w:spacing w:after="0"/>
              <w:rPr>
                <w:sz w:val="20"/>
                <w:szCs w:val="20"/>
                <w:color w:val="auto"/>
              </w:rPr>
            </w:pPr>
            <w:r>
              <w:rPr>
                <w:rFonts w:ascii="Arial" w:cs="Arial" w:eastAsia="Arial" w:hAnsi="Arial"/>
                <w:sz w:val="24"/>
                <w:szCs w:val="24"/>
                <w:color w:val="auto"/>
              </w:rPr>
              <w:t xml:space="preserve">+ </w:t>
            </w:r>
            <w:r>
              <w:rPr>
                <w:rFonts w:ascii="Arial" w:cs="Arial" w:eastAsia="Arial" w:hAnsi="Arial"/>
                <w:sz w:val="24"/>
                <w:szCs w:val="24"/>
                <w:i w:val="1"/>
                <w:iCs w:val="1"/>
                <w:color w:val="auto"/>
              </w:rPr>
              <w:t>n</w:t>
            </w:r>
          </w:p>
        </w:tc>
        <w:tc>
          <w:tcPr>
            <w:tcW w:w="200" w:type="dxa"/>
            <w:vAlign w:val="bottom"/>
            <w:vMerge w:val="continue"/>
          </w:tcPr>
          <w:p>
            <w:pPr>
              <w:spacing w:after="0" w:line="20" w:lineRule="exact"/>
              <w:rPr>
                <w:sz w:val="1"/>
                <w:szCs w:val="1"/>
                <w:color w:val="auto"/>
              </w:rPr>
            </w:pPr>
          </w:p>
        </w:tc>
        <w:tc>
          <w:tcPr>
            <w:tcW w:w="280" w:type="dxa"/>
            <w:vAlign w:val="bottom"/>
            <w:vMerge w:val="restart"/>
          </w:tcPr>
          <w:p>
            <w:pPr>
              <w:spacing w:after="0" w:line="150" w:lineRule="exact"/>
              <w:rPr>
                <w:sz w:val="20"/>
                <w:szCs w:val="20"/>
                <w:color w:val="auto"/>
              </w:rPr>
            </w:pPr>
            <w:r>
              <w:rPr>
                <w:rFonts w:ascii="Arial" w:cs="Arial" w:eastAsia="Arial" w:hAnsi="Arial"/>
                <w:sz w:val="16"/>
                <w:szCs w:val="16"/>
                <w:i w:val="1"/>
                <w:iCs w:val="1"/>
                <w:color w:val="auto"/>
              </w:rPr>
              <w:t>i</w:t>
            </w:r>
            <w:r>
              <w:rPr>
                <w:rFonts w:ascii="Arial" w:cs="Arial" w:eastAsia="Arial" w:hAnsi="Arial"/>
                <w:sz w:val="16"/>
                <w:szCs w:val="16"/>
                <w:color w:val="auto"/>
              </w:rPr>
              <w:t>=1</w:t>
            </w:r>
          </w:p>
        </w:tc>
        <w:tc>
          <w:tcPr>
            <w:tcW w:w="120" w:type="dxa"/>
            <w:vAlign w:val="bottom"/>
          </w:tcPr>
          <w:p>
            <w:pPr>
              <w:spacing w:after="0" w:line="20" w:lineRule="exact"/>
              <w:rPr>
                <w:sz w:val="1"/>
                <w:szCs w:val="1"/>
                <w:color w:val="auto"/>
              </w:rPr>
            </w:pPr>
          </w:p>
        </w:tc>
        <w:tc>
          <w:tcPr>
            <w:tcW w:w="460" w:type="dxa"/>
            <w:vAlign w:val="bottom"/>
            <w:shd w:val="clear" w:color="auto" w:fill="000000"/>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50"/>
        </w:trPr>
        <w:tc>
          <w:tcPr>
            <w:tcW w:w="820" w:type="dxa"/>
            <w:vAlign w:val="bottom"/>
            <w:vMerge w:val="continue"/>
          </w:tcPr>
          <w:p>
            <w:pPr>
              <w:spacing w:after="0"/>
              <w:rPr>
                <w:sz w:val="13"/>
                <w:szCs w:val="13"/>
                <w:color w:val="auto"/>
              </w:rPr>
            </w:pPr>
          </w:p>
        </w:tc>
        <w:tc>
          <w:tcPr>
            <w:tcW w:w="140" w:type="dxa"/>
            <w:vAlign w:val="bottom"/>
            <w:tcBorders>
              <w:bottom w:val="single" w:sz="8" w:color="auto"/>
            </w:tcBorders>
          </w:tcPr>
          <w:p>
            <w:pPr>
              <w:spacing w:after="0"/>
              <w:rPr>
                <w:sz w:val="13"/>
                <w:szCs w:val="13"/>
                <w:color w:val="auto"/>
              </w:rPr>
            </w:pPr>
          </w:p>
        </w:tc>
        <w:tc>
          <w:tcPr>
            <w:tcW w:w="480" w:type="dxa"/>
            <w:vAlign w:val="bottom"/>
            <w:vMerge w:val="continue"/>
          </w:tcPr>
          <w:p>
            <w:pPr>
              <w:spacing w:after="0"/>
              <w:rPr>
                <w:sz w:val="13"/>
                <w:szCs w:val="13"/>
                <w:color w:val="auto"/>
              </w:rPr>
            </w:pPr>
          </w:p>
        </w:tc>
        <w:tc>
          <w:tcPr>
            <w:tcW w:w="200" w:type="dxa"/>
            <w:vAlign w:val="bottom"/>
            <w:vMerge w:val="continue"/>
          </w:tcPr>
          <w:p>
            <w:pPr>
              <w:spacing w:after="0"/>
              <w:rPr>
                <w:sz w:val="13"/>
                <w:szCs w:val="13"/>
                <w:color w:val="auto"/>
              </w:rPr>
            </w:pPr>
          </w:p>
        </w:tc>
        <w:tc>
          <w:tcPr>
            <w:tcW w:w="280" w:type="dxa"/>
            <w:vAlign w:val="bottom"/>
            <w:vMerge w:val="continue"/>
          </w:tcPr>
          <w:p>
            <w:pPr>
              <w:spacing w:after="0"/>
              <w:rPr>
                <w:sz w:val="13"/>
                <w:szCs w:val="13"/>
                <w:color w:val="auto"/>
              </w:rPr>
            </w:pPr>
          </w:p>
        </w:tc>
        <w:tc>
          <w:tcPr>
            <w:tcW w:w="800" w:type="dxa"/>
            <w:vAlign w:val="bottom"/>
            <w:gridSpan w:val="3"/>
            <w:vMerge w:val="restart"/>
          </w:tcPr>
          <w:p>
            <w:pPr>
              <w:ind w:left="80"/>
              <w:spacing w:after="0"/>
              <w:rPr>
                <w:sz w:val="20"/>
                <w:szCs w:val="20"/>
                <w:color w:val="auto"/>
              </w:rPr>
            </w:pPr>
            <w:r>
              <w:rPr>
                <w:rFonts w:ascii="Arial" w:cs="Arial" w:eastAsia="Arial" w:hAnsi="Arial"/>
                <w:sz w:val="24"/>
                <w:szCs w:val="24"/>
                <w:i w:val="1"/>
                <w:iCs w:val="1"/>
                <w:color w:val="auto"/>
              </w:rPr>
              <w:t>n</w:t>
            </w:r>
            <w:r>
              <w:rPr>
                <w:rFonts w:ascii="Arial" w:cs="Arial" w:eastAsia="Arial" w:hAnsi="Arial"/>
                <w:sz w:val="31"/>
                <w:szCs w:val="31"/>
                <w:i w:val="1"/>
                <w:iCs w:val="1"/>
                <w:color w:val="auto"/>
              </w:rPr>
              <w:t xml:space="preserve"> </w:t>
            </w:r>
            <w:r>
              <w:rPr>
                <w:rFonts w:ascii="Arial" w:cs="Arial" w:eastAsia="Arial" w:hAnsi="Arial"/>
                <w:sz w:val="31"/>
                <w:szCs w:val="31"/>
                <w:i w:val="1"/>
                <w:iCs w:val="1"/>
                <w:color w:val="auto"/>
                <w:vertAlign w:val="superscript"/>
              </w:rPr>
              <w:t>n</w:t>
            </w:r>
          </w:p>
        </w:tc>
        <w:tc>
          <w:tcPr>
            <w:tcW w:w="0" w:type="dxa"/>
            <w:vAlign w:val="bottom"/>
          </w:tcPr>
          <w:p>
            <w:pPr>
              <w:spacing w:after="0"/>
              <w:rPr>
                <w:sz w:val="1"/>
                <w:szCs w:val="1"/>
                <w:color w:val="auto"/>
              </w:rPr>
            </w:pPr>
          </w:p>
        </w:tc>
      </w:tr>
      <w:tr>
        <w:trPr>
          <w:trHeight w:val="302"/>
        </w:trPr>
        <w:tc>
          <w:tcPr>
            <w:tcW w:w="820" w:type="dxa"/>
            <w:vAlign w:val="bottom"/>
            <w:vMerge w:val="continue"/>
          </w:tcPr>
          <w:p>
            <w:pPr>
              <w:spacing w:after="0"/>
              <w:rPr>
                <w:sz w:val="24"/>
                <w:szCs w:val="24"/>
                <w:color w:val="auto"/>
              </w:rPr>
            </w:pPr>
          </w:p>
        </w:tc>
        <w:tc>
          <w:tcPr>
            <w:tcW w:w="140" w:type="dxa"/>
            <w:vAlign w:val="bottom"/>
          </w:tcPr>
          <w:p>
            <w:pPr>
              <w:ind w:left="20"/>
              <w:spacing w:after="0" w:line="266" w:lineRule="exact"/>
              <w:rPr>
                <w:sz w:val="20"/>
                <w:szCs w:val="20"/>
                <w:color w:val="auto"/>
              </w:rPr>
            </w:pPr>
            <w:r>
              <w:rPr>
                <w:rFonts w:ascii="Arial" w:cs="Arial" w:eastAsia="Arial" w:hAnsi="Arial"/>
                <w:sz w:val="24"/>
                <w:szCs w:val="24"/>
                <w:i w:val="1"/>
                <w:iCs w:val="1"/>
                <w:color w:val="auto"/>
                <w:w w:val="74"/>
              </w:rPr>
              <w:t>n</w:t>
            </w:r>
          </w:p>
        </w:tc>
        <w:tc>
          <w:tcPr>
            <w:tcW w:w="480" w:type="dxa"/>
            <w:vAlign w:val="bottom"/>
            <w:vMerge w:val="continue"/>
          </w:tcPr>
          <w:p>
            <w:pPr>
              <w:spacing w:after="0"/>
              <w:rPr>
                <w:sz w:val="24"/>
                <w:szCs w:val="24"/>
                <w:color w:val="auto"/>
              </w:rPr>
            </w:pPr>
          </w:p>
        </w:tc>
        <w:tc>
          <w:tcPr>
            <w:tcW w:w="200" w:type="dxa"/>
            <w:vAlign w:val="bottom"/>
            <w:vMerge w:val="continue"/>
          </w:tcPr>
          <w:p>
            <w:pPr>
              <w:spacing w:after="0"/>
              <w:rPr>
                <w:sz w:val="24"/>
                <w:szCs w:val="24"/>
                <w:color w:val="auto"/>
              </w:rPr>
            </w:pPr>
          </w:p>
        </w:tc>
        <w:tc>
          <w:tcPr>
            <w:tcW w:w="280" w:type="dxa"/>
            <w:vAlign w:val="bottom"/>
          </w:tcPr>
          <w:p>
            <w:pPr>
              <w:spacing w:after="0"/>
              <w:rPr>
                <w:sz w:val="24"/>
                <w:szCs w:val="24"/>
                <w:color w:val="auto"/>
              </w:rPr>
            </w:pPr>
          </w:p>
        </w:tc>
        <w:tc>
          <w:tcPr>
            <w:tcW w:w="800" w:type="dxa"/>
            <w:vAlign w:val="bottom"/>
            <w:gridSpan w:val="3"/>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3083560</wp:posOffset>
                </wp:positionH>
                <wp:positionV relativeFrom="paragraph">
                  <wp:posOffset>-201930</wp:posOffset>
                </wp:positionV>
                <wp:extent cx="814705" cy="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47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8pt,-15.8999pt" to="306.95pt,-15.8999pt" o:allowincell="f" strokecolor="#000000" strokeweight="0.398pt"/>
            </w:pict>
          </mc:Fallback>
        </mc:AlternateContent>
      </w:r>
    </w:p>
    <w:p>
      <w:pPr>
        <w:spacing w:after="0" w:line="7" w:lineRule="exact"/>
        <w:rPr>
          <w:sz w:val="20"/>
          <w:szCs w:val="20"/>
          <w:color w:val="auto"/>
        </w:rPr>
      </w:pPr>
    </w:p>
    <w:p>
      <w:pPr>
        <w:ind w:left="260" w:right="40" w:firstLine="850"/>
        <w:spacing w:after="0" w:line="327"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10</w:t>
      </w:r>
      <w:r>
        <w:rPr>
          <w:rFonts w:ascii="Arial" w:cs="Arial" w:eastAsia="Arial" w:hAnsi="Arial"/>
          <w:sz w:val="24"/>
          <w:szCs w:val="24"/>
          <w:color w:val="auto"/>
        </w:rPr>
        <w:t>: O tipo de instituição (</w:t>
      </w:r>
      <w:r>
        <w:rPr>
          <w:rFonts w:ascii="Arial" w:cs="Arial" w:eastAsia="Arial" w:hAnsi="Arial"/>
          <w:sz w:val="24"/>
          <w:szCs w:val="24"/>
          <w:i w:val="1"/>
          <w:iCs w:val="1"/>
          <w:color w:val="auto"/>
        </w:rPr>
        <w:t>T pIns</w:t>
      </w:r>
      <w:r>
        <w:rPr>
          <w:rFonts w:ascii="Arial" w:cs="Arial" w:eastAsia="Arial" w:hAnsi="Arial"/>
          <w:sz w:val="24"/>
          <w:szCs w:val="24"/>
          <w:color w:val="auto"/>
        </w:rPr>
        <w:t>) exerce influência na determinação do nível de spread ex-post (</w:t>
      </w:r>
      <w:r>
        <w:rPr>
          <w:rFonts w:ascii="Arial" w:cs="Arial" w:eastAsia="Arial" w:hAnsi="Arial"/>
          <w:sz w:val="24"/>
          <w:szCs w:val="24"/>
          <w:i w:val="1"/>
          <w:iCs w:val="1"/>
          <w:color w:val="auto"/>
        </w:rPr>
        <w:t>SprEp</w:t>
      </w:r>
      <w:r>
        <w:rPr>
          <w:rFonts w:ascii="Arial" w:cs="Arial" w:eastAsia="Arial" w:hAnsi="Arial"/>
          <w:sz w:val="24"/>
          <w:szCs w:val="24"/>
          <w:color w:val="auto"/>
        </w:rPr>
        <w:t>) e nível da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52" w:lineRule="exact"/>
        <w:rPr>
          <w:sz w:val="20"/>
          <w:szCs w:val="20"/>
          <w:color w:val="auto"/>
        </w:rPr>
      </w:pPr>
    </w:p>
    <w:p>
      <w:pPr>
        <w:jc w:val="both"/>
        <w:ind w:left="260" w:firstLine="858"/>
        <w:spacing w:after="0" w:line="249" w:lineRule="auto"/>
        <w:rPr>
          <w:sz w:val="20"/>
          <w:szCs w:val="20"/>
          <w:color w:val="auto"/>
        </w:rPr>
      </w:pPr>
      <w:r>
        <w:rPr>
          <w:rFonts w:ascii="Arial" w:cs="Arial" w:eastAsia="Arial" w:hAnsi="Arial"/>
          <w:sz w:val="24"/>
          <w:szCs w:val="24"/>
          <w:color w:val="auto"/>
        </w:rPr>
        <w:t>Para a variável tipo de instituição (</w:t>
      </w:r>
      <w:r>
        <w:rPr>
          <w:rFonts w:ascii="Arial" w:cs="Arial" w:eastAsia="Arial" w:hAnsi="Arial"/>
          <w:sz w:val="24"/>
          <w:szCs w:val="24"/>
          <w:i w:val="1"/>
          <w:iCs w:val="1"/>
          <w:color w:val="auto"/>
        </w:rPr>
        <w:t>T pIns</w:t>
      </w:r>
      <w:r>
        <w:rPr>
          <w:rFonts w:ascii="Arial" w:cs="Arial" w:eastAsia="Arial" w:hAnsi="Arial"/>
          <w:sz w:val="24"/>
          <w:szCs w:val="24"/>
          <w:color w:val="auto"/>
        </w:rPr>
        <w:t xml:space="preserve">) serão introduzidas variáveis binárias (dummy) referente a taxonomia das instituições bancárias sendo: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11</w:t>
      </w:r>
      <w:r>
        <w:rPr>
          <w:rFonts w:ascii="Arial" w:cs="Arial" w:eastAsia="Arial" w:hAnsi="Arial"/>
          <w:sz w:val="24"/>
          <w:szCs w:val="24"/>
          <w:color w:val="auto"/>
        </w:rPr>
        <w:t xml:space="preserve"> — Banco Co-mercial;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2</w:t>
      </w:r>
      <w:r>
        <w:rPr>
          <w:rFonts w:ascii="Arial" w:cs="Arial" w:eastAsia="Arial" w:hAnsi="Arial"/>
          <w:sz w:val="24"/>
          <w:szCs w:val="24"/>
          <w:color w:val="auto"/>
        </w:rPr>
        <w:t xml:space="preserve"> — Banco de Investimento;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3</w:t>
      </w:r>
      <w:r>
        <w:rPr>
          <w:rFonts w:ascii="Arial" w:cs="Arial" w:eastAsia="Arial" w:hAnsi="Arial"/>
          <w:sz w:val="24"/>
          <w:szCs w:val="24"/>
          <w:color w:val="auto"/>
        </w:rPr>
        <w:t xml:space="preserve"> — Banco de Desenvolvimento;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4</w:t>
      </w:r>
      <w:r>
        <w:rPr>
          <w:rFonts w:ascii="Arial" w:cs="Arial" w:eastAsia="Arial" w:hAnsi="Arial"/>
          <w:sz w:val="24"/>
          <w:szCs w:val="24"/>
          <w:color w:val="auto"/>
        </w:rPr>
        <w:t xml:space="preserve"> — Caixa Econômica e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5</w:t>
      </w:r>
      <w:r>
        <w:rPr>
          <w:rFonts w:ascii="Arial" w:cs="Arial" w:eastAsia="Arial" w:hAnsi="Arial"/>
          <w:sz w:val="24"/>
          <w:szCs w:val="24"/>
          <w:color w:val="auto"/>
        </w:rPr>
        <w:t xml:space="preserve"> — Banco Múltiplo, conforme </w:t>
      </w:r>
      <w:r>
        <w:rPr>
          <w:rFonts w:ascii="Arial" w:cs="Arial" w:eastAsia="Arial" w:hAnsi="Arial"/>
          <w:sz w:val="24"/>
          <w:szCs w:val="24"/>
          <w:b w:val="1"/>
          <w:bCs w:val="1"/>
          <w:color w:val="auto"/>
        </w:rPr>
        <w:t>??</w:t>
      </w:r>
      <w:r>
        <w:rPr>
          <w:rFonts w:ascii="Arial" w:cs="Arial" w:eastAsia="Arial" w:hAnsi="Arial"/>
          <w:sz w:val="24"/>
          <w:szCs w:val="24"/>
          <w:color w:val="auto"/>
        </w:rPr>
        <w:t>.</w:t>
      </w:r>
    </w:p>
    <w:p>
      <w:pPr>
        <w:spacing w:after="0" w:line="345"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1</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1;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1}</w:t>
      </w:r>
    </w:p>
    <w:p>
      <w:pPr>
        <w:spacing w:after="0" w:line="178"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2</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2;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2}</w:t>
      </w:r>
    </w:p>
    <w:p>
      <w:pPr>
        <w:spacing w:after="0" w:line="62"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3</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3;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3}</w:t>
      </w:r>
    </w:p>
    <w:p>
      <w:pPr>
        <w:spacing w:after="0" w:line="62"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4</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4;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4}</w:t>
      </w:r>
    </w:p>
    <w:p>
      <w:pPr>
        <w:spacing w:after="0" w:line="62"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5</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5;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5}</w:t>
      </w:r>
    </w:p>
    <w:p>
      <w:pPr>
        <w:spacing w:after="0" w:line="64" w:lineRule="exact"/>
        <w:rPr>
          <w:sz w:val="20"/>
          <w:szCs w:val="20"/>
          <w:color w:val="auto"/>
        </w:rPr>
      </w:pPr>
    </w:p>
    <w:p>
      <w:pPr>
        <w:ind w:left="260" w:right="40" w:firstLine="850"/>
        <w:spacing w:after="0" w:line="327"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12</w:t>
      </w:r>
      <w:r>
        <w:rPr>
          <w:rFonts w:ascii="Arial" w:cs="Arial" w:eastAsia="Arial" w:hAnsi="Arial"/>
          <w:sz w:val="24"/>
          <w:szCs w:val="24"/>
          <w:color w:val="auto"/>
        </w:rPr>
        <w:t>: O caráter da instituição (</w:t>
      </w:r>
      <w:r>
        <w:rPr>
          <w:rFonts w:ascii="Arial" w:cs="Arial" w:eastAsia="Arial" w:hAnsi="Arial"/>
          <w:sz w:val="24"/>
          <w:szCs w:val="24"/>
          <w:i w:val="1"/>
          <w:iCs w:val="1"/>
          <w:color w:val="auto"/>
        </w:rPr>
        <w:t>CrIns</w:t>
      </w:r>
      <w:r>
        <w:rPr>
          <w:rFonts w:ascii="Arial" w:cs="Arial" w:eastAsia="Arial" w:hAnsi="Arial"/>
          <w:sz w:val="24"/>
          <w:szCs w:val="24"/>
          <w:color w:val="auto"/>
        </w:rPr>
        <w:t>) atua na determinação do nível do spread ex-post (</w:t>
      </w:r>
      <w:r>
        <w:rPr>
          <w:rFonts w:ascii="Arial" w:cs="Arial" w:eastAsia="Arial" w:hAnsi="Arial"/>
          <w:sz w:val="24"/>
          <w:szCs w:val="24"/>
          <w:i w:val="1"/>
          <w:iCs w:val="1"/>
          <w:color w:val="auto"/>
        </w:rPr>
        <w:t>SprEp</w:t>
      </w:r>
      <w:r>
        <w:rPr>
          <w:rFonts w:ascii="Arial" w:cs="Arial" w:eastAsia="Arial" w:hAnsi="Arial"/>
          <w:sz w:val="24"/>
          <w:szCs w:val="24"/>
          <w:color w:val="auto"/>
        </w:rPr>
        <w:t>) e no nível da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52" w:lineRule="exact"/>
        <w:rPr>
          <w:sz w:val="20"/>
          <w:szCs w:val="20"/>
          <w:color w:val="auto"/>
        </w:rPr>
      </w:pPr>
    </w:p>
    <w:p>
      <w:pPr>
        <w:ind w:left="260" w:firstLine="850"/>
        <w:spacing w:after="0" w:line="263" w:lineRule="auto"/>
        <w:rPr>
          <w:sz w:val="20"/>
          <w:szCs w:val="20"/>
          <w:color w:val="auto"/>
        </w:rPr>
      </w:pPr>
      <w:r>
        <w:rPr>
          <w:rFonts w:ascii="Arial" w:cs="Arial" w:eastAsia="Arial" w:hAnsi="Arial"/>
          <w:sz w:val="24"/>
          <w:szCs w:val="24"/>
          <w:color w:val="auto"/>
        </w:rPr>
        <w:t xml:space="preserve">Para o caráter da instituição serão inseridas variáveis binárias (dummy) refe-rentes ao caráter: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6</w:t>
      </w:r>
      <w:r>
        <w:rPr>
          <w:rFonts w:ascii="Arial" w:cs="Arial" w:eastAsia="Arial" w:hAnsi="Arial"/>
          <w:sz w:val="24"/>
          <w:szCs w:val="24"/>
          <w:color w:val="auto"/>
        </w:rPr>
        <w:t xml:space="preserve"> — público ou </w:t>
      </w:r>
      <w:r>
        <w:rPr>
          <w:rFonts w:ascii="Arial" w:cs="Arial" w:eastAsia="Arial" w:hAnsi="Arial"/>
          <w:sz w:val="24"/>
          <w:szCs w:val="24"/>
          <w:i w:val="1"/>
          <w:iCs w:val="1"/>
          <w:color w:val="auto"/>
        </w:rPr>
        <w:t>D</w:t>
      </w:r>
      <w:r>
        <w:rPr>
          <w:rFonts w:ascii="Arial" w:cs="Arial" w:eastAsia="Arial" w:hAnsi="Arial"/>
          <w:sz w:val="31"/>
          <w:szCs w:val="31"/>
          <w:color w:val="auto"/>
          <w:vertAlign w:val="subscript"/>
        </w:rPr>
        <w:t>7</w:t>
      </w:r>
      <w:r>
        <w:rPr>
          <w:rFonts w:ascii="Arial" w:cs="Arial" w:eastAsia="Arial" w:hAnsi="Arial"/>
          <w:sz w:val="24"/>
          <w:szCs w:val="24"/>
          <w:color w:val="auto"/>
        </w:rPr>
        <w:t xml:space="preserve"> privado.</w:t>
      </w:r>
    </w:p>
    <w:p>
      <w:pPr>
        <w:spacing w:after="0" w:line="330"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6</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6;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6}</w:t>
      </w:r>
    </w:p>
    <w:p>
      <w:pPr>
        <w:spacing w:after="0" w:line="178" w:lineRule="exact"/>
        <w:rPr>
          <w:sz w:val="20"/>
          <w:szCs w:val="20"/>
          <w:color w:val="auto"/>
        </w:rPr>
      </w:pPr>
    </w:p>
    <w:p>
      <w:pPr>
        <w:ind w:left="3700"/>
        <w:spacing w:after="0"/>
        <w:rPr>
          <w:sz w:val="20"/>
          <w:szCs w:val="20"/>
          <w:color w:val="auto"/>
        </w:rPr>
      </w:pPr>
      <w:r>
        <w:rPr>
          <w:rFonts w:ascii="Arial" w:cs="Arial" w:eastAsia="Arial" w:hAnsi="Arial"/>
          <w:sz w:val="24"/>
          <w:szCs w:val="24"/>
          <w:i w:val="1"/>
          <w:iCs w:val="1"/>
          <w:color w:val="auto"/>
        </w:rPr>
        <w:t>D</w:t>
      </w:r>
      <w:r>
        <w:rPr>
          <w:rFonts w:ascii="Arial" w:cs="Arial" w:eastAsia="Arial" w:hAnsi="Arial"/>
          <w:sz w:val="31"/>
          <w:szCs w:val="31"/>
          <w:color w:val="auto"/>
          <w:vertAlign w:val="subscript"/>
        </w:rPr>
        <w:t>7</w:t>
      </w:r>
      <w:r>
        <w:rPr>
          <w:rFonts w:ascii="Arial" w:cs="Arial" w:eastAsia="Arial" w:hAnsi="Arial"/>
          <w:sz w:val="24"/>
          <w:szCs w:val="24"/>
          <w:color w:val="auto"/>
        </w:rPr>
        <w:t xml:space="preserve"> = {1</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 6; 0</w:t>
      </w:r>
      <w:r>
        <w:rPr>
          <w:rFonts w:ascii="Arial" w:cs="Arial" w:eastAsia="Arial" w:hAnsi="Arial"/>
          <w:sz w:val="31"/>
          <w:szCs w:val="31"/>
          <w:i w:val="1"/>
          <w:iCs w:val="1"/>
          <w:color w:val="auto"/>
          <w:vertAlign w:val="subscript"/>
        </w:rPr>
        <w:t>i</w:t>
      </w:r>
      <w:r>
        <w:rPr>
          <w:rFonts w:ascii="Arial" w:cs="Arial" w:eastAsia="Arial" w:hAnsi="Arial"/>
          <w:sz w:val="24"/>
          <w:szCs w:val="24"/>
          <w:color w:val="auto"/>
        </w:rPr>
        <w:t xml:space="preserve"> 6= 7}</w:t>
      </w:r>
    </w:p>
    <w:p>
      <w:pPr>
        <w:spacing w:after="0" w:line="64" w:lineRule="exact"/>
        <w:rPr>
          <w:sz w:val="20"/>
          <w:szCs w:val="20"/>
          <w:color w:val="auto"/>
        </w:rPr>
      </w:pPr>
    </w:p>
    <w:p>
      <w:pPr>
        <w:ind w:left="260" w:right="40" w:firstLine="850"/>
        <w:spacing w:after="0" w:line="327"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13</w:t>
      </w:r>
      <w:r>
        <w:rPr>
          <w:rFonts w:ascii="Arial" w:cs="Arial" w:eastAsia="Arial" w:hAnsi="Arial"/>
          <w:sz w:val="24"/>
          <w:szCs w:val="24"/>
          <w:color w:val="auto"/>
        </w:rPr>
        <w:t xml:space="preserve">: A taxa Selic </w:t>
      </w:r>
      <w:r>
        <w:rPr>
          <w:rFonts w:ascii="Arial" w:cs="Arial" w:eastAsia="Arial" w:hAnsi="Arial"/>
          <w:sz w:val="24"/>
          <w:szCs w:val="24"/>
          <w:i w:val="1"/>
          <w:iCs w:val="1"/>
          <w:color w:val="auto"/>
        </w:rPr>
        <w:t>Sel</w:t>
      </w:r>
      <w:r>
        <w:rPr>
          <w:rFonts w:ascii="Arial" w:cs="Arial" w:eastAsia="Arial" w:hAnsi="Arial"/>
          <w:sz w:val="24"/>
          <w:szCs w:val="24"/>
          <w:color w:val="auto"/>
        </w:rPr>
        <w:t xml:space="preserve"> mantém uma relação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indireta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52" w:lineRule="exact"/>
        <w:rPr>
          <w:sz w:val="20"/>
          <w:szCs w:val="20"/>
          <w:color w:val="auto"/>
        </w:rPr>
      </w:pPr>
    </w:p>
    <w:p>
      <w:pPr>
        <w:ind w:left="260" w:right="40" w:firstLine="850"/>
        <w:spacing w:after="0" w:line="379" w:lineRule="auto"/>
        <w:rPr>
          <w:sz w:val="20"/>
          <w:szCs w:val="20"/>
          <w:color w:val="auto"/>
        </w:rPr>
      </w:pPr>
      <w:r>
        <w:rPr>
          <w:rFonts w:ascii="Arial" w:cs="Arial" w:eastAsia="Arial" w:hAnsi="Arial"/>
          <w:sz w:val="22"/>
          <w:szCs w:val="22"/>
          <w:color w:val="auto"/>
        </w:rPr>
        <w:t>Para a variável Selic (</w:t>
      </w:r>
      <w:r>
        <w:rPr>
          <w:rFonts w:ascii="Arial" w:cs="Arial" w:eastAsia="Arial" w:hAnsi="Arial"/>
          <w:sz w:val="22"/>
          <w:szCs w:val="22"/>
          <w:i w:val="1"/>
          <w:iCs w:val="1"/>
          <w:color w:val="auto"/>
        </w:rPr>
        <w:t>Sel</w:t>
      </w:r>
      <w:r>
        <w:rPr>
          <w:rFonts w:ascii="Arial" w:cs="Arial" w:eastAsia="Arial" w:hAnsi="Arial"/>
          <w:sz w:val="22"/>
          <w:szCs w:val="22"/>
          <w:color w:val="auto"/>
        </w:rPr>
        <w:t>) no modelo será considerada a taxa média por período das operações diárias anualizadas (</w:t>
      </w:r>
      <w:r>
        <w:rPr>
          <w:rFonts w:ascii="Arial" w:cs="Arial" w:eastAsia="Arial" w:hAnsi="Arial"/>
          <w:sz w:val="22"/>
          <w:szCs w:val="22"/>
          <w:i w:val="1"/>
          <w:iCs w:val="1"/>
          <w:color w:val="auto"/>
        </w:rPr>
        <w:t>SelDrAn</w:t>
      </w:r>
      <w:r>
        <w:rPr>
          <w:rFonts w:ascii="Arial" w:cs="Arial" w:eastAsia="Arial" w:hAnsi="Arial"/>
          <w:sz w:val="22"/>
          <w:szCs w:val="22"/>
          <w:color w:val="auto"/>
        </w:rPr>
        <w:t>) das operações no Sistema Especial de</w:t>
      </w:r>
    </w:p>
    <w:p>
      <w:pPr>
        <w:sectPr>
          <w:pgSz w:w="11900" w:h="16838" w:orient="portrait"/>
          <w:cols w:equalWidth="0" w:num="1">
            <w:col w:w="9360"/>
          </w:cols>
          <w:pgMar w:left="1440" w:top="991" w:right="1106" w:bottom="251" w:gutter="0" w:footer="0" w:header="0"/>
        </w:sectPr>
      </w:pPr>
    </w:p>
    <w:p>
      <w:pPr>
        <w:ind w:left="9060"/>
        <w:spacing w:after="0"/>
        <w:rPr>
          <w:sz w:val="20"/>
          <w:szCs w:val="20"/>
          <w:color w:val="auto"/>
        </w:rPr>
      </w:pPr>
      <w:r>
        <w:rPr>
          <w:rFonts w:ascii="Arial" w:cs="Arial" w:eastAsia="Arial" w:hAnsi="Arial"/>
          <w:sz w:val="24"/>
          <w:szCs w:val="24"/>
          <w:color w:val="auto"/>
        </w:rPr>
        <w:t>46</w:t>
      </w:r>
    </w:p>
    <w:p>
      <w:pPr>
        <w:spacing w:after="0" w:line="200" w:lineRule="exact"/>
        <w:rPr>
          <w:sz w:val="20"/>
          <w:szCs w:val="20"/>
          <w:color w:val="auto"/>
        </w:rPr>
      </w:pPr>
    </w:p>
    <w:p>
      <w:pPr>
        <w:spacing w:after="0" w:line="203" w:lineRule="exact"/>
        <w:rPr>
          <w:sz w:val="20"/>
          <w:szCs w:val="20"/>
          <w:color w:val="auto"/>
        </w:rPr>
      </w:pPr>
    </w:p>
    <w:p>
      <w:pPr>
        <w:jc w:val="both"/>
        <w:ind w:left="260" w:right="40"/>
        <w:spacing w:after="0" w:line="364" w:lineRule="auto"/>
        <w:rPr>
          <w:sz w:val="20"/>
          <w:szCs w:val="20"/>
          <w:color w:val="auto"/>
        </w:rPr>
      </w:pPr>
      <w:r>
        <w:rPr>
          <w:rFonts w:ascii="Arial" w:cs="Arial" w:eastAsia="Arial" w:hAnsi="Arial"/>
          <w:sz w:val="24"/>
          <w:szCs w:val="24"/>
          <w:color w:val="auto"/>
        </w:rPr>
        <w:t xml:space="preserve">Liquidação e Custódia, defasada em 1 período. Será utilizada a série </w:t>
      </w:r>
      <w:r>
        <w:rPr>
          <w:rFonts w:ascii="Arial" w:cs="Arial" w:eastAsia="Arial" w:hAnsi="Arial"/>
          <w:sz w:val="24"/>
          <w:szCs w:val="24"/>
          <w:i w:val="1"/>
          <w:iCs w:val="1"/>
          <w:color w:val="auto"/>
        </w:rPr>
        <w:t>SGS</w:t>
      </w:r>
      <w:r>
        <w:rPr>
          <w:rFonts w:ascii="Arial" w:cs="Arial" w:eastAsia="Arial" w:hAnsi="Arial"/>
          <w:sz w:val="24"/>
          <w:szCs w:val="24"/>
          <w:color w:val="auto"/>
        </w:rPr>
        <w:t xml:space="preserve"> −1178 obtida no portal de dados abertos do Banco Central.</w:t>
      </w:r>
    </w:p>
    <w:p>
      <w:pPr>
        <w:ind w:left="4480"/>
        <w:spacing w:after="0" w:line="198" w:lineRule="auto"/>
        <w:rPr>
          <w:sz w:val="20"/>
          <w:szCs w:val="20"/>
          <w:color w:val="auto"/>
        </w:rPr>
      </w:pPr>
      <w:r>
        <w:rPr>
          <w:rFonts w:ascii="Arial" w:cs="Arial" w:eastAsia="Arial" w:hAnsi="Arial"/>
          <w:sz w:val="48"/>
          <w:szCs w:val="48"/>
          <w:color w:val="auto"/>
          <w:vertAlign w:val="subscript"/>
        </w:rPr>
        <w:t>1</w:t>
      </w:r>
      <w:r>
        <w:rPr>
          <w:rFonts w:ascii="Arial" w:cs="Arial" w:eastAsia="Arial" w:hAnsi="Arial"/>
          <w:sz w:val="15"/>
          <w:szCs w:val="15"/>
          <w:color w:val="auto"/>
          <w:vertAlign w:val="subscript"/>
        </w:rPr>
        <w:t xml:space="preserve"> </w:t>
      </w:r>
      <w:r>
        <w:rPr>
          <w:rFonts w:ascii="Arial" w:cs="Arial" w:eastAsia="Arial" w:hAnsi="Arial"/>
          <w:sz w:val="15"/>
          <w:szCs w:val="15"/>
          <w:i w:val="1"/>
          <w:iCs w:val="1"/>
          <w:color w:val="auto"/>
        </w:rPr>
        <w:t>n</w:t>
      </w:r>
      <w:r>
        <w:rPr>
          <w:rFonts w:ascii="Arial" w:cs="Arial" w:eastAsia="Arial" w:hAnsi="Arial"/>
          <w:sz w:val="15"/>
          <w:szCs w:val="15"/>
          <w:color w:val="auto"/>
        </w:rPr>
        <w:t>−1</w:t>
      </w:r>
    </w:p>
    <w:p>
      <w:pPr>
        <w:jc w:val="center"/>
        <w:ind w:right="-379"/>
        <w:spacing w:after="0" w:line="211" w:lineRule="auto"/>
        <w:rPr>
          <w:sz w:val="20"/>
          <w:szCs w:val="20"/>
          <w:color w:val="auto"/>
        </w:rPr>
      </w:pPr>
      <w:r>
        <w:rPr>
          <w:rFonts w:ascii="Arial" w:cs="Arial" w:eastAsia="Arial" w:hAnsi="Arial"/>
          <w:sz w:val="4"/>
          <w:szCs w:val="4"/>
          <w:color w:val="auto"/>
        </w:rPr>
        <w:t>X</w:t>
      </w:r>
    </w:p>
    <w:p>
      <w:pPr>
        <w:jc w:val="center"/>
        <w:ind w:right="-239"/>
        <w:spacing w:after="0"/>
        <w:rPr>
          <w:sz w:val="20"/>
          <w:szCs w:val="20"/>
          <w:color w:val="auto"/>
        </w:rPr>
      </w:pPr>
      <w:r>
        <w:rPr>
          <w:rFonts w:ascii="Arial" w:cs="Arial" w:eastAsia="Arial" w:hAnsi="Arial"/>
          <w:sz w:val="48"/>
          <w:szCs w:val="48"/>
          <w:i w:val="1"/>
          <w:iCs w:val="1"/>
          <w:color w:val="auto"/>
          <w:vertAlign w:val="superscript"/>
        </w:rPr>
        <w:t>Sel</w:t>
      </w:r>
      <w:r>
        <w:rPr>
          <w:rFonts w:ascii="Arial" w:cs="Arial" w:eastAsia="Arial" w:hAnsi="Arial"/>
          <w:sz w:val="15"/>
          <w:szCs w:val="15"/>
          <w:i w:val="1"/>
          <w:iCs w:val="1"/>
          <w:color w:val="auto"/>
        </w:rPr>
        <w:t>t</w:t>
      </w:r>
      <w:r>
        <w:rPr>
          <w:rFonts w:ascii="Arial" w:cs="Arial" w:eastAsia="Arial" w:hAnsi="Arial"/>
          <w:sz w:val="15"/>
          <w:szCs w:val="15"/>
          <w:color w:val="auto"/>
        </w:rPr>
        <w:t>−1</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bscript"/>
        </w:rPr>
        <w:t>n</w:t>
      </w:r>
      <w:r>
        <w:rPr>
          <w:rFonts w:ascii="Arial" w:cs="Arial" w:eastAsia="Arial" w:hAnsi="Arial"/>
          <w:sz w:val="31"/>
          <w:szCs w:val="31"/>
          <w:i w:val="1"/>
          <w:iCs w:val="1"/>
          <w:color w:val="auto"/>
        </w:rPr>
        <w:t xml:space="preserve"> </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SelDrAn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2833370</wp:posOffset>
                </wp:positionH>
                <wp:positionV relativeFrom="paragraph">
                  <wp:posOffset>-281940</wp:posOffset>
                </wp:positionV>
                <wp:extent cx="88265" cy="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82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3.1pt,-22.1999pt" to="230.05pt,-22.1999pt" o:allowincell="f" strokecolor="#000000" strokeweight="0.398pt"/>
            </w:pict>
          </mc:Fallback>
        </mc:AlternateContent>
      </w:r>
    </w:p>
    <w:p>
      <w:pPr>
        <w:spacing w:after="0" w:line="57" w:lineRule="exact"/>
        <w:rPr>
          <w:sz w:val="20"/>
          <w:szCs w:val="20"/>
          <w:color w:val="auto"/>
        </w:rPr>
      </w:pPr>
    </w:p>
    <w:p>
      <w:pPr>
        <w:jc w:val="both"/>
        <w:ind w:left="260" w:right="40" w:firstLine="856"/>
        <w:spacing w:after="0" w:line="317" w:lineRule="auto"/>
        <w:rPr>
          <w:sz w:val="20"/>
          <w:szCs w:val="20"/>
          <w:color w:val="auto"/>
        </w:rPr>
      </w:pPr>
      <w:r>
        <w:rPr>
          <w:rFonts w:ascii="Arial" w:cs="Arial" w:eastAsia="Arial" w:hAnsi="Arial"/>
          <w:sz w:val="24"/>
          <w:szCs w:val="24"/>
          <w:color w:val="auto"/>
        </w:rPr>
        <w:t>Se espera que a taxa selic exerça influência simultaneamente no custo de captação e aplicação porém com maior efeito sobre a aplicação afetando de forma direta o spread. E afeta a rentabilidade de forma inversa, uma vez que influencia o volume das operações.</w:t>
      </w:r>
    </w:p>
    <w:p>
      <w:pPr>
        <w:spacing w:after="0" w:line="8" w:lineRule="exact"/>
        <w:rPr>
          <w:sz w:val="20"/>
          <w:szCs w:val="20"/>
          <w:color w:val="auto"/>
        </w:rPr>
      </w:pPr>
    </w:p>
    <w:p>
      <w:pPr>
        <w:jc w:val="both"/>
        <w:ind w:left="260" w:right="20" w:firstLine="850"/>
        <w:spacing w:after="0" w:line="327"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14</w:t>
      </w:r>
      <w:r>
        <w:rPr>
          <w:rFonts w:ascii="Arial" w:cs="Arial" w:eastAsia="Arial" w:hAnsi="Arial"/>
          <w:sz w:val="24"/>
          <w:szCs w:val="24"/>
          <w:color w:val="auto"/>
        </w:rPr>
        <w:t>: A taxa de inflação (</w:t>
      </w:r>
      <w:r>
        <w:rPr>
          <w:rFonts w:ascii="Arial" w:cs="Arial" w:eastAsia="Arial" w:hAnsi="Arial"/>
          <w:sz w:val="24"/>
          <w:szCs w:val="24"/>
          <w:i w:val="1"/>
          <w:iCs w:val="1"/>
          <w:color w:val="auto"/>
        </w:rPr>
        <w:t>Ipca</w:t>
      </w:r>
      <w:r>
        <w:rPr>
          <w:rFonts w:ascii="Arial" w:cs="Arial" w:eastAsia="Arial" w:hAnsi="Arial"/>
          <w:sz w:val="24"/>
          <w:szCs w:val="24"/>
          <w:color w:val="auto"/>
        </w:rPr>
        <w:t>) atua de forma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inversa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 real.</w:t>
      </w:r>
    </w:p>
    <w:p>
      <w:pPr>
        <w:spacing w:after="0" w:line="48" w:lineRule="exact"/>
        <w:rPr>
          <w:sz w:val="20"/>
          <w:szCs w:val="20"/>
          <w:color w:val="auto"/>
        </w:rPr>
      </w:pPr>
    </w:p>
    <w:p>
      <w:pPr>
        <w:jc w:val="both"/>
        <w:ind w:left="260" w:right="40" w:firstLine="858"/>
        <w:spacing w:after="0" w:line="319" w:lineRule="auto"/>
        <w:rPr>
          <w:sz w:val="20"/>
          <w:szCs w:val="20"/>
          <w:color w:val="auto"/>
        </w:rPr>
      </w:pPr>
      <w:r>
        <w:rPr>
          <w:rFonts w:ascii="Arial" w:cs="Arial" w:eastAsia="Arial" w:hAnsi="Arial"/>
          <w:sz w:val="24"/>
          <w:szCs w:val="24"/>
          <w:color w:val="auto"/>
        </w:rPr>
        <w:t>Para o Índice de Preços ao Consumidor Amplo (</w:t>
      </w:r>
      <w:r>
        <w:rPr>
          <w:rFonts w:ascii="Arial" w:cs="Arial" w:eastAsia="Arial" w:hAnsi="Arial"/>
          <w:sz w:val="24"/>
          <w:szCs w:val="24"/>
          <w:i w:val="1"/>
          <w:iCs w:val="1"/>
          <w:color w:val="auto"/>
        </w:rPr>
        <w:t>IP CA</w:t>
      </w:r>
      <w:r>
        <w:rPr>
          <w:rFonts w:ascii="Arial" w:cs="Arial" w:eastAsia="Arial" w:hAnsi="Arial"/>
          <w:sz w:val="24"/>
          <w:szCs w:val="24"/>
          <w:color w:val="auto"/>
        </w:rPr>
        <w:t>) será utilizada série (</w:t>
      </w:r>
      <w:r>
        <w:rPr>
          <w:rFonts w:ascii="Arial" w:cs="Arial" w:eastAsia="Arial" w:hAnsi="Arial"/>
          <w:sz w:val="24"/>
          <w:szCs w:val="24"/>
          <w:i w:val="1"/>
          <w:iCs w:val="1"/>
          <w:color w:val="auto"/>
        </w:rPr>
        <w:t>sgs</w:t>
      </w:r>
      <w:r>
        <w:rPr>
          <w:rFonts w:ascii="Arial" w:cs="Arial" w:eastAsia="Arial" w:hAnsi="Arial"/>
          <w:sz w:val="24"/>
          <w:szCs w:val="24"/>
          <w:color w:val="auto"/>
        </w:rPr>
        <w:t xml:space="preserve"> − 4447), obtida no portal de dados abertos do Banco Central, ajustada para o período amostral e defasada em 1 período.</w:t>
      </w:r>
    </w:p>
    <w:p>
      <w:pPr>
        <w:ind w:left="4600"/>
        <w:spacing w:after="0" w:line="220" w:lineRule="auto"/>
        <w:rPr>
          <w:sz w:val="20"/>
          <w:szCs w:val="20"/>
          <w:color w:val="auto"/>
        </w:rPr>
      </w:pPr>
      <w:r>
        <w:rPr>
          <w:rFonts w:ascii="Arial" w:cs="Arial" w:eastAsia="Arial" w:hAnsi="Arial"/>
          <w:sz w:val="48"/>
          <w:szCs w:val="48"/>
          <w:color w:val="auto"/>
          <w:vertAlign w:val="subscript"/>
        </w:rPr>
        <w:t>1</w:t>
      </w:r>
      <w:r>
        <w:rPr>
          <w:rFonts w:ascii="Arial" w:cs="Arial" w:eastAsia="Arial" w:hAnsi="Arial"/>
          <w:sz w:val="15"/>
          <w:szCs w:val="15"/>
          <w:color w:val="auto"/>
          <w:vertAlign w:val="subscript"/>
        </w:rPr>
        <w:t xml:space="preserve"> </w:t>
      </w:r>
      <w:r>
        <w:rPr>
          <w:rFonts w:ascii="Arial" w:cs="Arial" w:eastAsia="Arial" w:hAnsi="Arial"/>
          <w:sz w:val="15"/>
          <w:szCs w:val="15"/>
          <w:i w:val="1"/>
          <w:iCs w:val="1"/>
          <w:color w:val="auto"/>
        </w:rPr>
        <w:t>n</w:t>
      </w:r>
      <w:r>
        <w:rPr>
          <w:rFonts w:ascii="Arial" w:cs="Arial" w:eastAsia="Arial" w:hAnsi="Arial"/>
          <w:sz w:val="15"/>
          <w:szCs w:val="15"/>
          <w:color w:val="auto"/>
        </w:rPr>
        <w:t>−1</w:t>
      </w:r>
    </w:p>
    <w:p>
      <w:pPr>
        <w:ind w:left="4860"/>
        <w:spacing w:after="0" w:line="220" w:lineRule="auto"/>
        <w:rPr>
          <w:sz w:val="20"/>
          <w:szCs w:val="20"/>
          <w:color w:val="auto"/>
        </w:rPr>
      </w:pPr>
      <w:r>
        <w:rPr>
          <w:rFonts w:ascii="Arial" w:cs="Arial" w:eastAsia="Arial" w:hAnsi="Arial"/>
          <w:sz w:val="4"/>
          <w:szCs w:val="4"/>
          <w:color w:val="auto"/>
        </w:rPr>
        <w:t>X</w:t>
      </w:r>
    </w:p>
    <w:p>
      <w:pPr>
        <w:jc w:val="center"/>
        <w:ind w:right="-239"/>
        <w:spacing w:after="0"/>
        <w:rPr>
          <w:sz w:val="20"/>
          <w:szCs w:val="20"/>
          <w:color w:val="auto"/>
        </w:rPr>
      </w:pPr>
      <w:r>
        <w:rPr>
          <w:rFonts w:ascii="Arial" w:cs="Arial" w:eastAsia="Arial" w:hAnsi="Arial"/>
          <w:sz w:val="48"/>
          <w:szCs w:val="48"/>
          <w:i w:val="1"/>
          <w:iCs w:val="1"/>
          <w:color w:val="auto"/>
          <w:vertAlign w:val="superscript"/>
        </w:rPr>
        <w:t>Ipca</w:t>
      </w:r>
      <w:r>
        <w:rPr>
          <w:rFonts w:ascii="Arial" w:cs="Arial" w:eastAsia="Arial" w:hAnsi="Arial"/>
          <w:sz w:val="15"/>
          <w:szCs w:val="15"/>
          <w:i w:val="1"/>
          <w:iCs w:val="1"/>
          <w:color w:val="auto"/>
        </w:rPr>
        <w:t>t</w:t>
      </w:r>
      <w:r>
        <w:rPr>
          <w:rFonts w:ascii="Arial" w:cs="Arial" w:eastAsia="Arial" w:hAnsi="Arial"/>
          <w:sz w:val="15"/>
          <w:szCs w:val="15"/>
          <w:color w:val="auto"/>
        </w:rPr>
        <w:t>−1</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bscript"/>
        </w:rPr>
        <w:t>n</w:t>
      </w:r>
      <w:r>
        <w:rPr>
          <w:rFonts w:ascii="Arial" w:cs="Arial" w:eastAsia="Arial" w:hAnsi="Arial"/>
          <w:sz w:val="31"/>
          <w:szCs w:val="31"/>
          <w:i w:val="1"/>
          <w:iCs w:val="1"/>
          <w:color w:val="auto"/>
        </w:rPr>
        <w:t xml:space="preserve"> </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IpcaM 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2919730</wp:posOffset>
                </wp:positionH>
                <wp:positionV relativeFrom="paragraph">
                  <wp:posOffset>-281940</wp:posOffset>
                </wp:positionV>
                <wp:extent cx="88265" cy="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82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9.9pt,-22.1999pt" to="236.85pt,-22.1999pt" o:allowincell="f" strokecolor="#000000" strokeweight="0.398pt"/>
            </w:pict>
          </mc:Fallback>
        </mc:AlternateContent>
      </w:r>
    </w:p>
    <w:p>
      <w:pPr>
        <w:spacing w:after="0" w:line="57" w:lineRule="exact"/>
        <w:rPr>
          <w:sz w:val="20"/>
          <w:szCs w:val="20"/>
          <w:color w:val="auto"/>
        </w:rPr>
      </w:pPr>
    </w:p>
    <w:p>
      <w:pPr>
        <w:jc w:val="both"/>
        <w:ind w:left="260" w:right="40" w:firstLine="850"/>
        <w:spacing w:after="0" w:line="319" w:lineRule="auto"/>
        <w:rPr>
          <w:sz w:val="20"/>
          <w:szCs w:val="20"/>
          <w:color w:val="auto"/>
        </w:rPr>
      </w:pPr>
      <w:r>
        <w:rPr>
          <w:rFonts w:ascii="Arial" w:cs="Arial" w:eastAsia="Arial" w:hAnsi="Arial"/>
          <w:sz w:val="24"/>
          <w:szCs w:val="24"/>
          <w:color w:val="auto"/>
        </w:rPr>
        <w:t>Para o efeito das variações do IPCA sobre o spread espera-se atue de forma direta, dependendo das sensibilidades de tomadores e investidores e da instituição a esta variável e de forma indireta com a rentabilidade.</w:t>
      </w:r>
    </w:p>
    <w:p>
      <w:pPr>
        <w:spacing w:after="0" w:line="7" w:lineRule="exact"/>
        <w:rPr>
          <w:sz w:val="20"/>
          <w:szCs w:val="20"/>
          <w:color w:val="auto"/>
        </w:rPr>
      </w:pPr>
    </w:p>
    <w:p>
      <w:pPr>
        <w:jc w:val="both"/>
        <w:ind w:left="260" w:right="40" w:firstLine="858"/>
        <w:spacing w:after="0" w:line="327"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15</w:t>
      </w:r>
      <w:r>
        <w:rPr>
          <w:rFonts w:ascii="Arial" w:cs="Arial" w:eastAsia="Arial" w:hAnsi="Arial"/>
          <w:sz w:val="24"/>
          <w:szCs w:val="24"/>
          <w:color w:val="auto"/>
        </w:rPr>
        <w:t>: A taxa de compulsório (</w:t>
      </w:r>
      <w:r>
        <w:rPr>
          <w:rFonts w:ascii="Arial" w:cs="Arial" w:eastAsia="Arial" w:hAnsi="Arial"/>
          <w:sz w:val="24"/>
          <w:szCs w:val="24"/>
          <w:i w:val="1"/>
          <w:iCs w:val="1"/>
          <w:color w:val="auto"/>
        </w:rPr>
        <w:t>Com</w:t>
      </w:r>
      <w:r>
        <w:rPr>
          <w:rFonts w:ascii="Arial" w:cs="Arial" w:eastAsia="Arial" w:hAnsi="Arial"/>
          <w:sz w:val="24"/>
          <w:szCs w:val="24"/>
          <w:color w:val="auto"/>
        </w:rPr>
        <w:t>) atua de forma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inversa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48" w:lineRule="exact"/>
        <w:rPr>
          <w:sz w:val="20"/>
          <w:szCs w:val="20"/>
          <w:color w:val="auto"/>
        </w:rPr>
      </w:pPr>
    </w:p>
    <w:p>
      <w:pPr>
        <w:jc w:val="both"/>
        <w:ind w:left="260" w:right="40" w:firstLine="857"/>
        <w:spacing w:after="0" w:line="317" w:lineRule="auto"/>
        <w:rPr>
          <w:sz w:val="20"/>
          <w:szCs w:val="20"/>
          <w:color w:val="auto"/>
        </w:rPr>
      </w:pPr>
      <w:r>
        <w:rPr>
          <w:rFonts w:ascii="Arial" w:cs="Arial" w:eastAsia="Arial" w:hAnsi="Arial"/>
          <w:sz w:val="24"/>
          <w:szCs w:val="24"/>
          <w:color w:val="auto"/>
        </w:rPr>
        <w:t>Para o compulsório será utilizada uma média dos volumes de recolhimento compulsório de recursos à vista (</w:t>
      </w:r>
      <w:r>
        <w:rPr>
          <w:rFonts w:ascii="Arial" w:cs="Arial" w:eastAsia="Arial" w:hAnsi="Arial"/>
          <w:sz w:val="24"/>
          <w:szCs w:val="24"/>
          <w:i w:val="1"/>
          <w:iCs w:val="1"/>
          <w:color w:val="auto"/>
        </w:rPr>
        <w:t>S</w:t>
      </w:r>
      <w:r>
        <w:rPr>
          <w:rFonts w:ascii="Arial" w:cs="Arial" w:eastAsia="Arial" w:hAnsi="Arial"/>
          <w:sz w:val="24"/>
          <w:szCs w:val="24"/>
          <w:color w:val="auto"/>
        </w:rPr>
        <w:t>é</w:t>
      </w:r>
      <w:r>
        <w:rPr>
          <w:rFonts w:ascii="Arial" w:cs="Arial" w:eastAsia="Arial" w:hAnsi="Arial"/>
          <w:sz w:val="24"/>
          <w:szCs w:val="24"/>
          <w:i w:val="1"/>
          <w:iCs w:val="1"/>
          <w:color w:val="auto"/>
        </w:rPr>
        <w:t>rie</w:t>
      </w:r>
      <w:r>
        <w:rPr>
          <w:rFonts w:ascii="Arial" w:cs="Arial" w:eastAsia="Arial" w:hAnsi="Arial"/>
          <w:sz w:val="24"/>
          <w:szCs w:val="24"/>
          <w:color w:val="auto"/>
        </w:rPr>
        <w:t>1850) e recursos à prazo (</w:t>
      </w:r>
      <w:r>
        <w:rPr>
          <w:rFonts w:ascii="Arial" w:cs="Arial" w:eastAsia="Arial" w:hAnsi="Arial"/>
          <w:sz w:val="24"/>
          <w:szCs w:val="24"/>
          <w:i w:val="1"/>
          <w:iCs w:val="1"/>
          <w:color w:val="auto"/>
        </w:rPr>
        <w:t>s</w:t>
      </w:r>
      <w:r>
        <w:rPr>
          <w:rFonts w:ascii="Arial" w:cs="Arial" w:eastAsia="Arial" w:hAnsi="Arial"/>
          <w:sz w:val="24"/>
          <w:szCs w:val="24"/>
          <w:color w:val="auto"/>
        </w:rPr>
        <w:t>é</w:t>
      </w:r>
      <w:r>
        <w:rPr>
          <w:rFonts w:ascii="Arial" w:cs="Arial" w:eastAsia="Arial" w:hAnsi="Arial"/>
          <w:sz w:val="24"/>
          <w:szCs w:val="24"/>
          <w:i w:val="1"/>
          <w:iCs w:val="1"/>
          <w:color w:val="auto"/>
        </w:rPr>
        <w:t>rie</w:t>
      </w:r>
      <w:r>
        <w:rPr>
          <w:rFonts w:ascii="Arial" w:cs="Arial" w:eastAsia="Arial" w:hAnsi="Arial"/>
          <w:sz w:val="24"/>
          <w:szCs w:val="24"/>
          <w:color w:val="auto"/>
        </w:rPr>
        <w:t>1850) ponderados pelo total de captações à vista (Contas 41100000 ) e total de captações à prazo (Contas 41100002).</w:t>
      </w:r>
    </w:p>
    <w:p>
      <w:pPr>
        <w:spacing w:after="0" w:line="231" w:lineRule="exact"/>
        <w:rPr>
          <w:sz w:val="20"/>
          <w:szCs w:val="20"/>
          <w:color w:val="auto"/>
        </w:rPr>
      </w:pPr>
    </w:p>
    <w:p>
      <w:pPr>
        <w:ind w:left="4300"/>
        <w:spacing w:after="0"/>
        <w:rPr>
          <w:sz w:val="20"/>
          <w:szCs w:val="20"/>
          <w:color w:val="auto"/>
        </w:rPr>
      </w:pPr>
      <w:r>
        <w:rPr>
          <w:rFonts w:ascii="Arial" w:cs="Arial" w:eastAsia="Arial" w:hAnsi="Arial"/>
          <w:sz w:val="24"/>
          <w:szCs w:val="24"/>
          <w:i w:val="1"/>
          <w:iCs w:val="1"/>
          <w:color w:val="auto"/>
        </w:rPr>
        <w:t>RcDAv</w:t>
      </w:r>
      <w:r>
        <w:rPr>
          <w:rFonts w:ascii="Arial" w:cs="Arial" w:eastAsia="Arial" w:hAnsi="Arial"/>
          <w:sz w:val="15"/>
          <w:szCs w:val="15"/>
          <w:i w:val="1"/>
          <w:iCs w:val="1"/>
          <w:color w:val="auto"/>
        </w:rPr>
        <w:t>t</w:t>
      </w:r>
      <w:r>
        <w:rPr>
          <w:rFonts w:ascii="Arial" w:cs="Arial" w:eastAsia="Arial" w:hAnsi="Arial"/>
          <w:sz w:val="24"/>
          <w:szCs w:val="24"/>
          <w:color w:val="auto"/>
        </w:rPr>
        <w:t xml:space="preserve"> + </w:t>
      </w:r>
      <w:r>
        <w:rPr>
          <w:rFonts w:ascii="Arial" w:cs="Arial" w:eastAsia="Arial" w:hAnsi="Arial"/>
          <w:sz w:val="24"/>
          <w:szCs w:val="24"/>
          <w:i w:val="1"/>
          <w:iCs w:val="1"/>
          <w:color w:val="auto"/>
        </w:rPr>
        <w:t>RcDAp</w:t>
      </w:r>
      <w:r>
        <w:rPr>
          <w:rFonts w:ascii="Arial" w:cs="Arial" w:eastAsia="Arial" w:hAnsi="Arial"/>
          <w:sz w:val="15"/>
          <w:szCs w:val="15"/>
          <w:i w:val="1"/>
          <w:iCs w:val="1"/>
          <w:color w:val="auto"/>
        </w:rPr>
        <w:t>t</w:t>
      </w:r>
    </w:p>
    <w:p>
      <w:pPr>
        <w:ind w:left="2960"/>
        <w:spacing w:after="0"/>
        <w:rPr>
          <w:sz w:val="20"/>
          <w:szCs w:val="20"/>
          <w:color w:val="auto"/>
        </w:rPr>
      </w:pPr>
      <w:r>
        <w:rPr>
          <w:rFonts w:ascii="Arial" w:cs="Arial" w:eastAsia="Arial" w:hAnsi="Arial"/>
          <w:sz w:val="48"/>
          <w:szCs w:val="48"/>
          <w:i w:val="1"/>
          <w:iCs w:val="1"/>
          <w:color w:val="auto"/>
          <w:vertAlign w:val="superscript"/>
        </w:rPr>
        <w:t>Comp</w:t>
      </w:r>
      <w:r>
        <w:rPr>
          <w:rFonts w:ascii="Arial" w:cs="Arial" w:eastAsia="Arial" w:hAnsi="Arial"/>
          <w:sz w:val="31"/>
          <w:szCs w:val="31"/>
          <w:i w:val="1"/>
          <w:iCs w:val="1"/>
          <w:color w:val="auto"/>
          <w:vertAlign w:val="superscript"/>
        </w:rPr>
        <w:t>t</w:t>
      </w:r>
      <w:r>
        <w:rPr>
          <w:rFonts w:ascii="Arial" w:cs="Arial" w:eastAsia="Arial" w:hAnsi="Arial"/>
          <w:sz w:val="47"/>
          <w:szCs w:val="47"/>
          <w:color w:val="auto"/>
          <w:vertAlign w:val="superscript"/>
        </w:rPr>
        <w:t xml:space="preserve"> =</w:t>
      </w:r>
      <w:r>
        <w:rPr>
          <w:rFonts w:ascii="Arial" w:cs="Arial" w:eastAsia="Arial" w:hAnsi="Arial"/>
          <w:sz w:val="39"/>
          <w:szCs w:val="39"/>
          <w:color w:val="auto"/>
          <w:vertAlign w:val="superscript"/>
        </w:rPr>
        <w:t xml:space="preserve"> P</w:t>
      </w:r>
      <w:r>
        <w:rPr>
          <w:rFonts w:ascii="Arial" w:cs="Arial" w:eastAsia="Arial" w:hAnsi="Arial"/>
          <w:sz w:val="31"/>
          <w:szCs w:val="31"/>
          <w:i w:val="1"/>
          <w:iCs w:val="1"/>
          <w:color w:val="auto"/>
          <w:vertAlign w:val="superscript"/>
        </w:rPr>
        <w:t>n</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23"/>
          <w:szCs w:val="23"/>
          <w:color w:val="auto"/>
        </w:rPr>
        <w:t xml:space="preserve"> </w:t>
      </w:r>
      <w:r>
        <w:rPr>
          <w:rFonts w:ascii="Arial" w:cs="Arial" w:eastAsia="Arial" w:hAnsi="Arial"/>
          <w:sz w:val="23"/>
          <w:szCs w:val="23"/>
          <w:i w:val="1"/>
          <w:iCs w:val="1"/>
          <w:color w:val="auto"/>
        </w:rPr>
        <w:t>DAv</w:t>
      </w:r>
      <w:r>
        <w:rPr>
          <w:rFonts w:ascii="Arial" w:cs="Arial" w:eastAsia="Arial" w:hAnsi="Arial"/>
          <w:sz w:val="31"/>
          <w:szCs w:val="31"/>
          <w:i w:val="1"/>
          <w:iCs w:val="1"/>
          <w:color w:val="auto"/>
          <w:vertAlign w:val="subscript"/>
        </w:rPr>
        <w:t>it</w:t>
      </w:r>
      <w:r>
        <w:rPr>
          <w:rFonts w:ascii="Arial" w:cs="Arial" w:eastAsia="Arial" w:hAnsi="Arial"/>
          <w:sz w:val="23"/>
          <w:szCs w:val="23"/>
          <w:color w:val="auto"/>
        </w:rPr>
        <w:t xml:space="preserve"> +</w:t>
      </w:r>
      <w:r>
        <w:rPr>
          <w:rFonts w:ascii="Arial" w:cs="Arial" w:eastAsia="Arial" w:hAnsi="Arial"/>
          <w:sz w:val="39"/>
          <w:szCs w:val="39"/>
          <w:color w:val="auto"/>
        </w:rPr>
        <w:t xml:space="preserve"> </w:t>
      </w:r>
      <w:r>
        <w:rPr>
          <w:rFonts w:ascii="Arial" w:cs="Arial" w:eastAsia="Arial" w:hAnsi="Arial"/>
          <w:sz w:val="39"/>
          <w:szCs w:val="39"/>
          <w:color w:val="auto"/>
          <w:vertAlign w:val="superscript"/>
        </w:rPr>
        <w:t>P</w:t>
      </w:r>
      <w:r>
        <w:rPr>
          <w:rFonts w:ascii="Arial" w:cs="Arial" w:eastAsia="Arial" w:hAnsi="Arial"/>
          <w:sz w:val="31"/>
          <w:szCs w:val="31"/>
          <w:i w:val="1"/>
          <w:iCs w:val="1"/>
          <w:color w:val="auto"/>
          <w:vertAlign w:val="superscript"/>
        </w:rPr>
        <w:t>n</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r>
        <w:rPr>
          <w:rFonts w:ascii="Arial" w:cs="Arial" w:eastAsia="Arial" w:hAnsi="Arial"/>
          <w:sz w:val="23"/>
          <w:szCs w:val="23"/>
          <w:color w:val="auto"/>
        </w:rPr>
        <w:t xml:space="preserve"> </w:t>
      </w:r>
      <w:r>
        <w:rPr>
          <w:rFonts w:ascii="Arial" w:cs="Arial" w:eastAsia="Arial" w:hAnsi="Arial"/>
          <w:sz w:val="23"/>
          <w:szCs w:val="23"/>
          <w:i w:val="1"/>
          <w:iCs w:val="1"/>
          <w:color w:val="auto"/>
        </w:rPr>
        <w:t>DAp</w:t>
      </w:r>
      <w:r>
        <w:rPr>
          <w:rFonts w:ascii="Arial" w:cs="Arial" w:eastAsia="Arial" w:hAnsi="Arial"/>
          <w:sz w:val="31"/>
          <w:szCs w:val="31"/>
          <w:i w:val="1"/>
          <w:iCs w:val="1"/>
          <w:color w:val="auto"/>
          <w:vertAlign w:val="subscript"/>
        </w:rPr>
        <w:t>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2534920</wp:posOffset>
                </wp:positionH>
                <wp:positionV relativeFrom="paragraph">
                  <wp:posOffset>-282575</wp:posOffset>
                </wp:positionV>
                <wp:extent cx="1654175" cy="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41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9.6pt,-22.2499pt" to="329.85pt,-22.2499pt" o:allowincell="f" strokecolor="#000000" strokeweight="0.398pt"/>
            </w:pict>
          </mc:Fallback>
        </mc:AlternateContent>
      </w:r>
    </w:p>
    <w:p>
      <w:pPr>
        <w:spacing w:after="0" w:line="63" w:lineRule="exact"/>
        <w:rPr>
          <w:sz w:val="20"/>
          <w:szCs w:val="20"/>
          <w:color w:val="auto"/>
        </w:rPr>
      </w:pPr>
    </w:p>
    <w:p>
      <w:pPr>
        <w:jc w:val="both"/>
        <w:ind w:left="260" w:firstLine="850"/>
        <w:spacing w:after="0" w:line="300" w:lineRule="auto"/>
        <w:rPr>
          <w:sz w:val="20"/>
          <w:szCs w:val="20"/>
          <w:color w:val="auto"/>
        </w:rPr>
      </w:pPr>
      <w:r>
        <w:rPr>
          <w:rFonts w:ascii="Arial" w:cs="Arial" w:eastAsia="Arial" w:hAnsi="Arial"/>
          <w:sz w:val="24"/>
          <w:szCs w:val="24"/>
          <w:color w:val="auto"/>
        </w:rPr>
        <w:t>A elevação do nível de compulsório reduz o multiplicador bancário e aumenta a necessidade de captações para atendimento das operações crédito e consequen-temente os custos de captação atuando de forma direta com o spread e inversa com rentabilidade.</w:t>
      </w:r>
    </w:p>
    <w:p>
      <w:pPr>
        <w:spacing w:after="0" w:line="30" w:lineRule="exact"/>
        <w:rPr>
          <w:sz w:val="20"/>
          <w:szCs w:val="20"/>
          <w:color w:val="auto"/>
        </w:rPr>
      </w:pPr>
    </w:p>
    <w:p>
      <w:pPr>
        <w:ind w:left="260" w:right="40" w:firstLine="850"/>
        <w:spacing w:after="0" w:line="327"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16</w:t>
      </w:r>
      <w:r>
        <w:rPr>
          <w:rFonts w:ascii="Arial" w:cs="Arial" w:eastAsia="Arial" w:hAnsi="Arial"/>
          <w:sz w:val="24"/>
          <w:szCs w:val="24"/>
          <w:color w:val="auto"/>
        </w:rPr>
        <w:t xml:space="preserve">: A quantidade total dos meios de pagamentos </w:t>
      </w:r>
      <w:r>
        <w:rPr>
          <w:rFonts w:ascii="Arial" w:cs="Arial" w:eastAsia="Arial" w:hAnsi="Arial"/>
          <w:sz w:val="24"/>
          <w:szCs w:val="24"/>
          <w:i w:val="1"/>
          <w:iCs w:val="1"/>
          <w:color w:val="auto"/>
        </w:rPr>
        <w:t>M pag</w:t>
      </w:r>
      <w:r>
        <w:rPr>
          <w:rFonts w:ascii="Arial" w:cs="Arial" w:eastAsia="Arial" w:hAnsi="Arial"/>
          <w:sz w:val="24"/>
          <w:szCs w:val="24"/>
          <w:color w:val="auto"/>
        </w:rPr>
        <w:t xml:space="preserve"> atua de forma inversa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48" w:lineRule="exact"/>
        <w:rPr>
          <w:sz w:val="20"/>
          <w:szCs w:val="20"/>
          <w:color w:val="auto"/>
        </w:rPr>
      </w:pPr>
    </w:p>
    <w:p>
      <w:pPr>
        <w:ind w:left="260" w:right="40" w:firstLine="850"/>
        <w:spacing w:after="0" w:line="327" w:lineRule="auto"/>
        <w:rPr>
          <w:sz w:val="20"/>
          <w:szCs w:val="20"/>
          <w:color w:val="auto"/>
        </w:rPr>
      </w:pPr>
      <w:r>
        <w:rPr>
          <w:rFonts w:ascii="Arial" w:cs="Arial" w:eastAsia="Arial" w:hAnsi="Arial"/>
          <w:sz w:val="24"/>
          <w:szCs w:val="24"/>
          <w:color w:val="auto"/>
        </w:rPr>
        <w:t>Para as variável meios de pagamentos (</w:t>
      </w:r>
      <w:r>
        <w:rPr>
          <w:rFonts w:ascii="Arial" w:cs="Arial" w:eastAsia="Arial" w:hAnsi="Arial"/>
          <w:sz w:val="24"/>
          <w:szCs w:val="24"/>
          <w:i w:val="1"/>
          <w:iCs w:val="1"/>
          <w:color w:val="auto"/>
        </w:rPr>
        <w:t>M pag</w:t>
      </w:r>
      <w:r>
        <w:rPr>
          <w:rFonts w:ascii="Arial" w:cs="Arial" w:eastAsia="Arial" w:hAnsi="Arial"/>
          <w:sz w:val="24"/>
          <w:szCs w:val="24"/>
          <w:color w:val="auto"/>
        </w:rPr>
        <w:t>) serão utlziados os dados os meios de pagamentos amplos (</w:t>
      </w:r>
      <w:r>
        <w:rPr>
          <w:rFonts w:ascii="Arial" w:cs="Arial" w:eastAsia="Arial" w:hAnsi="Arial"/>
          <w:sz w:val="24"/>
          <w:szCs w:val="24"/>
          <w:i w:val="1"/>
          <w:iCs w:val="1"/>
          <w:color w:val="auto"/>
        </w:rPr>
        <w:t>M P M</w:t>
      </w:r>
      <w:r>
        <w:rPr>
          <w:rFonts w:ascii="Arial" w:cs="Arial" w:eastAsia="Arial" w:hAnsi="Arial"/>
          <w:sz w:val="24"/>
          <w:szCs w:val="24"/>
          <w:color w:val="auto"/>
        </w:rPr>
        <w:t>4) da série 27815 ajustados para o período do</w:t>
      </w:r>
    </w:p>
    <w:p>
      <w:pPr>
        <w:sectPr>
          <w:pgSz w:w="11900" w:h="16838" w:orient="portrait"/>
          <w:cols w:equalWidth="0" w:num="1">
            <w:col w:w="9360"/>
          </w:cols>
          <w:pgMar w:left="1440" w:top="991" w:right="1106" w:bottom="298" w:gutter="0" w:footer="0" w:header="0"/>
        </w:sectPr>
      </w:pPr>
    </w:p>
    <w:p>
      <w:pPr>
        <w:ind w:left="9060"/>
        <w:spacing w:after="0"/>
        <w:rPr>
          <w:sz w:val="20"/>
          <w:szCs w:val="20"/>
          <w:color w:val="auto"/>
        </w:rPr>
      </w:pPr>
      <w:r>
        <w:rPr>
          <w:rFonts w:ascii="Arial" w:cs="Arial" w:eastAsia="Arial" w:hAnsi="Arial"/>
          <w:sz w:val="24"/>
          <w:szCs w:val="24"/>
          <w:color w:val="auto"/>
        </w:rPr>
        <w:t>47</w:t>
      </w:r>
    </w:p>
    <w:p>
      <w:pPr>
        <w:spacing w:after="0" w:line="200" w:lineRule="exact"/>
        <w:rPr>
          <w:sz w:val="20"/>
          <w:szCs w:val="20"/>
          <w:color w:val="auto"/>
        </w:rPr>
      </w:pPr>
    </w:p>
    <w:p>
      <w:pPr>
        <w:spacing w:after="0" w:line="246" w:lineRule="exact"/>
        <w:rPr>
          <w:sz w:val="20"/>
          <w:szCs w:val="20"/>
          <w:color w:val="auto"/>
        </w:rPr>
      </w:pPr>
    </w:p>
    <w:p>
      <w:pPr>
        <w:jc w:val="both"/>
        <w:ind w:left="260" w:right="60"/>
        <w:spacing w:after="0" w:line="317" w:lineRule="auto"/>
        <w:rPr>
          <w:sz w:val="20"/>
          <w:szCs w:val="20"/>
          <w:color w:val="auto"/>
        </w:rPr>
      </w:pPr>
      <w:r>
        <w:rPr>
          <w:rFonts w:ascii="Arial" w:cs="Arial" w:eastAsia="Arial" w:hAnsi="Arial"/>
          <w:sz w:val="24"/>
          <w:szCs w:val="24"/>
          <w:color w:val="auto"/>
        </w:rPr>
        <w:t>conjunto de dados. Espera-se que as variações dos meios de pagamentos atuem de forma indireta no spread e direta a rentabilidade bancária. Também é esperado que esta variável esteja entre as duas mais relevantes no determinante do nível do spread bancário em termos gerais.</w:t>
      </w:r>
    </w:p>
    <w:p>
      <w:pPr>
        <w:spacing w:after="0" w:line="75" w:lineRule="exact"/>
        <w:rPr>
          <w:sz w:val="20"/>
          <w:szCs w:val="20"/>
          <w:color w:val="auto"/>
        </w:rPr>
      </w:pPr>
    </w:p>
    <w:p>
      <w:pPr>
        <w:jc w:val="center"/>
        <w:ind w:right="-219"/>
        <w:spacing w:after="0"/>
        <w:rPr>
          <w:sz w:val="20"/>
          <w:szCs w:val="20"/>
          <w:color w:val="auto"/>
        </w:rPr>
      </w:pPr>
      <w:r>
        <w:rPr>
          <w:rFonts w:ascii="Arial" w:cs="Arial" w:eastAsia="Arial" w:hAnsi="Arial"/>
          <w:sz w:val="24"/>
          <w:szCs w:val="24"/>
          <w:i w:val="1"/>
          <w:iCs w:val="1"/>
          <w:color w:val="auto"/>
        </w:rPr>
        <w:t>M apg</w:t>
      </w:r>
      <w:r>
        <w:rPr>
          <w:rFonts w:ascii="Arial" w:cs="Arial" w:eastAsia="Arial" w:hAnsi="Arial"/>
          <w:sz w:val="31"/>
          <w:szCs w:val="31"/>
          <w:i w:val="1"/>
          <w:iCs w:val="1"/>
          <w:color w:val="auto"/>
          <w:vertAlign w:val="subscript"/>
        </w:rPr>
        <w:t>t</w:t>
      </w:r>
      <w:r>
        <w:rPr>
          <w:rFonts w:ascii="Arial" w:cs="Arial" w:eastAsia="Arial" w:hAnsi="Arial"/>
          <w:sz w:val="24"/>
          <w:szCs w:val="24"/>
          <w:color w:val="auto"/>
        </w:rPr>
        <w:t xml:space="preserve"> = ln(</w:t>
      </w:r>
      <w:r>
        <w:rPr>
          <w:rFonts w:ascii="Arial" w:cs="Arial" w:eastAsia="Arial" w:hAnsi="Arial"/>
          <w:sz w:val="24"/>
          <w:szCs w:val="24"/>
          <w:i w:val="1"/>
          <w:iCs w:val="1"/>
          <w:color w:val="auto"/>
        </w:rPr>
        <w:t>M P M</w:t>
      </w:r>
      <w:r>
        <w:rPr>
          <w:rFonts w:ascii="Arial" w:cs="Arial" w:eastAsia="Arial" w:hAnsi="Arial"/>
          <w:sz w:val="24"/>
          <w:szCs w:val="24"/>
          <w:color w:val="auto"/>
        </w:rPr>
        <w:t>4</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+3</w:t>
      </w:r>
      <w:r>
        <w:rPr>
          <w:rFonts w:ascii="Arial" w:cs="Arial" w:eastAsia="Arial" w:hAnsi="Arial"/>
          <w:sz w:val="24"/>
          <w:szCs w:val="24"/>
          <w:color w:val="auto"/>
        </w:rPr>
        <w:t>)</w:t>
      </w:r>
    </w:p>
    <w:p>
      <w:pPr>
        <w:spacing w:after="0" w:line="292" w:lineRule="exact"/>
        <w:rPr>
          <w:sz w:val="20"/>
          <w:szCs w:val="20"/>
          <w:color w:val="auto"/>
        </w:rPr>
      </w:pPr>
    </w:p>
    <w:p>
      <w:pPr>
        <w:jc w:val="both"/>
        <w:ind w:left="260" w:right="60" w:firstLine="858"/>
        <w:spacing w:after="0" w:line="293" w:lineRule="auto"/>
        <w:rPr>
          <w:sz w:val="20"/>
          <w:szCs w:val="20"/>
          <w:color w:val="auto"/>
        </w:rPr>
      </w:pPr>
      <w:r>
        <w:rPr>
          <w:rFonts w:ascii="Arial" w:cs="Arial" w:eastAsia="Arial" w:hAnsi="Arial"/>
          <w:sz w:val="24"/>
          <w:szCs w:val="24"/>
          <w:i w:val="1"/>
          <w:iCs w:val="1"/>
          <w:color w:val="auto"/>
        </w:rPr>
        <w:t>H</w:t>
      </w:r>
      <w:r>
        <w:rPr>
          <w:rFonts w:ascii="Arial" w:cs="Arial" w:eastAsia="Arial" w:hAnsi="Arial"/>
          <w:sz w:val="31"/>
          <w:szCs w:val="31"/>
          <w:color w:val="auto"/>
          <w:vertAlign w:val="subscript"/>
        </w:rPr>
        <w:t>17</w:t>
      </w:r>
      <w:r>
        <w:rPr>
          <w:rFonts w:ascii="Arial" w:cs="Arial" w:eastAsia="Arial" w:hAnsi="Arial"/>
          <w:sz w:val="24"/>
          <w:szCs w:val="24"/>
          <w:color w:val="auto"/>
        </w:rPr>
        <w:t>: A velocidade da moeda (</w:t>
      </w:r>
      <w:r>
        <w:rPr>
          <w:rFonts w:ascii="Arial" w:cs="Arial" w:eastAsia="Arial" w:hAnsi="Arial"/>
          <w:sz w:val="24"/>
          <w:szCs w:val="24"/>
          <w:i w:val="1"/>
          <w:iCs w:val="1"/>
          <w:color w:val="auto"/>
        </w:rPr>
        <w:t>V elM o</w:t>
      </w:r>
      <w:r>
        <w:rPr>
          <w:rFonts w:ascii="Arial" w:cs="Arial" w:eastAsia="Arial" w:hAnsi="Arial"/>
          <w:sz w:val="24"/>
          <w:szCs w:val="24"/>
          <w:color w:val="auto"/>
        </w:rPr>
        <w:t>) atua de forma direta no spread ex-post (</w:t>
      </w:r>
      <w:r>
        <w:rPr>
          <w:rFonts w:ascii="Arial" w:cs="Arial" w:eastAsia="Arial" w:hAnsi="Arial"/>
          <w:sz w:val="24"/>
          <w:szCs w:val="24"/>
          <w:i w:val="1"/>
          <w:iCs w:val="1"/>
          <w:color w:val="auto"/>
        </w:rPr>
        <w:t>SprEp</w:t>
      </w:r>
      <w:r>
        <w:rPr>
          <w:rFonts w:ascii="Arial" w:cs="Arial" w:eastAsia="Arial" w:hAnsi="Arial"/>
          <w:sz w:val="24"/>
          <w:szCs w:val="24"/>
          <w:color w:val="auto"/>
        </w:rPr>
        <w:t>) e direta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ind w:left="5020"/>
        <w:spacing w:after="0" w:line="204" w:lineRule="auto"/>
        <w:rPr>
          <w:sz w:val="20"/>
          <w:szCs w:val="20"/>
          <w:color w:val="auto"/>
        </w:rPr>
      </w:pPr>
      <w:r>
        <w:rPr>
          <w:rFonts w:ascii="Arial" w:cs="Arial" w:eastAsia="Arial" w:hAnsi="Arial"/>
          <w:sz w:val="24"/>
          <w:szCs w:val="24"/>
          <w:i w:val="1"/>
          <w:iCs w:val="1"/>
          <w:color w:val="auto"/>
        </w:rPr>
        <w:t>P ib</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+3</w:t>
      </w:r>
    </w:p>
    <w:p>
      <w:pPr>
        <w:ind w:left="3660"/>
        <w:spacing w:after="0" w:line="206" w:lineRule="auto"/>
        <w:rPr>
          <w:sz w:val="20"/>
          <w:szCs w:val="20"/>
          <w:color w:val="auto"/>
        </w:rPr>
      </w:pPr>
      <w:r>
        <w:rPr>
          <w:rFonts w:ascii="Arial" w:cs="Arial" w:eastAsia="Arial" w:hAnsi="Arial"/>
          <w:sz w:val="48"/>
          <w:szCs w:val="48"/>
          <w:i w:val="1"/>
          <w:iCs w:val="1"/>
          <w:color w:val="auto"/>
          <w:vertAlign w:val="superscript"/>
        </w:rPr>
        <w:t>V</w:t>
      </w:r>
      <w:r>
        <w:rPr>
          <w:rFonts w:ascii="Arial" w:cs="Arial" w:eastAsia="Arial" w:hAnsi="Arial"/>
          <w:sz w:val="47"/>
          <w:szCs w:val="47"/>
          <w:i w:val="1"/>
          <w:iCs w:val="1"/>
          <w:color w:val="auto"/>
          <w:vertAlign w:val="superscript"/>
        </w:rPr>
        <w:t xml:space="preserve"> </w:t>
      </w:r>
      <w:r>
        <w:rPr>
          <w:rFonts w:ascii="Arial" w:cs="Arial" w:eastAsia="Arial" w:hAnsi="Arial"/>
          <w:sz w:val="48"/>
          <w:szCs w:val="48"/>
          <w:i w:val="1"/>
          <w:iCs w:val="1"/>
          <w:color w:val="auto"/>
          <w:vertAlign w:val="superscript"/>
        </w:rPr>
        <w:t>elM</w:t>
      </w:r>
      <w:r>
        <w:rPr>
          <w:rFonts w:ascii="Arial" w:cs="Arial" w:eastAsia="Arial" w:hAnsi="Arial"/>
          <w:sz w:val="47"/>
          <w:szCs w:val="47"/>
          <w:i w:val="1"/>
          <w:iCs w:val="1"/>
          <w:color w:val="auto"/>
          <w:vertAlign w:val="superscript"/>
        </w:rPr>
        <w:t xml:space="preserve"> </w:t>
      </w:r>
      <w:r>
        <w:rPr>
          <w:rFonts w:ascii="Arial" w:cs="Arial" w:eastAsia="Arial" w:hAnsi="Arial"/>
          <w:sz w:val="48"/>
          <w:szCs w:val="48"/>
          <w:i w:val="1"/>
          <w:iCs w:val="1"/>
          <w:color w:val="auto"/>
          <w:vertAlign w:val="superscript"/>
        </w:rPr>
        <w:t>o</w:t>
      </w:r>
      <w:r>
        <w:rPr>
          <w:rFonts w:ascii="Arial" w:cs="Arial" w:eastAsia="Arial" w:hAnsi="Arial"/>
          <w:sz w:val="15"/>
          <w:szCs w:val="15"/>
          <w:i w:val="1"/>
          <w:iCs w:val="1"/>
          <w:color w:val="auto"/>
        </w:rPr>
        <w:t>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bscript"/>
        </w:rPr>
        <w:t>M P M</w:t>
      </w:r>
      <w:r>
        <w:rPr>
          <w:rFonts w:ascii="Arial" w:cs="Arial" w:eastAsia="Arial" w:hAnsi="Arial"/>
          <w:sz w:val="48"/>
          <w:szCs w:val="48"/>
          <w:color w:val="auto"/>
          <w:vertAlign w:val="subscript"/>
        </w:rPr>
        <w:t>4</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3052445</wp:posOffset>
                </wp:positionH>
                <wp:positionV relativeFrom="paragraph">
                  <wp:posOffset>-232410</wp:posOffset>
                </wp:positionV>
                <wp:extent cx="692785" cy="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278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35pt,-18.2999pt" to="294.9pt,-18.2999pt" o:allowincell="f" strokecolor="#000000" strokeweight="0.398pt"/>
            </w:pict>
          </mc:Fallback>
        </mc:AlternateContent>
      </w:r>
    </w:p>
    <w:p>
      <w:pPr>
        <w:spacing w:after="0" w:line="144" w:lineRule="exact"/>
        <w:rPr>
          <w:sz w:val="20"/>
          <w:szCs w:val="20"/>
          <w:color w:val="auto"/>
        </w:rPr>
      </w:pPr>
    </w:p>
    <w:p>
      <w:pPr>
        <w:jc w:val="both"/>
        <w:ind w:left="260" w:right="60" w:firstLine="850"/>
        <w:spacing w:after="0" w:line="317" w:lineRule="auto"/>
        <w:rPr>
          <w:sz w:val="20"/>
          <w:szCs w:val="20"/>
          <w:color w:val="auto"/>
        </w:rPr>
      </w:pPr>
      <w:r>
        <w:rPr>
          <w:rFonts w:ascii="Arial" w:cs="Arial" w:eastAsia="Arial" w:hAnsi="Arial"/>
          <w:sz w:val="24"/>
          <w:szCs w:val="24"/>
          <w:color w:val="auto"/>
        </w:rPr>
        <w:t>Espera-se que a velocidade de circulação da moeda esteja entre as duas mais relevantes na determinação do nível de spread bancário em termos gerais, atuando de forma indireta. Enquanto com a rentabilidade espera-se uma relação direta até determinado nível.</w:t>
      </w:r>
    </w:p>
    <w:p>
      <w:pPr>
        <w:spacing w:after="0" w:line="7" w:lineRule="exact"/>
        <w:rPr>
          <w:sz w:val="20"/>
          <w:szCs w:val="20"/>
          <w:color w:val="auto"/>
        </w:rPr>
      </w:pPr>
    </w:p>
    <w:p>
      <w:pPr>
        <w:ind w:left="1100"/>
        <w:spacing w:after="0"/>
        <w:rPr>
          <w:sz w:val="20"/>
          <w:szCs w:val="20"/>
          <w:color w:val="auto"/>
        </w:rPr>
      </w:pPr>
      <w:r>
        <w:rPr>
          <w:rFonts w:ascii="Arial" w:cs="Arial" w:eastAsia="Arial" w:hAnsi="Arial"/>
          <w:sz w:val="23"/>
          <w:szCs w:val="23"/>
          <w:i w:val="1"/>
          <w:iCs w:val="1"/>
          <w:color w:val="auto"/>
        </w:rPr>
        <w:t>H</w:t>
      </w:r>
      <w:r>
        <w:rPr>
          <w:rFonts w:ascii="Arial" w:cs="Arial" w:eastAsia="Arial" w:hAnsi="Arial"/>
          <w:sz w:val="30"/>
          <w:szCs w:val="30"/>
          <w:color w:val="auto"/>
          <w:vertAlign w:val="subscript"/>
        </w:rPr>
        <w:t>18</w:t>
      </w:r>
      <w:r>
        <w:rPr>
          <w:rFonts w:ascii="Arial" w:cs="Arial" w:eastAsia="Arial" w:hAnsi="Arial"/>
          <w:sz w:val="23"/>
          <w:szCs w:val="23"/>
          <w:color w:val="auto"/>
        </w:rPr>
        <w:t>: O spread ex-ante (</w:t>
      </w:r>
      <w:r>
        <w:rPr>
          <w:rFonts w:ascii="Arial" w:cs="Arial" w:eastAsia="Arial" w:hAnsi="Arial"/>
          <w:sz w:val="23"/>
          <w:szCs w:val="23"/>
          <w:i w:val="1"/>
          <w:iCs w:val="1"/>
          <w:color w:val="auto"/>
        </w:rPr>
        <w:t>SprEa</w:t>
      </w:r>
      <w:r>
        <w:rPr>
          <w:rFonts w:ascii="Arial" w:cs="Arial" w:eastAsia="Arial" w:hAnsi="Arial"/>
          <w:sz w:val="30"/>
          <w:szCs w:val="30"/>
          <w:i w:val="1"/>
          <w:iCs w:val="1"/>
          <w:color w:val="auto"/>
          <w:vertAlign w:val="subscript"/>
        </w:rPr>
        <w:t>t</w:t>
      </w:r>
      <w:r>
        <w:rPr>
          <w:rFonts w:ascii="Arial" w:cs="Arial" w:eastAsia="Arial" w:hAnsi="Arial"/>
          <w:sz w:val="30"/>
          <w:szCs w:val="30"/>
          <w:color w:val="auto"/>
          <w:vertAlign w:val="subscript"/>
        </w:rPr>
        <w:t>−1</w:t>
      </w:r>
      <w:r>
        <w:rPr>
          <w:rFonts w:ascii="Arial" w:cs="Arial" w:eastAsia="Arial" w:hAnsi="Arial"/>
          <w:sz w:val="23"/>
          <w:szCs w:val="23"/>
          <w:color w:val="auto"/>
        </w:rPr>
        <w:t>) atua de forma direta spread ex-post (</w:t>
      </w:r>
      <w:r>
        <w:rPr>
          <w:rFonts w:ascii="Arial" w:cs="Arial" w:eastAsia="Arial" w:hAnsi="Arial"/>
          <w:sz w:val="23"/>
          <w:szCs w:val="23"/>
          <w:i w:val="1"/>
          <w:iCs w:val="1"/>
          <w:color w:val="auto"/>
        </w:rPr>
        <w:t>SprEp</w:t>
      </w:r>
      <w:r>
        <w:rPr>
          <w:rFonts w:ascii="Arial" w:cs="Arial" w:eastAsia="Arial" w:hAnsi="Arial"/>
          <w:sz w:val="23"/>
          <w:szCs w:val="23"/>
          <w:color w:val="auto"/>
        </w:rPr>
        <w:t>)</w:t>
      </w:r>
    </w:p>
    <w:p>
      <w:pPr>
        <w:spacing w:after="0" w:line="11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e direto com a rentabilidade bancária (</w:t>
      </w:r>
      <w:r>
        <w:rPr>
          <w:rFonts w:ascii="Arial" w:cs="Arial" w:eastAsia="Arial" w:hAnsi="Arial"/>
          <w:sz w:val="24"/>
          <w:szCs w:val="24"/>
          <w:i w:val="1"/>
          <w:iCs w:val="1"/>
          <w:color w:val="auto"/>
        </w:rPr>
        <w:t>Rent</w:t>
      </w:r>
      <w:r>
        <w:rPr>
          <w:rFonts w:ascii="Arial" w:cs="Arial" w:eastAsia="Arial" w:hAnsi="Arial"/>
          <w:sz w:val="24"/>
          <w:szCs w:val="24"/>
          <w:color w:val="auto"/>
        </w:rPr>
        <w:t>)</w:t>
      </w:r>
    </w:p>
    <w:p>
      <w:pPr>
        <w:spacing w:after="0" w:line="132" w:lineRule="exact"/>
        <w:rPr>
          <w:sz w:val="20"/>
          <w:szCs w:val="20"/>
          <w:color w:val="auto"/>
        </w:rPr>
      </w:pPr>
    </w:p>
    <w:p>
      <w:pPr>
        <w:jc w:val="both"/>
        <w:ind w:left="260" w:right="20" w:firstLine="850"/>
        <w:spacing w:after="0" w:line="329" w:lineRule="auto"/>
        <w:rPr>
          <w:sz w:val="20"/>
          <w:szCs w:val="20"/>
          <w:color w:val="auto"/>
        </w:rPr>
      </w:pPr>
      <w:r>
        <w:rPr>
          <w:rFonts w:ascii="Arial" w:cs="Arial" w:eastAsia="Arial" w:hAnsi="Arial"/>
          <w:sz w:val="24"/>
          <w:szCs w:val="24"/>
          <w:color w:val="auto"/>
        </w:rPr>
        <w:t xml:space="preserve">Para o spread ex-ante será utilizada a série </w:t>
      </w:r>
      <w:r>
        <w:rPr>
          <w:rFonts w:ascii="Arial" w:cs="Arial" w:eastAsia="Arial" w:hAnsi="Arial"/>
          <w:sz w:val="24"/>
          <w:szCs w:val="24"/>
          <w:i w:val="1"/>
          <w:iCs w:val="1"/>
          <w:color w:val="auto"/>
        </w:rPr>
        <w:t>sgs</w:t>
      </w:r>
      <w:r>
        <w:rPr>
          <w:rFonts w:ascii="Arial" w:cs="Arial" w:eastAsia="Arial" w:hAnsi="Arial"/>
          <w:sz w:val="24"/>
          <w:szCs w:val="24"/>
          <w:color w:val="auto"/>
        </w:rPr>
        <w:t xml:space="preserve"> − 20783 defasada em 1 período, obtida no portal de dados abertos o Banco Central. Espera-se que esta varável atue capturando as expectativas das instituições financeiras exercendo influência direta no spread ex-post e direta na rentabilidade bancária.</w:t>
      </w:r>
    </w:p>
    <w:p>
      <w:pPr>
        <w:spacing w:after="0" w:line="353" w:lineRule="exact"/>
        <w:rPr>
          <w:sz w:val="20"/>
          <w:szCs w:val="20"/>
          <w:color w:val="auto"/>
        </w:rPr>
      </w:pPr>
    </w:p>
    <w:p>
      <w:pPr>
        <w:jc w:val="center"/>
        <w:ind w:right="-199"/>
        <w:spacing w:after="0"/>
        <w:rPr>
          <w:sz w:val="20"/>
          <w:szCs w:val="20"/>
          <w:color w:val="auto"/>
        </w:rPr>
      </w:pPr>
      <w:r>
        <w:rPr>
          <w:rFonts w:ascii="Arial" w:cs="Arial" w:eastAsia="Arial" w:hAnsi="Arial"/>
          <w:sz w:val="24"/>
          <w:szCs w:val="24"/>
          <w:i w:val="1"/>
          <w:iCs w:val="1"/>
          <w:color w:val="auto"/>
        </w:rPr>
        <w:t>SprEa</w:t>
      </w:r>
      <w:r>
        <w:rPr>
          <w:rFonts w:ascii="Arial" w:cs="Arial" w:eastAsia="Arial" w:hAnsi="Arial"/>
          <w:sz w:val="31"/>
          <w:szCs w:val="31"/>
          <w:i w:val="1"/>
          <w:iCs w:val="1"/>
          <w:color w:val="auto"/>
          <w:vertAlign w:val="subscript"/>
        </w:rPr>
        <w:t>t</w:t>
      </w:r>
      <w:r>
        <w:rPr>
          <w:rFonts w:ascii="Arial" w:cs="Arial" w:eastAsia="Arial" w:hAnsi="Arial"/>
          <w:sz w:val="24"/>
          <w:szCs w:val="24"/>
          <w:color w:val="auto"/>
        </w:rPr>
        <w:t xml:space="preserve"> = </w:t>
      </w:r>
      <w:r>
        <w:rPr>
          <w:rFonts w:ascii="Arial" w:cs="Arial" w:eastAsia="Arial" w:hAnsi="Arial"/>
          <w:sz w:val="24"/>
          <w:szCs w:val="24"/>
          <w:i w:val="1"/>
          <w:iCs w:val="1"/>
          <w:color w:val="auto"/>
        </w:rPr>
        <w:t>SEA</w:t>
      </w:r>
      <w:r>
        <w:rPr>
          <w:rFonts w:ascii="Arial" w:cs="Arial" w:eastAsia="Arial" w:hAnsi="Arial"/>
          <w:sz w:val="31"/>
          <w:szCs w:val="31"/>
          <w:i w:val="1"/>
          <w:iCs w:val="1"/>
          <w:color w:val="auto"/>
          <w:vertAlign w:val="subscript"/>
        </w:rPr>
        <w:t>t</w:t>
      </w:r>
      <w:r>
        <w:rPr>
          <w:rFonts w:ascii="Arial" w:cs="Arial" w:eastAsia="Arial" w:hAnsi="Arial"/>
          <w:sz w:val="31"/>
          <w:szCs w:val="31"/>
          <w:color w:val="auto"/>
          <w:vertAlign w:val="subscript"/>
        </w:rPr>
        <w:t>−1</w:t>
      </w:r>
    </w:p>
    <w:p>
      <w:pPr>
        <w:spacing w:after="0" w:line="297" w:lineRule="exact"/>
        <w:rPr>
          <w:sz w:val="20"/>
          <w:szCs w:val="20"/>
          <w:color w:val="auto"/>
        </w:rPr>
      </w:pPr>
    </w:p>
    <w:p>
      <w:pPr>
        <w:ind w:left="1100"/>
        <w:spacing w:after="0"/>
        <w:rPr>
          <w:sz w:val="20"/>
          <w:szCs w:val="20"/>
          <w:color w:val="auto"/>
        </w:rPr>
      </w:pPr>
      <w:r>
        <w:rPr>
          <w:rFonts w:ascii="Arial" w:cs="Arial" w:eastAsia="Arial" w:hAnsi="Arial"/>
          <w:sz w:val="24"/>
          <w:szCs w:val="24"/>
          <w:color w:val="FF0000"/>
        </w:rPr>
        <w:t>INSERIR QUADRO DE RESUMO DAS FONTES DE DADOS</w:t>
      </w:r>
    </w:p>
    <w:p>
      <w:pPr>
        <w:spacing w:after="0" w:line="194" w:lineRule="exact"/>
        <w:rPr>
          <w:sz w:val="20"/>
          <w:szCs w:val="20"/>
          <w:color w:val="auto"/>
        </w:rPr>
      </w:pPr>
    </w:p>
    <w:p>
      <w:pPr>
        <w:jc w:val="both"/>
        <w:ind w:left="260" w:firstLine="850"/>
        <w:spacing w:after="0" w:line="320" w:lineRule="auto"/>
        <w:rPr>
          <w:sz w:val="20"/>
          <w:szCs w:val="20"/>
          <w:color w:val="auto"/>
        </w:rPr>
      </w:pPr>
      <w:r>
        <w:rPr>
          <w:rFonts w:ascii="Arial" w:cs="Arial" w:eastAsia="Arial" w:hAnsi="Arial"/>
          <w:sz w:val="23"/>
          <w:szCs w:val="23"/>
          <w:color w:val="auto"/>
        </w:rPr>
        <w:t>Na fase analítica será aplicada a técnica de Cross Validation k-fold, que visa dividir de forma aleatória o conjunto de dados em k grupos, de dimensão aproximada. Onde o primeiro grupo é tratado como conjunto de validação, e o método é ajustado no k</w:t>
      </w:r>
    </w:p>
    <w:p>
      <w:pPr>
        <w:spacing w:after="0" w:line="2" w:lineRule="exact"/>
        <w:rPr>
          <w:sz w:val="20"/>
          <w:szCs w:val="20"/>
          <w:color w:val="auto"/>
        </w:rPr>
      </w:pPr>
    </w:p>
    <w:p>
      <w:pPr>
        <w:jc w:val="both"/>
        <w:ind w:left="260" w:right="20" w:hanging="1"/>
        <w:spacing w:after="0" w:line="326" w:lineRule="auto"/>
        <w:tabs>
          <w:tab w:leader="none" w:pos="514" w:val="left"/>
        </w:tabs>
        <w:numPr>
          <w:ilvl w:val="0"/>
          <w:numId w:val="22"/>
        </w:numPr>
        <w:rPr>
          <w:rFonts w:ascii="Arial" w:cs="Arial" w:eastAsia="Arial" w:hAnsi="Arial"/>
          <w:sz w:val="24"/>
          <w:szCs w:val="24"/>
          <w:color w:val="auto"/>
        </w:rPr>
      </w:pPr>
      <w:r>
        <w:rPr>
          <w:rFonts w:ascii="Arial" w:cs="Arial" w:eastAsia="Arial" w:hAnsi="Arial"/>
          <w:sz w:val="24"/>
          <w:szCs w:val="24"/>
          <w:color w:val="auto"/>
        </w:rPr>
        <w:t>1 conjuntos restantes. Esse método é útil para testar variáveis, selecionar parâmetros, função preditiva e acurácia para seleção do modelo final (JAMES; WITTEN; HASTIE TREVOR; TIBSHIRANI, 2017).</w:t>
      </w:r>
    </w:p>
    <w:p>
      <w:pPr>
        <w:spacing w:after="0" w:line="78" w:lineRule="exact"/>
        <w:rPr>
          <w:sz w:val="20"/>
          <w:szCs w:val="20"/>
          <w:color w:val="auto"/>
        </w:rPr>
      </w:pPr>
    </w:p>
    <w:p>
      <w:pPr>
        <w:jc w:val="both"/>
        <w:ind w:left="260" w:right="40" w:firstLine="858"/>
        <w:spacing w:after="0" w:line="302" w:lineRule="auto"/>
        <w:rPr>
          <w:sz w:val="20"/>
          <w:szCs w:val="20"/>
          <w:color w:val="auto"/>
        </w:rPr>
      </w:pPr>
      <w:r>
        <w:rPr>
          <w:rFonts w:ascii="Arial" w:cs="Arial" w:eastAsia="Arial" w:hAnsi="Arial"/>
          <w:sz w:val="24"/>
          <w:szCs w:val="24"/>
          <w:color w:val="auto"/>
        </w:rPr>
        <w:t>O mecanismo do k-fold consiste em calcular o erro quadrático médio nas observações do grupo retido, repetindo esse procedimento k vezes, onde a cada rodada, um grupo diferente é tratado como um conjunto de validação. Este processo resulta em k estimativas do erro de teste, MSE1, MSE2,. . . , MSEk. A estimativa de CV k-fold é obtida pela média desses valores (JAMES; WITTEN; HASTIE TREVOR; TIBSHIRANI, 2017).</w:t>
      </w:r>
    </w:p>
    <w:p>
      <w:pPr>
        <w:ind w:left="4680"/>
        <w:spacing w:after="0" w:line="184" w:lineRule="auto"/>
        <w:rPr>
          <w:sz w:val="20"/>
          <w:szCs w:val="20"/>
          <w:color w:val="auto"/>
        </w:rPr>
      </w:pPr>
      <w:r>
        <w:rPr>
          <w:rFonts w:ascii="Arial" w:cs="Arial" w:eastAsia="Arial" w:hAnsi="Arial"/>
          <w:sz w:val="26"/>
          <w:szCs w:val="26"/>
          <w:color w:val="auto"/>
          <w:vertAlign w:val="subscript"/>
        </w:rPr>
        <w:t>1</w:t>
      </w:r>
      <w:r>
        <w:rPr>
          <w:rFonts w:ascii="Arial" w:cs="Arial" w:eastAsia="Arial" w:hAnsi="Arial"/>
          <w:sz w:val="14"/>
          <w:szCs w:val="14"/>
          <w:color w:val="auto"/>
          <w:vertAlign w:val="subscript"/>
        </w:rPr>
        <w:t xml:space="preserve"> </w:t>
      </w:r>
      <w:r>
        <w:rPr>
          <w:rFonts w:ascii="Arial" w:cs="Arial" w:eastAsia="Arial" w:hAnsi="Arial"/>
          <w:sz w:val="14"/>
          <w:szCs w:val="14"/>
          <w:color w:val="auto"/>
        </w:rPr>
        <w:t>X</w:t>
      </w:r>
      <w:r>
        <w:rPr>
          <w:rFonts w:ascii="Arial" w:cs="Arial" w:eastAsia="Arial" w:hAnsi="Arial"/>
          <w:sz w:val="19"/>
          <w:szCs w:val="19"/>
          <w:i w:val="1"/>
          <w:iCs w:val="1"/>
          <w:color w:val="auto"/>
          <w:vertAlign w:val="superscript"/>
        </w:rPr>
        <w:t>k</w:t>
      </w:r>
    </w:p>
    <w:p>
      <w:pPr>
        <w:ind w:left="3780"/>
        <w:spacing w:after="0" w:line="206" w:lineRule="auto"/>
        <w:rPr>
          <w:sz w:val="20"/>
          <w:szCs w:val="20"/>
          <w:color w:val="auto"/>
        </w:rPr>
      </w:pPr>
      <w:r>
        <w:rPr>
          <w:rFonts w:ascii="Arial" w:cs="Arial" w:eastAsia="Arial" w:hAnsi="Arial"/>
          <w:sz w:val="48"/>
          <w:szCs w:val="48"/>
          <w:i w:val="1"/>
          <w:iCs w:val="1"/>
          <w:color w:val="auto"/>
          <w:vertAlign w:val="superscript"/>
        </w:rPr>
        <w:t>CV</w:t>
      </w:r>
      <w:r>
        <w:rPr>
          <w:rFonts w:ascii="Arial" w:cs="Arial" w:eastAsia="Arial" w:hAnsi="Arial"/>
          <w:sz w:val="15"/>
          <w:szCs w:val="15"/>
          <w:color w:val="auto"/>
        </w:rPr>
        <w:t>(</w:t>
      </w:r>
      <w:r>
        <w:rPr>
          <w:rFonts w:ascii="Arial" w:cs="Arial" w:eastAsia="Arial" w:hAnsi="Arial"/>
          <w:sz w:val="15"/>
          <w:szCs w:val="15"/>
          <w:i w:val="1"/>
          <w:iCs w:val="1"/>
          <w:color w:val="auto"/>
        </w:rPr>
        <w:t>k</w:t>
      </w:r>
      <w:r>
        <w:rPr>
          <w:rFonts w:ascii="Arial" w:cs="Arial" w:eastAsia="Arial" w:hAnsi="Arial"/>
          <w:sz w:val="15"/>
          <w:szCs w:val="15"/>
          <w:color w:val="auto"/>
        </w:rPr>
        <w:t>)</w:t>
      </w:r>
      <w:r>
        <w:rPr>
          <w:rFonts w:ascii="Arial" w:cs="Arial" w:eastAsia="Arial" w:hAnsi="Arial"/>
          <w:sz w:val="48"/>
          <w:szCs w:val="48"/>
          <w:color w:val="auto"/>
        </w:rPr>
        <w:t xml:space="preserve"> </w:t>
      </w:r>
      <w:r>
        <w:rPr>
          <w:rFonts w:ascii="Arial" w:cs="Arial" w:eastAsia="Arial" w:hAnsi="Arial"/>
          <w:sz w:val="48"/>
          <w:szCs w:val="48"/>
          <w:color w:val="auto"/>
          <w:vertAlign w:val="superscript"/>
        </w:rPr>
        <w:t>=</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bscript"/>
        </w:rPr>
        <w:t>k</w:t>
      </w:r>
      <w:r>
        <w:rPr>
          <w:rFonts w:ascii="Arial" w:cs="Arial" w:eastAsia="Arial" w:hAnsi="Arial"/>
          <w:sz w:val="31"/>
          <w:szCs w:val="31"/>
          <w:i w:val="1"/>
          <w:iCs w:val="1"/>
          <w:color w:val="auto"/>
        </w:rPr>
        <w:t xml:space="preserve"> </w:t>
      </w:r>
      <w:r>
        <w:rPr>
          <w:rFonts w:ascii="Arial" w:cs="Arial" w:eastAsia="Arial" w:hAnsi="Arial"/>
          <w:sz w:val="31"/>
          <w:szCs w:val="31"/>
          <w:i w:val="1"/>
          <w:iCs w:val="1"/>
          <w:color w:val="auto"/>
          <w:vertAlign w:val="subscript"/>
        </w:rPr>
        <w:t>i</w:t>
      </w:r>
      <w:r>
        <w:rPr>
          <w:rFonts w:ascii="Arial" w:cs="Arial" w:eastAsia="Arial" w:hAnsi="Arial"/>
          <w:sz w:val="31"/>
          <w:szCs w:val="31"/>
          <w:color w:val="auto"/>
          <w:vertAlign w:val="subscript"/>
        </w:rPr>
        <w:t>=1</w:t>
      </w:r>
      <w:r>
        <w:rPr>
          <w:rFonts w:ascii="Arial" w:cs="Arial" w:eastAsia="Arial" w:hAnsi="Arial"/>
          <w:sz w:val="48"/>
          <w:szCs w:val="48"/>
          <w:color w:val="auto"/>
        </w:rPr>
        <w:t xml:space="preserve"> </w:t>
      </w:r>
      <w:r>
        <w:rPr>
          <w:rFonts w:ascii="Arial" w:cs="Arial" w:eastAsia="Arial" w:hAnsi="Arial"/>
          <w:sz w:val="48"/>
          <w:szCs w:val="48"/>
          <w:i w:val="1"/>
          <w:iCs w:val="1"/>
          <w:color w:val="auto"/>
          <w:vertAlign w:val="superscript"/>
        </w:rPr>
        <w:t>M 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2971800</wp:posOffset>
                </wp:positionH>
                <wp:positionV relativeFrom="paragraph">
                  <wp:posOffset>-233045</wp:posOffset>
                </wp:positionV>
                <wp:extent cx="81915" cy="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1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4pt,-18.3499pt" to="240.45pt,-18.3499pt" o:allowincell="f" strokecolor="#000000" strokeweight="0.398pt"/>
            </w:pict>
          </mc:Fallback>
        </mc:AlternateContent>
      </w:r>
    </w:p>
    <w:p>
      <w:pPr>
        <w:sectPr>
          <w:pgSz w:w="11900" w:h="16838" w:orient="portrait"/>
          <w:cols w:equalWidth="0" w:num="1">
            <w:col w:w="9380"/>
          </w:cols>
          <w:pgMar w:left="1440" w:top="991" w:right="1086" w:bottom="296" w:gutter="0" w:footer="0" w:header="0"/>
        </w:sectPr>
      </w:pPr>
    </w:p>
    <w:p>
      <w:pPr>
        <w:ind w:left="9060"/>
        <w:spacing w:after="0"/>
        <w:rPr>
          <w:sz w:val="20"/>
          <w:szCs w:val="20"/>
          <w:color w:val="auto"/>
        </w:rPr>
      </w:pPr>
      <w:r>
        <w:rPr>
          <w:rFonts w:ascii="Arial" w:cs="Arial" w:eastAsia="Arial" w:hAnsi="Arial"/>
          <w:sz w:val="24"/>
          <w:szCs w:val="24"/>
          <w:color w:val="auto"/>
        </w:rPr>
        <w:t>48</w:t>
      </w:r>
    </w:p>
    <w:p>
      <w:pPr>
        <w:spacing w:after="0" w:line="200" w:lineRule="exact"/>
        <w:rPr>
          <w:sz w:val="20"/>
          <w:szCs w:val="20"/>
          <w:color w:val="auto"/>
        </w:rPr>
      </w:pPr>
    </w:p>
    <w:p>
      <w:pPr>
        <w:spacing w:after="0" w:line="246" w:lineRule="exact"/>
        <w:rPr>
          <w:sz w:val="20"/>
          <w:szCs w:val="20"/>
          <w:color w:val="auto"/>
        </w:rPr>
      </w:pPr>
    </w:p>
    <w:p>
      <w:pPr>
        <w:jc w:val="both"/>
        <w:ind w:left="260" w:right="60" w:firstLine="856"/>
        <w:spacing w:after="0" w:line="332" w:lineRule="auto"/>
        <w:rPr>
          <w:sz w:val="20"/>
          <w:szCs w:val="20"/>
          <w:color w:val="auto"/>
        </w:rPr>
      </w:pPr>
      <w:r>
        <w:rPr>
          <w:rFonts w:ascii="Arial" w:cs="Arial" w:eastAsia="Arial" w:hAnsi="Arial"/>
          <w:sz w:val="23"/>
          <w:szCs w:val="23"/>
          <w:color w:val="auto"/>
        </w:rPr>
        <w:t>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 (JAMES; WITTEN; HASTIE TREVOR; TIBSHIRANI, 2017).</w:t>
      </w:r>
    </w:p>
    <w:p>
      <w:pPr>
        <w:spacing w:after="0" w:line="83" w:lineRule="exact"/>
        <w:rPr>
          <w:sz w:val="20"/>
          <w:szCs w:val="20"/>
          <w:color w:val="auto"/>
        </w:rPr>
      </w:pPr>
    </w:p>
    <w:p>
      <w:pPr>
        <w:jc w:val="both"/>
        <w:ind w:left="260" w:right="60" w:firstLine="850"/>
        <w:spacing w:after="0" w:line="332" w:lineRule="auto"/>
        <w:rPr>
          <w:sz w:val="20"/>
          <w:szCs w:val="20"/>
          <w:color w:val="auto"/>
        </w:rPr>
      </w:pPr>
      <w:r>
        <w:rPr>
          <w:rFonts w:ascii="Arial" w:cs="Arial" w:eastAsia="Arial" w:hAnsi="Arial"/>
          <w:sz w:val="23"/>
          <w:szCs w:val="23"/>
          <w:color w:val="auto"/>
        </w:rPr>
        <w:t>Entre os métodos de aprendizagem não supervisionada estão o Principal Component Analysis e o Clustering. No método de Clustering, a dinâmica está em dividir o conjunto de dados em subgrupos distintos que contenham homogeneidades entre as observações. Existem as técnicas K-Means, Hierarchical Clustering e Practical Issues in Clustering (JAMES; WITTEN; HASTIE TREVOR; TIBSHIRANI, 2017)</w:t>
      </w:r>
    </w:p>
    <w:p>
      <w:pPr>
        <w:spacing w:after="0" w:line="83" w:lineRule="exact"/>
        <w:rPr>
          <w:sz w:val="20"/>
          <w:szCs w:val="20"/>
          <w:color w:val="auto"/>
        </w:rPr>
      </w:pPr>
    </w:p>
    <w:p>
      <w:pPr>
        <w:ind w:left="260" w:right="20" w:firstLine="850"/>
        <w:spacing w:after="0" w:line="311" w:lineRule="auto"/>
        <w:rPr>
          <w:sz w:val="20"/>
          <w:szCs w:val="20"/>
          <w:color w:val="auto"/>
        </w:rPr>
      </w:pPr>
      <w:r>
        <w:rPr>
          <w:rFonts w:ascii="Arial" w:cs="Arial" w:eastAsia="Arial" w:hAnsi="Arial"/>
          <w:sz w:val="24"/>
          <w:szCs w:val="24"/>
          <w:color w:val="auto"/>
        </w:rPr>
        <w:t>A técnica de aprendizado não supervisionado a ser aplicada será o K-Means, que possui como característica o particionamento do conjunto de dados em k grupos</w:t>
      </w:r>
    </w:p>
    <w:p>
      <w:pPr>
        <w:spacing w:after="0" w:line="2" w:lineRule="exact"/>
        <w:rPr>
          <w:sz w:val="20"/>
          <w:szCs w:val="20"/>
          <w:color w:val="auto"/>
        </w:rPr>
      </w:pPr>
    </w:p>
    <w:p>
      <w:pPr>
        <w:jc w:val="both"/>
        <w:ind w:left="260" w:right="60" w:hanging="28"/>
        <w:spacing w:after="0" w:line="317" w:lineRule="auto"/>
        <w:rPr>
          <w:sz w:val="20"/>
          <w:szCs w:val="20"/>
          <w:color w:val="auto"/>
        </w:rPr>
      </w:pPr>
      <w:r>
        <w:rPr>
          <w:rFonts w:ascii="Arial" w:cs="Arial" w:eastAsia="Arial" w:hAnsi="Arial"/>
          <w:sz w:val="24"/>
          <w:szCs w:val="24"/>
          <w:color w:val="auto"/>
        </w:rPr>
        <w:t>— clusters —, especificados e não sobrepostos, o que implica que cada observação pertence a menos a um grupo e não pertence a nenhum outro grupo. O propósito principal é buscar a mínima variação dentro de cada cluster (JAMES; WITTEN; HASTIE TREVOR; TIBSHIRANI, 2017).</w:t>
      </w:r>
    </w:p>
    <w:p>
      <w:pPr>
        <w:spacing w:after="0" w:line="98" w:lineRule="exact"/>
        <w:rPr>
          <w:sz w:val="20"/>
          <w:szCs w:val="20"/>
          <w:color w:val="auto"/>
        </w:rPr>
      </w:pPr>
    </w:p>
    <w:tbl>
      <w:tblPr>
        <w:tblLayout w:type="fixed"/>
        <w:tblInd w:w="2420" w:type="dxa"/>
        <w:tblCellMar>
          <w:top w:w="0" w:type="dxa"/>
          <w:left w:w="0" w:type="dxa"/>
          <w:bottom w:w="0" w:type="dxa"/>
          <w:right w:w="0" w:type="dxa"/>
        </w:tblCellMar>
      </w:tblPr>
      <w:tr>
        <w:trPr>
          <w:trHeight w:val="184"/>
        </w:trPr>
        <w:tc>
          <w:tcPr>
            <w:tcW w:w="2180" w:type="dxa"/>
            <w:vAlign w:val="bottom"/>
          </w:tcPr>
          <w:p>
            <w:pPr>
              <w:jc w:val="center"/>
              <w:ind w:left="1661"/>
              <w:spacing w:after="0"/>
              <w:rPr>
                <w:sz w:val="20"/>
                <w:szCs w:val="20"/>
                <w:color w:val="auto"/>
              </w:rPr>
            </w:pPr>
            <w:r>
              <w:rPr>
                <w:rFonts w:ascii="Arial" w:cs="Arial" w:eastAsia="Arial" w:hAnsi="Arial"/>
                <w:sz w:val="16"/>
                <w:szCs w:val="16"/>
                <w:i w:val="1"/>
                <w:iCs w:val="1"/>
                <w:color w:val="auto"/>
              </w:rPr>
              <w:t>K</w:t>
            </w:r>
          </w:p>
        </w:tc>
        <w:tc>
          <w:tcPr>
            <w:tcW w:w="360" w:type="dxa"/>
            <w:vAlign w:val="bottom"/>
            <w:gridSpan w:val="2"/>
            <w:vMerge w:val="restart"/>
          </w:tcPr>
          <w:p>
            <w:pPr>
              <w:jc w:val="right"/>
              <w:spacing w:after="0"/>
              <w:rPr>
                <w:sz w:val="20"/>
                <w:szCs w:val="20"/>
                <w:color w:val="auto"/>
              </w:rPr>
            </w:pPr>
            <w:r>
              <w:rPr>
                <w:rFonts w:ascii="Arial" w:cs="Arial" w:eastAsia="Arial" w:hAnsi="Arial"/>
                <w:sz w:val="24"/>
                <w:szCs w:val="24"/>
                <w:color w:val="auto"/>
              </w:rPr>
              <w:t>1</w:t>
            </w:r>
          </w:p>
        </w:tc>
        <w:tc>
          <w:tcPr>
            <w:tcW w:w="6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520" w:type="dxa"/>
            <w:vAlign w:val="bottom"/>
          </w:tcPr>
          <w:p>
            <w:pPr>
              <w:ind w:left="140"/>
              <w:spacing w:after="0"/>
              <w:rPr>
                <w:sz w:val="20"/>
                <w:szCs w:val="20"/>
                <w:color w:val="auto"/>
              </w:rPr>
            </w:pPr>
            <w:r>
              <w:rPr>
                <w:rFonts w:ascii="Arial" w:cs="Arial" w:eastAsia="Arial" w:hAnsi="Arial"/>
                <w:sz w:val="16"/>
                <w:szCs w:val="16"/>
                <w:i w:val="1"/>
                <w:iCs w:val="1"/>
                <w:color w:val="auto"/>
              </w:rPr>
              <w:t>p</w:t>
            </w:r>
          </w:p>
        </w:tc>
        <w:tc>
          <w:tcPr>
            <w:tcW w:w="0" w:type="dxa"/>
            <w:vAlign w:val="bottom"/>
          </w:tcPr>
          <w:p>
            <w:pPr>
              <w:spacing w:after="0"/>
              <w:rPr>
                <w:sz w:val="1"/>
                <w:szCs w:val="1"/>
                <w:color w:val="auto"/>
              </w:rPr>
            </w:pPr>
          </w:p>
        </w:tc>
      </w:tr>
      <w:tr>
        <w:trPr>
          <w:trHeight w:val="163"/>
        </w:trPr>
        <w:tc>
          <w:tcPr>
            <w:tcW w:w="2180" w:type="dxa"/>
            <w:vAlign w:val="bottom"/>
            <w:vMerge w:val="restart"/>
          </w:tcPr>
          <w:p>
            <w:pPr>
              <w:jc w:val="center"/>
              <w:ind w:left="1661"/>
              <w:spacing w:after="0"/>
              <w:rPr>
                <w:sz w:val="20"/>
                <w:szCs w:val="20"/>
                <w:color w:val="auto"/>
              </w:rPr>
            </w:pPr>
            <w:r>
              <w:rPr>
                <w:rFonts w:ascii="Arial" w:cs="Arial" w:eastAsia="Arial" w:hAnsi="Arial"/>
                <w:sz w:val="20"/>
                <w:szCs w:val="20"/>
                <w:color w:val="auto"/>
              </w:rPr>
              <w:t>X</w:t>
            </w:r>
          </w:p>
        </w:tc>
        <w:tc>
          <w:tcPr>
            <w:tcW w:w="360" w:type="dxa"/>
            <w:vAlign w:val="bottom"/>
            <w:gridSpan w:val="2"/>
            <w:vMerge w:val="continue"/>
          </w:tcPr>
          <w:p>
            <w:pPr>
              <w:spacing w:after="0"/>
              <w:rPr>
                <w:sz w:val="14"/>
                <w:szCs w:val="14"/>
                <w:color w:val="auto"/>
              </w:rPr>
            </w:pPr>
          </w:p>
        </w:tc>
        <w:tc>
          <w:tcPr>
            <w:tcW w:w="6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500" w:type="dxa"/>
            <w:vAlign w:val="bottom"/>
            <w:vMerge w:val="restart"/>
          </w:tcPr>
          <w:p>
            <w:pPr>
              <w:ind w:left="160"/>
              <w:spacing w:after="0"/>
              <w:rPr>
                <w:sz w:val="20"/>
                <w:szCs w:val="20"/>
                <w:color w:val="auto"/>
              </w:rPr>
            </w:pPr>
            <w:r>
              <w:rPr>
                <w:rFonts w:ascii="Arial" w:cs="Arial" w:eastAsia="Arial" w:hAnsi="Arial"/>
                <w:sz w:val="20"/>
                <w:szCs w:val="20"/>
                <w:color w:val="auto"/>
              </w:rPr>
              <w:t>X</w:t>
            </w:r>
            <w:r>
              <w:rPr>
                <w:rFonts w:ascii="Arial" w:cs="Arial" w:eastAsia="Arial" w:hAnsi="Arial"/>
                <w:sz w:val="23"/>
                <w:szCs w:val="23"/>
                <w:color w:val="auto"/>
                <w:vertAlign w:val="subscript"/>
              </w:rPr>
              <w:t>0</w:t>
            </w:r>
          </w:p>
        </w:tc>
        <w:tc>
          <w:tcPr>
            <w:tcW w:w="100" w:type="dxa"/>
            <w:vAlign w:val="bottom"/>
          </w:tcPr>
          <w:p>
            <w:pPr>
              <w:spacing w:after="0"/>
              <w:rPr>
                <w:sz w:val="14"/>
                <w:szCs w:val="14"/>
                <w:color w:val="auto"/>
              </w:rPr>
            </w:pPr>
          </w:p>
        </w:tc>
        <w:tc>
          <w:tcPr>
            <w:tcW w:w="1520" w:type="dxa"/>
            <w:vAlign w:val="bottom"/>
            <w:vMerge w:val="restart"/>
          </w:tcPr>
          <w:p>
            <w:pPr>
              <w:ind w:left="40"/>
              <w:spacing w:after="0"/>
              <w:rPr>
                <w:sz w:val="20"/>
                <w:szCs w:val="20"/>
                <w:color w:val="auto"/>
              </w:rPr>
            </w:pPr>
            <w:r>
              <w:rPr>
                <w:rFonts w:ascii="Arial" w:cs="Arial" w:eastAsia="Arial" w:hAnsi="Arial"/>
                <w:sz w:val="20"/>
                <w:szCs w:val="20"/>
                <w:color w:val="auto"/>
              </w:rPr>
              <w:t>X</w:t>
            </w:r>
          </w:p>
        </w:tc>
        <w:tc>
          <w:tcPr>
            <w:tcW w:w="0" w:type="dxa"/>
            <w:vAlign w:val="bottom"/>
          </w:tcPr>
          <w:p>
            <w:pPr>
              <w:spacing w:after="0"/>
              <w:rPr>
                <w:sz w:val="1"/>
                <w:szCs w:val="1"/>
                <w:color w:val="auto"/>
              </w:rPr>
            </w:pPr>
          </w:p>
        </w:tc>
      </w:tr>
      <w:tr>
        <w:trPr>
          <w:trHeight w:val="32"/>
        </w:trPr>
        <w:tc>
          <w:tcPr>
            <w:tcW w:w="218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340" w:type="dxa"/>
            <w:vAlign w:val="bottom"/>
            <w:tcBorders>
              <w:bottom w:val="single" w:sz="8" w:color="auto"/>
            </w:tcBorders>
          </w:tcPr>
          <w:p>
            <w:pPr>
              <w:spacing w:after="0"/>
              <w:rPr>
                <w:sz w:val="2"/>
                <w:szCs w:val="2"/>
                <w:color w:val="auto"/>
              </w:rPr>
            </w:pPr>
          </w:p>
        </w:tc>
        <w:tc>
          <w:tcPr>
            <w:tcW w:w="60" w:type="dxa"/>
            <w:vAlign w:val="bottom"/>
            <w:tcBorders>
              <w:bottom w:val="single" w:sz="8" w:color="auto"/>
            </w:tcBorders>
          </w:tcPr>
          <w:p>
            <w:pPr>
              <w:spacing w:after="0"/>
              <w:rPr>
                <w:sz w:val="2"/>
                <w:szCs w:val="2"/>
                <w:color w:val="auto"/>
              </w:rPr>
            </w:pPr>
          </w:p>
        </w:tc>
        <w:tc>
          <w:tcPr>
            <w:tcW w:w="40" w:type="dxa"/>
            <w:vAlign w:val="bottom"/>
          </w:tcPr>
          <w:p>
            <w:pPr>
              <w:spacing w:after="0"/>
              <w:rPr>
                <w:sz w:val="2"/>
                <w:szCs w:val="2"/>
                <w:color w:val="auto"/>
              </w:rPr>
            </w:pPr>
          </w:p>
        </w:tc>
        <w:tc>
          <w:tcPr>
            <w:tcW w:w="500" w:type="dxa"/>
            <w:vAlign w:val="bottom"/>
            <w:vMerge w:val="continue"/>
          </w:tcPr>
          <w:p>
            <w:pPr>
              <w:spacing w:after="0"/>
              <w:rPr>
                <w:sz w:val="2"/>
                <w:szCs w:val="2"/>
                <w:color w:val="auto"/>
              </w:rPr>
            </w:pPr>
          </w:p>
        </w:tc>
        <w:tc>
          <w:tcPr>
            <w:tcW w:w="100" w:type="dxa"/>
            <w:vAlign w:val="bottom"/>
          </w:tcPr>
          <w:p>
            <w:pPr>
              <w:spacing w:after="0"/>
              <w:rPr>
                <w:sz w:val="2"/>
                <w:szCs w:val="2"/>
                <w:color w:val="auto"/>
              </w:rPr>
            </w:pPr>
          </w:p>
        </w:tc>
        <w:tc>
          <w:tcPr>
            <w:tcW w:w="152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85"/>
        </w:trPr>
        <w:tc>
          <w:tcPr>
            <w:tcW w:w="2180" w:type="dxa"/>
            <w:vAlign w:val="bottom"/>
            <w:vMerge w:val="continue"/>
          </w:tcPr>
          <w:p>
            <w:pPr>
              <w:spacing w:after="0"/>
              <w:rPr>
                <w:sz w:val="7"/>
                <w:szCs w:val="7"/>
                <w:color w:val="auto"/>
              </w:rPr>
            </w:pPr>
          </w:p>
        </w:tc>
        <w:tc>
          <w:tcPr>
            <w:tcW w:w="360" w:type="dxa"/>
            <w:vAlign w:val="bottom"/>
            <w:gridSpan w:val="2"/>
          </w:tcPr>
          <w:p>
            <w:pPr>
              <w:jc w:val="right"/>
              <w:ind w:right="140"/>
              <w:spacing w:after="0" w:line="85" w:lineRule="exact"/>
              <w:rPr>
                <w:sz w:val="20"/>
                <w:szCs w:val="20"/>
                <w:color w:val="auto"/>
              </w:rPr>
            </w:pPr>
            <w:r>
              <w:rPr>
                <w:rFonts w:ascii="Arial" w:cs="Arial" w:eastAsia="Arial" w:hAnsi="Arial"/>
                <w:sz w:val="9"/>
                <w:szCs w:val="9"/>
                <w:color w:val="auto"/>
              </w:rPr>
              <w:t>|</w:t>
            </w:r>
          </w:p>
        </w:tc>
        <w:tc>
          <w:tcPr>
            <w:tcW w:w="100" w:type="dxa"/>
            <w:vAlign w:val="bottom"/>
            <w:gridSpan w:val="2"/>
          </w:tcPr>
          <w:p>
            <w:pPr>
              <w:jc w:val="right"/>
              <w:ind w:right="40"/>
              <w:spacing w:after="0" w:line="85" w:lineRule="exact"/>
              <w:rPr>
                <w:sz w:val="20"/>
                <w:szCs w:val="20"/>
                <w:color w:val="auto"/>
              </w:rPr>
            </w:pPr>
            <w:r>
              <w:rPr>
                <w:rFonts w:ascii="Arial" w:cs="Arial" w:eastAsia="Arial" w:hAnsi="Arial"/>
                <w:sz w:val="9"/>
                <w:szCs w:val="9"/>
                <w:color w:val="auto"/>
              </w:rPr>
              <w:t>|</w:t>
            </w:r>
          </w:p>
        </w:tc>
        <w:tc>
          <w:tcPr>
            <w:tcW w:w="500" w:type="dxa"/>
            <w:vAlign w:val="bottom"/>
            <w:vMerge w:val="continue"/>
          </w:tcPr>
          <w:p>
            <w:pPr>
              <w:spacing w:after="0"/>
              <w:rPr>
                <w:sz w:val="7"/>
                <w:szCs w:val="7"/>
                <w:color w:val="auto"/>
              </w:rPr>
            </w:pPr>
          </w:p>
        </w:tc>
        <w:tc>
          <w:tcPr>
            <w:tcW w:w="100" w:type="dxa"/>
            <w:vAlign w:val="bottom"/>
          </w:tcPr>
          <w:p>
            <w:pPr>
              <w:spacing w:after="0" w:line="86" w:lineRule="exact"/>
              <w:rPr>
                <w:sz w:val="20"/>
                <w:szCs w:val="20"/>
                <w:color w:val="auto"/>
              </w:rPr>
            </w:pPr>
            <w:r>
              <w:rPr>
                <w:rFonts w:ascii="Arial" w:cs="Arial" w:eastAsia="Arial" w:hAnsi="Arial"/>
                <w:sz w:val="8"/>
                <w:szCs w:val="8"/>
                <w:i w:val="1"/>
                <w:iCs w:val="1"/>
                <w:color w:val="auto"/>
              </w:rPr>
              <w:t>k</w:t>
            </w:r>
          </w:p>
        </w:tc>
        <w:tc>
          <w:tcPr>
            <w:tcW w:w="15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638"/>
        </w:trPr>
        <w:tc>
          <w:tcPr>
            <w:tcW w:w="2180" w:type="dxa"/>
            <w:vAlign w:val="bottom"/>
          </w:tcPr>
          <w:p>
            <w:pPr>
              <w:spacing w:after="0" w:line="483" w:lineRule="exact"/>
              <w:rPr>
                <w:sz w:val="20"/>
                <w:szCs w:val="20"/>
                <w:color w:val="auto"/>
              </w:rPr>
            </w:pPr>
            <w:r>
              <w:rPr>
                <w:rFonts w:ascii="Arial" w:cs="Arial" w:eastAsia="Arial" w:hAnsi="Arial"/>
                <w:sz w:val="48"/>
                <w:szCs w:val="48"/>
                <w:i w:val="1"/>
                <w:iCs w:val="1"/>
                <w:color w:val="auto"/>
                <w:w w:val="86"/>
                <w:vertAlign w:val="superscript"/>
              </w:rPr>
              <w:t>minimizar</w:t>
            </w:r>
            <w:r>
              <w:rPr>
                <w:rFonts w:ascii="Arial" w:cs="Arial" w:eastAsia="Arial" w:hAnsi="Arial"/>
                <w:sz w:val="31"/>
                <w:szCs w:val="31"/>
                <w:i w:val="1"/>
                <w:iCs w:val="1"/>
                <w:color w:val="auto"/>
                <w:w w:val="86"/>
                <w:vertAlign w:val="superscript"/>
              </w:rPr>
              <w:t>C</w:t>
            </w:r>
            <w:r>
              <w:rPr>
                <w:rFonts w:ascii="Arial" w:cs="Arial" w:eastAsia="Arial" w:hAnsi="Arial"/>
                <w:sz w:val="11"/>
                <w:szCs w:val="11"/>
                <w:color w:val="auto"/>
                <w:w w:val="86"/>
              </w:rPr>
              <w:t>1</w:t>
            </w:r>
            <w:r>
              <w:rPr>
                <w:rFonts w:ascii="Arial" w:cs="Arial" w:eastAsia="Arial" w:hAnsi="Arial"/>
                <w:sz w:val="31"/>
                <w:szCs w:val="31"/>
                <w:i w:val="1"/>
                <w:iCs w:val="1"/>
                <w:color w:val="auto"/>
                <w:w w:val="86"/>
                <w:vertAlign w:val="superscript"/>
              </w:rPr>
              <w:t>,...,C</w:t>
            </w:r>
            <w:r>
              <w:rPr>
                <w:rFonts w:ascii="Arial" w:cs="Arial" w:eastAsia="Arial" w:hAnsi="Arial"/>
                <w:sz w:val="11"/>
                <w:szCs w:val="11"/>
                <w:i w:val="1"/>
                <w:iCs w:val="1"/>
                <w:color w:val="auto"/>
                <w:w w:val="86"/>
              </w:rPr>
              <w:t>k</w:t>
            </w:r>
            <w:r>
              <w:rPr>
                <w:rFonts w:ascii="Arial" w:cs="Arial" w:eastAsia="Arial" w:hAnsi="Arial"/>
                <w:sz w:val="31"/>
                <w:szCs w:val="31"/>
                <w:i w:val="1"/>
                <w:iCs w:val="1"/>
                <w:color w:val="auto"/>
                <w:w w:val="86"/>
              </w:rPr>
              <w:t xml:space="preserve"> </w:t>
            </w:r>
            <w:r>
              <w:rPr>
                <w:rFonts w:ascii="Arial" w:cs="Arial" w:eastAsia="Arial" w:hAnsi="Arial"/>
                <w:sz w:val="31"/>
                <w:szCs w:val="31"/>
                <w:i w:val="1"/>
                <w:iCs w:val="1"/>
                <w:color w:val="auto"/>
                <w:w w:val="86"/>
                <w:vertAlign w:val="subscript"/>
              </w:rPr>
              <w:t>k</w:t>
            </w:r>
            <w:r>
              <w:rPr>
                <w:rFonts w:ascii="Arial" w:cs="Arial" w:eastAsia="Arial" w:hAnsi="Arial"/>
                <w:sz w:val="31"/>
                <w:szCs w:val="31"/>
                <w:color w:val="auto"/>
                <w:w w:val="86"/>
                <w:vertAlign w:val="subscript"/>
              </w:rPr>
              <w:t>=1</w:t>
            </w:r>
          </w:p>
        </w:tc>
        <w:tc>
          <w:tcPr>
            <w:tcW w:w="20" w:type="dxa"/>
            <w:vAlign w:val="bottom"/>
          </w:tcPr>
          <w:p>
            <w:pPr>
              <w:spacing w:after="0"/>
              <w:rPr>
                <w:sz w:val="24"/>
                <w:szCs w:val="24"/>
                <w:color w:val="auto"/>
              </w:rPr>
            </w:pPr>
          </w:p>
        </w:tc>
        <w:tc>
          <w:tcPr>
            <w:tcW w:w="340" w:type="dxa"/>
            <w:vAlign w:val="bottom"/>
          </w:tcPr>
          <w:p>
            <w:pPr>
              <w:jc w:val="center"/>
              <w:spacing w:after="0" w:line="323" w:lineRule="exact"/>
              <w:rPr>
                <w:sz w:val="20"/>
                <w:szCs w:val="20"/>
                <w:color w:val="auto"/>
              </w:rPr>
            </w:pPr>
            <w:r>
              <w:rPr>
                <w:rFonts w:ascii="Arial" w:cs="Arial" w:eastAsia="Arial" w:hAnsi="Arial"/>
                <w:sz w:val="24"/>
                <w:szCs w:val="24"/>
                <w:i w:val="1"/>
                <w:iCs w:val="1"/>
                <w:color w:val="auto"/>
                <w:w w:val="86"/>
              </w:rPr>
              <w:t>C</w:t>
            </w:r>
            <w:r>
              <w:rPr>
                <w:rFonts w:ascii="Arial" w:cs="Arial" w:eastAsia="Arial" w:hAnsi="Arial"/>
                <w:sz w:val="31"/>
                <w:szCs w:val="31"/>
                <w:i w:val="1"/>
                <w:iCs w:val="1"/>
                <w:color w:val="auto"/>
                <w:w w:val="86"/>
                <w:vertAlign w:val="subscript"/>
              </w:rPr>
              <w:t>k</w:t>
            </w:r>
          </w:p>
        </w:tc>
        <w:tc>
          <w:tcPr>
            <w:tcW w:w="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00" w:type="dxa"/>
            <w:vAlign w:val="bottom"/>
          </w:tcPr>
          <w:p>
            <w:pPr>
              <w:ind w:left="40"/>
              <w:spacing w:after="0"/>
              <w:rPr>
                <w:sz w:val="20"/>
                <w:szCs w:val="20"/>
                <w:color w:val="auto"/>
              </w:rPr>
            </w:pPr>
            <w:r>
              <w:rPr>
                <w:rFonts w:ascii="Arial" w:cs="Arial" w:eastAsia="Arial" w:hAnsi="Arial"/>
                <w:sz w:val="16"/>
                <w:szCs w:val="16"/>
                <w:i w:val="1"/>
                <w:iCs w:val="1"/>
                <w:color w:val="auto"/>
              </w:rPr>
              <w:t>i,i EC</w:t>
            </w:r>
          </w:p>
        </w:tc>
        <w:tc>
          <w:tcPr>
            <w:tcW w:w="100" w:type="dxa"/>
            <w:vAlign w:val="bottom"/>
          </w:tcPr>
          <w:p>
            <w:pPr>
              <w:spacing w:after="0"/>
              <w:rPr>
                <w:sz w:val="24"/>
                <w:szCs w:val="24"/>
                <w:color w:val="auto"/>
              </w:rPr>
            </w:pPr>
          </w:p>
        </w:tc>
        <w:tc>
          <w:tcPr>
            <w:tcW w:w="1520" w:type="dxa"/>
            <w:vAlign w:val="bottom"/>
          </w:tcPr>
          <w:p>
            <w:pPr>
              <w:ind w:left="40"/>
              <w:spacing w:after="0"/>
              <w:rPr>
                <w:sz w:val="20"/>
                <w:szCs w:val="20"/>
                <w:color w:val="auto"/>
              </w:rPr>
            </w:pPr>
            <w:r>
              <w:rPr>
                <w:rFonts w:ascii="Arial" w:cs="Arial" w:eastAsia="Arial" w:hAnsi="Arial"/>
                <w:sz w:val="32"/>
                <w:szCs w:val="32"/>
                <w:i w:val="1"/>
                <w:iCs w:val="1"/>
                <w:color w:val="auto"/>
                <w:w w:val="88"/>
                <w:vertAlign w:val="subscript"/>
              </w:rPr>
              <w:t>j</w:t>
            </w:r>
            <w:r>
              <w:rPr>
                <w:rFonts w:ascii="Arial" w:cs="Arial" w:eastAsia="Arial" w:hAnsi="Arial"/>
                <w:sz w:val="31"/>
                <w:szCs w:val="31"/>
                <w:color w:val="auto"/>
                <w:w w:val="88"/>
                <w:vertAlign w:val="subscript"/>
              </w:rPr>
              <w:t>=1</w:t>
            </w:r>
            <w:r>
              <w:rPr>
                <w:rFonts w:ascii="Arial" w:cs="Arial" w:eastAsia="Arial" w:hAnsi="Arial"/>
                <w:sz w:val="47"/>
                <w:szCs w:val="47"/>
                <w:color w:val="auto"/>
                <w:w w:val="88"/>
                <w:vertAlign w:val="superscript"/>
              </w:rPr>
              <w:t>(</w:t>
            </w:r>
            <w:r>
              <w:rPr>
                <w:rFonts w:ascii="Arial" w:cs="Arial" w:eastAsia="Arial" w:hAnsi="Arial"/>
                <w:sz w:val="47"/>
                <w:szCs w:val="47"/>
                <w:i w:val="1"/>
                <w:iCs w:val="1"/>
                <w:color w:val="auto"/>
                <w:w w:val="88"/>
                <w:vertAlign w:val="superscript"/>
              </w:rPr>
              <w:t>x</w:t>
            </w:r>
            <w:r>
              <w:rPr>
                <w:rFonts w:ascii="Arial" w:cs="Arial" w:eastAsia="Arial" w:hAnsi="Arial"/>
                <w:sz w:val="15"/>
                <w:szCs w:val="15"/>
                <w:i w:val="1"/>
                <w:iCs w:val="1"/>
                <w:color w:val="auto"/>
                <w:w w:val="88"/>
              </w:rPr>
              <w:t>ij</w:t>
            </w:r>
            <w:r>
              <w:rPr>
                <w:rFonts w:ascii="Arial" w:cs="Arial" w:eastAsia="Arial" w:hAnsi="Arial"/>
                <w:sz w:val="47"/>
                <w:szCs w:val="47"/>
                <w:color w:val="auto"/>
                <w:w w:val="88"/>
              </w:rPr>
              <w:t xml:space="preserve"> </w:t>
            </w:r>
            <w:r>
              <w:rPr>
                <w:rFonts w:ascii="Arial" w:cs="Arial" w:eastAsia="Arial" w:hAnsi="Arial"/>
                <w:sz w:val="47"/>
                <w:szCs w:val="47"/>
                <w:color w:val="auto"/>
                <w:w w:val="88"/>
                <w:vertAlign w:val="superscript"/>
              </w:rPr>
              <w:t>−</w:t>
            </w:r>
            <w:r>
              <w:rPr>
                <w:rFonts w:ascii="Arial" w:cs="Arial" w:eastAsia="Arial" w:hAnsi="Arial"/>
                <w:sz w:val="47"/>
                <w:szCs w:val="47"/>
                <w:color w:val="auto"/>
                <w:w w:val="88"/>
              </w:rPr>
              <w:t xml:space="preserve"> </w:t>
            </w:r>
            <w:r>
              <w:rPr>
                <w:rFonts w:ascii="Arial" w:cs="Arial" w:eastAsia="Arial" w:hAnsi="Arial"/>
                <w:sz w:val="47"/>
                <w:szCs w:val="47"/>
                <w:i w:val="1"/>
                <w:iCs w:val="1"/>
                <w:color w:val="auto"/>
                <w:w w:val="88"/>
                <w:vertAlign w:val="superscript"/>
              </w:rPr>
              <w:t>x</w:t>
            </w:r>
            <w:r>
              <w:rPr>
                <w:rFonts w:ascii="Arial" w:cs="Arial" w:eastAsia="Arial" w:hAnsi="Arial"/>
                <w:sz w:val="15"/>
                <w:szCs w:val="15"/>
                <w:i w:val="1"/>
                <w:iCs w:val="1"/>
                <w:color w:val="auto"/>
                <w:w w:val="88"/>
              </w:rPr>
              <w:t>i</w:t>
            </w:r>
            <w:r>
              <w:rPr>
                <w:rFonts w:ascii="Arial" w:cs="Arial" w:eastAsia="Arial" w:hAnsi="Arial"/>
                <w:sz w:val="23"/>
                <w:szCs w:val="23"/>
                <w:color w:val="auto"/>
                <w:w w:val="88"/>
                <w:vertAlign w:val="superscript"/>
              </w:rPr>
              <w:t>0</w:t>
            </w:r>
            <w:r>
              <w:rPr>
                <w:rFonts w:ascii="Arial" w:cs="Arial" w:eastAsia="Arial" w:hAnsi="Arial"/>
                <w:sz w:val="15"/>
                <w:szCs w:val="15"/>
                <w:color w:val="auto"/>
                <w:w w:val="88"/>
              </w:rPr>
              <w:t xml:space="preserve"> </w:t>
            </w:r>
            <w:r>
              <w:rPr>
                <w:rFonts w:ascii="Arial" w:cs="Arial" w:eastAsia="Arial" w:hAnsi="Arial"/>
                <w:sz w:val="15"/>
                <w:szCs w:val="15"/>
                <w:i w:val="1"/>
                <w:iCs w:val="1"/>
                <w:color w:val="auto"/>
                <w:w w:val="88"/>
              </w:rPr>
              <w:t>j</w:t>
            </w:r>
            <w:r>
              <w:rPr>
                <w:rFonts w:ascii="Arial" w:cs="Arial" w:eastAsia="Arial" w:hAnsi="Arial"/>
                <w:sz w:val="47"/>
                <w:szCs w:val="47"/>
                <w:color w:val="auto"/>
                <w:w w:val="88"/>
                <w:vertAlign w:val="superscript"/>
              </w:rPr>
              <w:t>)</w:t>
            </w:r>
            <w:r>
              <w:rPr>
                <w:rFonts w:ascii="Arial" w:cs="Arial" w:eastAsia="Arial" w:hAnsi="Arial"/>
                <w:sz w:val="32"/>
                <w:szCs w:val="32"/>
                <w:color w:val="auto"/>
                <w:w w:val="88"/>
                <w:vertAlign w:val="superscript"/>
              </w:rPr>
              <w:t>2</w:t>
            </w:r>
          </w:p>
        </w:tc>
        <w:tc>
          <w:tcPr>
            <w:tcW w:w="0" w:type="dxa"/>
            <w:vAlign w:val="bottom"/>
          </w:tcPr>
          <w:p>
            <w:pPr>
              <w:spacing w:after="0"/>
              <w:rPr>
                <w:sz w:val="1"/>
                <w:szCs w:val="1"/>
                <w:color w:val="auto"/>
              </w:rPr>
            </w:pPr>
          </w:p>
        </w:tc>
      </w:tr>
    </w:tbl>
    <w:p>
      <w:pPr>
        <w:jc w:val="both"/>
        <w:ind w:left="260" w:firstLine="850"/>
        <w:spacing w:after="0" w:line="305" w:lineRule="auto"/>
        <w:rPr>
          <w:sz w:val="20"/>
          <w:szCs w:val="20"/>
          <w:color w:val="auto"/>
        </w:rPr>
      </w:pPr>
      <w:r>
        <w:rPr>
          <w:rFonts w:ascii="Arial" w:cs="Arial" w:eastAsia="Arial" w:hAnsi="Arial"/>
          <w:sz w:val="24"/>
          <w:szCs w:val="24"/>
          <w:color w:val="auto"/>
        </w:rPr>
        <w:t>Este capítulo buscou demonstrar os principais conceitos e procedimentos metodológicos a serem seguidos para realização das análises dos objetivos propostos. No próximo capítulo se buscará aplicar os conceitos procedimentos propostos, de forma analítica e crítica, com flexibilidade diante observações na fase de exploração, tratamento e análise dos conjuntos de dados, podendo gerar novas abstrações a serem incorporadas.</w:t>
      </w:r>
    </w:p>
    <w:p>
      <w:pPr>
        <w:sectPr>
          <w:pgSz w:w="11900" w:h="16838" w:orient="portrait"/>
          <w:cols w:equalWidth="0" w:num="1">
            <w:col w:w="9380"/>
          </w:cols>
          <w:pgMar w:left="1440" w:top="991" w:right="1086" w:bottom="1440" w:gutter="0" w:footer="0" w:header="0"/>
        </w:sectPr>
      </w:pPr>
    </w:p>
    <w:p>
      <w:pPr>
        <w:jc w:val="right"/>
        <w:spacing w:after="0"/>
        <w:rPr>
          <w:sz w:val="20"/>
          <w:szCs w:val="20"/>
          <w:color w:val="auto"/>
        </w:rPr>
      </w:pPr>
      <w:r>
        <w:rPr>
          <w:rFonts w:ascii="Arial" w:cs="Arial" w:eastAsia="Arial" w:hAnsi="Arial"/>
          <w:sz w:val="20"/>
          <w:szCs w:val="20"/>
          <w:color w:val="auto"/>
        </w:rPr>
        <w:t>49</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4 APRESENTAÇÃO E ANÁLISE DOS RESULTADOS</w:t>
      </w:r>
    </w:p>
    <w:p>
      <w:pPr>
        <w:sectPr>
          <w:pgSz w:w="11900" w:h="16838" w:orient="portrait"/>
          <w:cols w:equalWidth="0" w:num="1">
            <w:col w:w="9320"/>
          </w:cols>
          <w:pgMar w:left="1440" w:top="1028" w:right="1146" w:bottom="1440" w:gutter="0" w:footer="0" w:header="0"/>
        </w:sectPr>
      </w:pPr>
    </w:p>
    <w:p>
      <w:pPr>
        <w:jc w:val="right"/>
        <w:spacing w:after="0"/>
        <w:rPr>
          <w:sz w:val="20"/>
          <w:szCs w:val="20"/>
          <w:color w:val="auto"/>
        </w:rPr>
      </w:pPr>
      <w:r>
        <w:rPr>
          <w:rFonts w:ascii="Arial" w:cs="Arial" w:eastAsia="Arial" w:hAnsi="Arial"/>
          <w:sz w:val="20"/>
          <w:szCs w:val="20"/>
          <w:color w:val="auto"/>
        </w:rPr>
        <w:t>50</w:t>
      </w: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5 RESULTADOS</w:t>
      </w:r>
    </w:p>
    <w:p>
      <w:pPr>
        <w:sectPr>
          <w:pgSz w:w="11900" w:h="16838" w:orient="portrait"/>
          <w:cols w:equalWidth="0" w:num="1">
            <w:col w:w="9320"/>
          </w:cols>
          <w:pgMar w:left="1440" w:top="1028" w:right="1146" w:bottom="1440" w:gutter="0" w:footer="0" w:header="0"/>
        </w:sectPr>
      </w:pPr>
    </w:p>
    <w:p>
      <w:pPr>
        <w:jc w:val="right"/>
        <w:spacing w:after="0"/>
        <w:rPr>
          <w:sz w:val="20"/>
          <w:szCs w:val="20"/>
          <w:color w:val="auto"/>
        </w:rPr>
      </w:pPr>
      <w:r>
        <w:rPr>
          <w:rFonts w:ascii="Arial" w:cs="Arial" w:eastAsia="Arial" w:hAnsi="Arial"/>
          <w:sz w:val="20"/>
          <w:szCs w:val="20"/>
          <w:color w:val="auto"/>
        </w:rPr>
        <w:t>51</w:t>
      </w:r>
    </w:p>
    <w:p>
      <w:pPr>
        <w:spacing w:after="0" w:line="200" w:lineRule="exact"/>
        <w:rPr>
          <w:sz w:val="20"/>
          <w:szCs w:val="20"/>
          <w:color w:val="auto"/>
        </w:rPr>
      </w:pPr>
    </w:p>
    <w:p>
      <w:pPr>
        <w:spacing w:after="0" w:line="255" w:lineRule="exact"/>
        <w:rPr>
          <w:sz w:val="20"/>
          <w:szCs w:val="20"/>
          <w:color w:val="auto"/>
        </w:rPr>
      </w:pPr>
    </w:p>
    <w:p>
      <w:pPr>
        <w:jc w:val="center"/>
        <w:ind w:right="-259"/>
        <w:spacing w:after="0"/>
        <w:rPr>
          <w:sz w:val="20"/>
          <w:szCs w:val="20"/>
          <w:color w:val="auto"/>
        </w:rPr>
      </w:pPr>
      <w:r>
        <w:rPr>
          <w:rFonts w:ascii="Arial" w:cs="Arial" w:eastAsia="Arial" w:hAnsi="Arial"/>
          <w:sz w:val="23"/>
          <w:szCs w:val="23"/>
          <w:b w:val="1"/>
          <w:bCs w:val="1"/>
          <w:color w:val="auto"/>
        </w:rPr>
        <w:t>CONSIDERAÇÕES FINAIS</w:t>
      </w:r>
    </w:p>
    <w:p>
      <w:pPr>
        <w:sectPr>
          <w:pgSz w:w="11900" w:h="16838" w:orient="portrait"/>
          <w:cols w:equalWidth="0" w:num="1">
            <w:col w:w="9320"/>
          </w:cols>
          <w:pgMar w:left="1440" w:top="1028" w:right="1146" w:bottom="1440" w:gutter="0" w:footer="0" w:header="0"/>
        </w:sectPr>
      </w:pPr>
    </w:p>
    <w:p>
      <w:pPr>
        <w:ind w:left="9100"/>
        <w:spacing w:after="0"/>
        <w:rPr>
          <w:sz w:val="20"/>
          <w:szCs w:val="20"/>
          <w:color w:val="auto"/>
        </w:rPr>
      </w:pPr>
      <w:r>
        <w:rPr>
          <w:rFonts w:ascii="Arial" w:cs="Arial" w:eastAsia="Arial" w:hAnsi="Arial"/>
          <w:sz w:val="20"/>
          <w:szCs w:val="20"/>
          <w:color w:val="auto"/>
        </w:rPr>
        <w:t>52</w:t>
      </w:r>
    </w:p>
    <w:p>
      <w:pPr>
        <w:spacing w:after="0" w:line="200" w:lineRule="exact"/>
        <w:rPr>
          <w:sz w:val="20"/>
          <w:szCs w:val="20"/>
          <w:color w:val="auto"/>
        </w:rPr>
      </w:pPr>
    </w:p>
    <w:p>
      <w:pPr>
        <w:spacing w:after="0" w:line="255" w:lineRule="exact"/>
        <w:rPr>
          <w:sz w:val="20"/>
          <w:szCs w:val="20"/>
          <w:color w:val="auto"/>
        </w:rPr>
      </w:pPr>
    </w:p>
    <w:p>
      <w:pPr>
        <w:jc w:val="center"/>
        <w:ind w:right="-219"/>
        <w:spacing w:after="0"/>
        <w:rPr>
          <w:sz w:val="20"/>
          <w:szCs w:val="20"/>
          <w:color w:val="auto"/>
        </w:rPr>
      </w:pPr>
      <w:r>
        <w:rPr>
          <w:rFonts w:ascii="Arial" w:cs="Arial" w:eastAsia="Arial" w:hAnsi="Arial"/>
          <w:sz w:val="24"/>
          <w:szCs w:val="24"/>
          <w:b w:val="1"/>
          <w:bCs w:val="1"/>
          <w:color w:val="auto"/>
        </w:rPr>
        <w:t>REFERÊNCIAS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260"/>
        <w:spacing w:after="0"/>
        <w:rPr>
          <w:sz w:val="20"/>
          <w:szCs w:val="20"/>
          <w:color w:val="auto"/>
        </w:rPr>
      </w:pPr>
      <w:r>
        <w:rPr>
          <w:rFonts w:ascii="Arial" w:cs="Arial" w:eastAsia="Arial" w:hAnsi="Arial"/>
          <w:sz w:val="23"/>
          <w:szCs w:val="23"/>
          <w:color w:val="auto"/>
        </w:rPr>
        <w:t xml:space="preserve">ALMEIDA, F. D. </w:t>
      </w:r>
      <w:r>
        <w:rPr>
          <w:rFonts w:ascii="Arial" w:cs="Arial" w:eastAsia="Arial" w:hAnsi="Arial"/>
          <w:sz w:val="23"/>
          <w:szCs w:val="23"/>
          <w:b w:val="1"/>
          <w:bCs w:val="1"/>
          <w:color w:val="auto"/>
        </w:rPr>
        <w:t>Determinantes do spread bancário ex-post no Brasil: uma análise</w:t>
      </w:r>
    </w:p>
    <w:p>
      <w:pPr>
        <w:spacing w:after="0" w:line="94"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de fatores micro e macroeconômic</w:t>
      </w:r>
      <w:r>
        <w:rPr>
          <w:rFonts w:ascii="Arial" w:cs="Arial" w:eastAsia="Arial" w:hAnsi="Arial"/>
          <w:sz w:val="24"/>
          <w:szCs w:val="24"/>
          <w:color w:val="auto"/>
        </w:rPr>
        <w:t>. Brasíli: Universidade Católica de Brasíl, 2013.</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Citado 1 vez na página 31.</w:t>
      </w:r>
    </w:p>
    <w:p>
      <w:pPr>
        <w:spacing w:after="0" w:line="179" w:lineRule="exact"/>
        <w:rPr>
          <w:sz w:val="20"/>
          <w:szCs w:val="20"/>
          <w:color w:val="auto"/>
        </w:rPr>
      </w:pPr>
    </w:p>
    <w:p>
      <w:pPr>
        <w:ind w:left="260" w:right="280" w:firstLine="7"/>
        <w:spacing w:after="0" w:line="319" w:lineRule="auto"/>
        <w:rPr>
          <w:sz w:val="20"/>
          <w:szCs w:val="20"/>
          <w:color w:val="auto"/>
        </w:rPr>
      </w:pPr>
      <w:r>
        <w:rPr>
          <w:rFonts w:ascii="Arial" w:cs="Arial" w:eastAsia="Arial" w:hAnsi="Arial"/>
          <w:sz w:val="24"/>
          <w:szCs w:val="24"/>
          <w:color w:val="auto"/>
        </w:rPr>
        <w:t xml:space="preserve">ARONOVICH, Selmo. Uma nota sobre os efeitos da inflação e do nível de atividade sobre o spread bancário. </w:t>
      </w:r>
      <w:r>
        <w:rPr>
          <w:rFonts w:ascii="Arial" w:cs="Arial" w:eastAsia="Arial" w:hAnsi="Arial"/>
          <w:sz w:val="24"/>
          <w:szCs w:val="24"/>
          <w:b w:val="1"/>
          <w:bCs w:val="1"/>
          <w:color w:val="auto"/>
        </w:rPr>
        <w:t>Revista Brasileira de Economia</w:t>
      </w:r>
      <w:r>
        <w:rPr>
          <w:rFonts w:ascii="Arial" w:cs="Arial" w:eastAsia="Arial" w:hAnsi="Arial"/>
          <w:sz w:val="24"/>
          <w:szCs w:val="24"/>
          <w:color w:val="auto"/>
        </w:rPr>
        <w:t>, v. 48, n. 1, p. 125–40, 1994. Citado 1 vez na página 30.</w:t>
      </w:r>
    </w:p>
    <w:p>
      <w:pPr>
        <w:spacing w:after="0" w:line="71"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ASSAF NETO, Alexandre. </w:t>
      </w:r>
      <w:r>
        <w:rPr>
          <w:rFonts w:ascii="Arial" w:cs="Arial" w:eastAsia="Arial" w:hAnsi="Arial"/>
          <w:sz w:val="24"/>
          <w:szCs w:val="24"/>
          <w:b w:val="1"/>
          <w:bCs w:val="1"/>
          <w:color w:val="auto"/>
        </w:rPr>
        <w:t>Finanças corporativas e valor</w:t>
      </w:r>
      <w:r>
        <w:rPr>
          <w:rFonts w:ascii="Arial" w:cs="Arial" w:eastAsia="Arial" w:hAnsi="Arial"/>
          <w:sz w:val="24"/>
          <w:szCs w:val="24"/>
          <w:color w:val="auto"/>
        </w:rPr>
        <w:t>. São Paulo: Atlas, 2020.</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Citado 9 vezes nas páginas 20–22.</w:t>
      </w:r>
    </w:p>
    <w:p>
      <w:pPr>
        <w:spacing w:after="0" w:line="178" w:lineRule="exact"/>
        <w:rPr>
          <w:sz w:val="20"/>
          <w:szCs w:val="20"/>
          <w:color w:val="auto"/>
        </w:rPr>
      </w:pPr>
    </w:p>
    <w:p>
      <w:pPr>
        <w:ind w:left="260" w:right="20"/>
        <w:spacing w:after="0" w:line="328" w:lineRule="auto"/>
        <w:rPr>
          <w:sz w:val="20"/>
          <w:szCs w:val="20"/>
          <w:color w:val="auto"/>
        </w:rPr>
      </w:pPr>
      <w:r>
        <w:rPr>
          <w:rFonts w:ascii="Arial" w:cs="Arial" w:eastAsia="Arial" w:hAnsi="Arial"/>
          <w:sz w:val="24"/>
          <w:szCs w:val="24"/>
          <w:color w:val="auto"/>
        </w:rPr>
        <w:t xml:space="preserve">BACEN. </w:t>
      </w:r>
      <w:r>
        <w:rPr>
          <w:rFonts w:ascii="Arial" w:cs="Arial" w:eastAsia="Arial" w:hAnsi="Arial"/>
          <w:sz w:val="24"/>
          <w:szCs w:val="24"/>
          <w:b w:val="1"/>
          <w:bCs w:val="1"/>
          <w:color w:val="auto"/>
        </w:rPr>
        <w:t>Juros e Spread Bancário</w:t>
      </w:r>
      <w:r>
        <w:rPr>
          <w:rFonts w:ascii="Arial" w:cs="Arial" w:eastAsia="Arial" w:hAnsi="Arial"/>
          <w:sz w:val="24"/>
          <w:szCs w:val="24"/>
          <w:color w:val="auto"/>
        </w:rPr>
        <w:t>. Brasília, 2016. Citado 3 vezes nas páginas 25, 26, 28.</w:t>
      </w:r>
    </w:p>
    <w:p>
      <w:pPr>
        <w:spacing w:after="0" w:line="59" w:lineRule="exact"/>
        <w:rPr>
          <w:sz w:val="20"/>
          <w:szCs w:val="20"/>
          <w:color w:val="auto"/>
        </w:rPr>
      </w:pPr>
    </w:p>
    <w:p>
      <w:pPr>
        <w:ind w:left="240" w:right="20" w:firstLine="975"/>
        <w:spacing w:after="0" w:line="319" w:lineRule="auto"/>
        <w:tabs>
          <w:tab w:leader="none" w:pos="1357" w:val="left"/>
        </w:tabs>
        <w:numPr>
          <w:ilvl w:val="0"/>
          <w:numId w:val="24"/>
        </w:numPr>
        <w:rPr>
          <w:rFonts w:ascii="Arial" w:cs="Arial" w:eastAsia="Arial" w:hAnsi="Arial"/>
          <w:sz w:val="24"/>
          <w:szCs w:val="24"/>
          <w:color w:val="auto"/>
        </w:rPr>
      </w:pPr>
      <w:r>
        <w:rPr>
          <w:rFonts w:ascii="Arial" w:cs="Arial" w:eastAsia="Arial" w:hAnsi="Arial"/>
          <w:sz w:val="24"/>
          <w:szCs w:val="24"/>
          <w:b w:val="1"/>
          <w:bCs w:val="1"/>
          <w:color w:val="auto"/>
        </w:rPr>
        <w:t>Juros e Spread Bancário no Brasil</w:t>
      </w:r>
      <w:r>
        <w:rPr>
          <w:rFonts w:ascii="Arial" w:cs="Arial" w:eastAsia="Arial" w:hAnsi="Arial"/>
          <w:sz w:val="24"/>
          <w:szCs w:val="24"/>
          <w:color w:val="auto"/>
        </w:rPr>
        <w:t xml:space="preserve">. Brasília, 2000. Disponível em: </w:t>
      </w:r>
      <w:hyperlink r:id="rId27">
        <w:r>
          <w:rPr>
            <w:rFonts w:ascii="Arial" w:cs="Arial" w:eastAsia="Arial" w:hAnsi="Arial"/>
            <w:sz w:val="24"/>
            <w:szCs w:val="24"/>
            <w:color w:val="auto"/>
          </w:rPr>
          <w:t xml:space="preserve">&lt;https://www.bcb.gov.br/ftp/jurospread112000.pdf&gt;. </w:t>
        </w:r>
      </w:hyperlink>
      <w:r>
        <w:rPr>
          <w:rFonts w:ascii="Arial" w:cs="Arial" w:eastAsia="Arial" w:hAnsi="Arial"/>
          <w:sz w:val="24"/>
          <w:szCs w:val="24"/>
          <w:color w:val="auto"/>
        </w:rPr>
        <w:t>Citado 4 vezes nas páginas 23, 24, 26, 29.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-536575</wp:posOffset>
                </wp:positionV>
                <wp:extent cx="607060" cy="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42.2499pt" to="60.75pt,-42.2499pt" o:allowincell="f" strokecolor="#000000" strokeweight="0.398pt"/>
            </w:pict>
          </mc:Fallback>
        </mc:AlternateContent>
      </w:r>
    </w:p>
    <w:p>
      <w:pPr>
        <w:spacing w:after="0" w:line="51" w:lineRule="exact"/>
        <w:rPr>
          <w:sz w:val="20"/>
          <w:szCs w:val="20"/>
          <w:color w:val="auto"/>
        </w:rPr>
      </w:pPr>
    </w:p>
    <w:p>
      <w:pPr>
        <w:ind w:left="260" w:right="560" w:firstLine="955"/>
        <w:spacing w:after="0" w:line="319" w:lineRule="auto"/>
        <w:tabs>
          <w:tab w:leader="none" w:pos="1356" w:val="left"/>
        </w:tabs>
        <w:numPr>
          <w:ilvl w:val="0"/>
          <w:numId w:val="25"/>
        </w:numPr>
        <w:rPr>
          <w:rFonts w:ascii="Arial" w:cs="Arial" w:eastAsia="Arial" w:hAnsi="Arial"/>
          <w:sz w:val="24"/>
          <w:szCs w:val="24"/>
          <w:color w:val="auto"/>
        </w:rPr>
      </w:pPr>
      <w:r>
        <w:rPr>
          <w:rFonts w:ascii="Arial" w:cs="Arial" w:eastAsia="Arial" w:hAnsi="Arial"/>
          <w:sz w:val="24"/>
          <w:szCs w:val="24"/>
          <w:b w:val="1"/>
          <w:bCs w:val="1"/>
          <w:color w:val="auto"/>
        </w:rPr>
        <w:t>Programação Monerária 2019</w:t>
      </w:r>
      <w:r>
        <w:rPr>
          <w:rFonts w:ascii="Arial" w:cs="Arial" w:eastAsia="Arial" w:hAnsi="Arial"/>
          <w:sz w:val="24"/>
          <w:szCs w:val="24"/>
          <w:color w:val="auto"/>
        </w:rPr>
        <w:t xml:space="preserve">. [S.l.], 2019. Disponível em: </w:t>
      </w:r>
      <w:hyperlink r:id="rId28">
        <w:r>
          <w:rPr>
            <w:rFonts w:ascii="Arial" w:cs="Arial" w:eastAsia="Arial" w:hAnsi="Arial"/>
            <w:sz w:val="24"/>
            <w:szCs w:val="24"/>
            <w:color w:val="auto"/>
          </w:rPr>
          <w:t>&lt;https:</w:t>
        </w:r>
      </w:hyperlink>
      <w:r>
        <w:rPr>
          <w:rFonts w:ascii="Arial" w:cs="Arial" w:eastAsia="Arial" w:hAnsi="Arial"/>
          <w:sz w:val="24"/>
          <w:szCs w:val="24"/>
          <w:color w:val="auto"/>
        </w:rPr>
        <w:t xml:space="preserve"> </w:t>
      </w:r>
      <w:hyperlink r:id="rId28">
        <w:r>
          <w:rPr>
            <w:rFonts w:ascii="Arial" w:cs="Arial" w:eastAsia="Arial" w:hAnsi="Arial"/>
            <w:sz w:val="24"/>
            <w:szCs w:val="24"/>
            <w:color w:val="auto"/>
          </w:rPr>
          <w:t>//www.bcb.gov.br/content/publicacoes/programacaomonetaria/pm-022019p.pdf&gt;.</w:t>
        </w:r>
      </w:hyperlink>
      <w:r>
        <w:rPr>
          <w:rFonts w:ascii="Arial" w:cs="Arial" w:eastAsia="Arial" w:hAnsi="Arial"/>
          <w:sz w:val="24"/>
          <w:szCs w:val="24"/>
          <w:color w:val="auto"/>
        </w:rPr>
        <w:t xml:space="preserve"> Citado 5 vezes nas páginas 18, 19.</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-536575</wp:posOffset>
                </wp:positionV>
                <wp:extent cx="607060" cy="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42.2499pt" to="60.75pt,-42.2499pt" o:allowincell="f" strokecolor="#000000" strokeweight="0.398pt"/>
            </w:pict>
          </mc:Fallback>
        </mc:AlternateContent>
      </w:r>
    </w:p>
    <w:p>
      <w:pPr>
        <w:spacing w:after="0" w:line="51" w:lineRule="exact"/>
        <w:rPr>
          <w:rFonts w:ascii="Arial" w:cs="Arial" w:eastAsia="Arial" w:hAnsi="Arial"/>
          <w:sz w:val="24"/>
          <w:szCs w:val="24"/>
          <w:color w:val="auto"/>
        </w:rPr>
      </w:pPr>
    </w:p>
    <w:p>
      <w:pPr>
        <w:jc w:val="both"/>
        <w:ind w:left="240" w:firstLine="28"/>
        <w:spacing w:after="0" w:line="317" w:lineRule="auto"/>
        <w:rPr>
          <w:rFonts w:ascii="Arial" w:cs="Arial" w:eastAsia="Arial" w:hAnsi="Arial"/>
          <w:sz w:val="24"/>
          <w:szCs w:val="24"/>
          <w:color w:val="auto"/>
        </w:rPr>
      </w:pPr>
      <w:r>
        <w:rPr>
          <w:rFonts w:ascii="Arial" w:cs="Arial" w:eastAsia="Arial" w:hAnsi="Arial"/>
          <w:sz w:val="24"/>
          <w:szCs w:val="24"/>
          <w:color w:val="auto"/>
        </w:rPr>
        <w:t xml:space="preserve">BRASIL. CONSTITUIÇÃO DA REPÚBLICA FEDERATIVA DO BRASIL DE 1988.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5 out. 1988. Disponível em:</w:t>
      </w:r>
      <w:r>
        <w:rPr>
          <w:rFonts w:ascii="Arial" w:cs="Arial" w:eastAsia="Arial" w:hAnsi="Arial"/>
          <w:sz w:val="24"/>
          <w:szCs w:val="24"/>
          <w:b w:val="1"/>
          <w:bCs w:val="1"/>
          <w:color w:val="auto"/>
        </w:rPr>
        <w:t xml:space="preserve"> </w:t>
      </w:r>
      <w:hyperlink r:id="rId29">
        <w:r>
          <w:rPr>
            <w:rFonts w:ascii="Arial" w:cs="Arial" w:eastAsia="Arial" w:hAnsi="Arial"/>
            <w:sz w:val="24"/>
            <w:szCs w:val="24"/>
            <w:color w:val="auto"/>
          </w:rPr>
          <w:t xml:space="preserve">&lt;http://www.planalto.gov.br/ccivil_03/constituicao/constituicao.htm&gt;. </w:t>
        </w:r>
      </w:hyperlink>
      <w:r>
        <w:rPr>
          <w:rFonts w:ascii="Arial" w:cs="Arial" w:eastAsia="Arial" w:hAnsi="Arial"/>
          <w:sz w:val="24"/>
          <w:szCs w:val="24"/>
          <w:color w:val="auto"/>
        </w:rPr>
        <w:t>Acesso em: 7 set. 2020. Citado 1 vez na página 11.</w:t>
      </w:r>
    </w:p>
    <w:p>
      <w:pPr>
        <w:spacing w:after="0" w:line="72" w:lineRule="exact"/>
        <w:rPr>
          <w:rFonts w:ascii="Arial" w:cs="Arial" w:eastAsia="Arial" w:hAnsi="Arial"/>
          <w:sz w:val="24"/>
          <w:szCs w:val="24"/>
          <w:color w:val="auto"/>
        </w:rPr>
      </w:pPr>
    </w:p>
    <w:p>
      <w:pPr>
        <w:ind w:left="240" w:firstLine="975"/>
        <w:spacing w:after="0" w:line="317" w:lineRule="auto"/>
        <w:tabs>
          <w:tab w:leader="none" w:pos="1357" w:val="left"/>
        </w:tabs>
        <w:numPr>
          <w:ilvl w:val="0"/>
          <w:numId w:val="26"/>
        </w:numPr>
        <w:rPr>
          <w:rFonts w:ascii="Arial" w:cs="Arial" w:eastAsia="Arial" w:hAnsi="Arial"/>
          <w:sz w:val="24"/>
          <w:szCs w:val="24"/>
          <w:color w:val="auto"/>
        </w:rPr>
      </w:pPr>
      <w:r>
        <w:rPr>
          <w:rFonts w:ascii="Arial" w:cs="Arial" w:eastAsia="Arial" w:hAnsi="Arial"/>
          <w:sz w:val="24"/>
          <w:szCs w:val="24"/>
          <w:color w:val="auto"/>
        </w:rPr>
        <w:t xml:space="preserve">DECRETO-LEI No 759, DE 12 DE AGOSTO DE 1969.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12 ago. 1969. Disponível em:</w:t>
      </w:r>
      <w:r>
        <w:rPr>
          <w:rFonts w:ascii="Arial" w:cs="Arial" w:eastAsia="Arial" w:hAnsi="Arial"/>
          <w:sz w:val="24"/>
          <w:szCs w:val="24"/>
          <w:b w:val="1"/>
          <w:bCs w:val="1"/>
          <w:color w:val="auto"/>
        </w:rPr>
        <w:t xml:space="preserve"> </w:t>
      </w:r>
      <w:hyperlink r:id="rId30">
        <w:r>
          <w:rPr>
            <w:rFonts w:ascii="Arial" w:cs="Arial" w:eastAsia="Arial" w:hAnsi="Arial"/>
            <w:sz w:val="24"/>
            <w:szCs w:val="24"/>
            <w:color w:val="auto"/>
          </w:rPr>
          <w:t xml:space="preserve">&lt;http://www.planalto.gov.br/ccivil_03/decreto-lei/del0759.htm&gt;. </w:t>
        </w:r>
      </w:hyperlink>
      <w:r>
        <w:rPr>
          <w:rFonts w:ascii="Arial" w:cs="Arial" w:eastAsia="Arial" w:hAnsi="Arial"/>
          <w:sz w:val="24"/>
          <w:szCs w:val="24"/>
          <w:color w:val="auto"/>
        </w:rPr>
        <w:t>Acesso em: 4 set. 2020. Citado 4 vezes nas páginas 9–11.</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-763905</wp:posOffset>
                </wp:positionV>
                <wp:extent cx="607060" cy="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499pt" to="60.75pt,-60.1499pt" o:allowincell="f" strokecolor="#000000" strokeweight="0.398pt"/>
            </w:pict>
          </mc:Fallback>
        </mc:AlternateContent>
      </w:r>
    </w:p>
    <w:p>
      <w:pPr>
        <w:spacing w:after="0" w:line="52" w:lineRule="exact"/>
        <w:rPr>
          <w:rFonts w:ascii="Arial" w:cs="Arial" w:eastAsia="Arial" w:hAnsi="Arial"/>
          <w:sz w:val="24"/>
          <w:szCs w:val="24"/>
          <w:color w:val="auto"/>
        </w:rPr>
      </w:pPr>
    </w:p>
    <w:p>
      <w:pPr>
        <w:ind w:left="240" w:right="60" w:firstLine="975"/>
        <w:spacing w:after="0" w:line="317" w:lineRule="auto"/>
        <w:tabs>
          <w:tab w:leader="none" w:pos="1357" w:val="left"/>
        </w:tabs>
        <w:numPr>
          <w:ilvl w:val="0"/>
          <w:numId w:val="27"/>
        </w:numPr>
        <w:rPr>
          <w:rFonts w:ascii="Arial" w:cs="Arial" w:eastAsia="Arial" w:hAnsi="Arial"/>
          <w:sz w:val="24"/>
          <w:szCs w:val="24"/>
          <w:color w:val="auto"/>
        </w:rPr>
      </w:pPr>
      <w:r>
        <w:rPr>
          <w:rFonts w:ascii="Arial" w:cs="Arial" w:eastAsia="Arial" w:hAnsi="Arial"/>
          <w:sz w:val="24"/>
          <w:szCs w:val="24"/>
          <w:color w:val="auto"/>
        </w:rPr>
        <w:t xml:space="preserve">Lei no 4.595, de 31 de dezembro de 1964.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31 dez. 1964. Disponível em:</w:t>
      </w:r>
      <w:r>
        <w:rPr>
          <w:rFonts w:ascii="Arial" w:cs="Arial" w:eastAsia="Arial" w:hAnsi="Arial"/>
          <w:sz w:val="24"/>
          <w:szCs w:val="24"/>
          <w:b w:val="1"/>
          <w:bCs w:val="1"/>
          <w:color w:val="auto"/>
        </w:rPr>
        <w:t xml:space="preserve"> </w:t>
      </w:r>
      <w:hyperlink r:id="rId31">
        <w:r>
          <w:rPr>
            <w:rFonts w:ascii="Arial" w:cs="Arial" w:eastAsia="Arial" w:hAnsi="Arial"/>
            <w:sz w:val="24"/>
            <w:szCs w:val="24"/>
            <w:color w:val="auto"/>
          </w:rPr>
          <w:t xml:space="preserve">&lt;http://www.planalto.gov.br/ccivil_03/leis/L4595.htm&gt;. </w:t>
        </w:r>
      </w:hyperlink>
      <w:r>
        <w:rPr>
          <w:rFonts w:ascii="Arial" w:cs="Arial" w:eastAsia="Arial" w:hAnsi="Arial"/>
          <w:sz w:val="24"/>
          <w:szCs w:val="24"/>
          <w:color w:val="auto"/>
        </w:rPr>
        <w:t>Acesso em: 4 set. 2020. Citado 3 vezes nas páginas 9, 10.</w:t>
      </w:r>
    </w:p>
    <w:p>
      <w:pPr>
        <w:spacing w:after="0" w:line="20" w:lineRule="exact"/>
        <w:rPr>
          <w:rFonts w:ascii="Arial" w:cs="Arial" w:eastAsia="Arial" w:hAnsi="Arial"/>
          <w:sz w:val="24"/>
          <w:szCs w:val="24"/>
          <w:color w:val="auto"/>
        </w:rPr>
      </w:pPr>
      <w:r>
        <w:rPr>
          <w:rFonts w:ascii="Arial" w:cs="Arial" w:eastAsia="Arial" w:hAnsi="Arial"/>
          <w:sz w:val="24"/>
          <w:szCs w:val="24"/>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-763905</wp:posOffset>
                </wp:positionV>
                <wp:extent cx="607060" cy="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499pt" to="60.75pt,-60.1499pt" o:allowincell="f" strokecolor="#000000" strokeweight="0.398pt"/>
            </w:pict>
          </mc:Fallback>
        </mc:AlternateContent>
      </w:r>
    </w:p>
    <w:p>
      <w:pPr>
        <w:spacing w:after="0" w:line="53" w:lineRule="exact"/>
        <w:rPr>
          <w:rFonts w:ascii="Arial" w:cs="Arial" w:eastAsia="Arial" w:hAnsi="Arial"/>
          <w:sz w:val="24"/>
          <w:szCs w:val="24"/>
          <w:color w:val="auto"/>
        </w:rPr>
      </w:pPr>
    </w:p>
    <w:p>
      <w:pPr>
        <w:ind w:left="260" w:right="600"/>
        <w:spacing w:after="0" w:line="311" w:lineRule="auto"/>
        <w:rPr>
          <w:sz w:val="20"/>
          <w:szCs w:val="20"/>
          <w:color w:val="auto"/>
        </w:rPr>
      </w:pPr>
      <w:r>
        <w:rPr>
          <w:rFonts w:ascii="Arial" w:cs="Arial" w:eastAsia="Arial" w:hAnsi="Arial"/>
          <w:sz w:val="24"/>
          <w:szCs w:val="24"/>
          <w:color w:val="auto"/>
        </w:rPr>
        <w:t xml:space="preserve">BROCK, Philip L.; ROJAS SUAREZ, Liliana. Understanding the behavior of bank spreads in Latin America. </w:t>
      </w:r>
      <w:r>
        <w:rPr>
          <w:rFonts w:ascii="Arial" w:cs="Arial" w:eastAsia="Arial" w:hAnsi="Arial"/>
          <w:sz w:val="24"/>
          <w:szCs w:val="24"/>
          <w:b w:val="1"/>
          <w:bCs w:val="1"/>
          <w:color w:val="auto"/>
        </w:rPr>
        <w:t>Journal of Development Economics</w:t>
      </w:r>
      <w:r>
        <w:rPr>
          <w:rFonts w:ascii="Arial" w:cs="Arial" w:eastAsia="Arial" w:hAnsi="Arial"/>
          <w:sz w:val="24"/>
          <w:szCs w:val="24"/>
          <w:color w:val="auto"/>
        </w:rPr>
        <w:t>, v. 63, n. 1, p. 113–134, 2000. Disponível em:</w:t>
      </w:r>
    </w:p>
    <w:p>
      <w:pPr>
        <w:spacing w:after="0" w:line="3" w:lineRule="exact"/>
        <w:rPr>
          <w:rFonts w:ascii="Arial" w:cs="Arial" w:eastAsia="Arial" w:hAnsi="Arial"/>
          <w:sz w:val="24"/>
          <w:szCs w:val="24"/>
          <w:color w:val="auto"/>
        </w:rPr>
      </w:pPr>
    </w:p>
    <w:p>
      <w:pPr>
        <w:ind w:left="240"/>
        <w:spacing w:after="0"/>
        <w:rPr>
          <w:rFonts w:ascii="Arial" w:cs="Arial" w:eastAsia="Arial" w:hAnsi="Arial"/>
          <w:sz w:val="24"/>
          <w:szCs w:val="24"/>
          <w:color w:val="auto"/>
        </w:rPr>
      </w:pPr>
      <w:hyperlink r:id="rId32">
        <w:r>
          <w:rPr>
            <w:rFonts w:ascii="Arial" w:cs="Arial" w:eastAsia="Arial" w:hAnsi="Arial"/>
            <w:sz w:val="24"/>
            <w:szCs w:val="24"/>
            <w:color w:val="auto"/>
          </w:rPr>
          <w:t xml:space="preserve">&lt;https://EconPapers.repec.org/RePEc:eee:deveco:v:63:y:2000:i:1:p:113-134&gt;. </w:t>
        </w:r>
      </w:hyperlink>
      <w:r>
        <w:rPr>
          <w:rFonts w:ascii="Arial" w:cs="Arial" w:eastAsia="Arial" w:hAnsi="Arial"/>
          <w:sz w:val="24"/>
          <w:szCs w:val="24"/>
          <w:color w:val="auto"/>
        </w:rPr>
        <w:t>Citado</w:t>
      </w:r>
    </w:p>
    <w:p>
      <w:pPr>
        <w:spacing w:after="0" w:line="83" w:lineRule="exact"/>
        <w:rPr>
          <w:rFonts w:ascii="Arial" w:cs="Arial" w:eastAsia="Arial" w:hAnsi="Arial"/>
          <w:sz w:val="24"/>
          <w:szCs w:val="24"/>
          <w:color w:val="auto"/>
        </w:rPr>
      </w:pPr>
    </w:p>
    <w:p>
      <w:pPr>
        <w:ind w:left="260"/>
        <w:spacing w:after="0"/>
        <w:rPr>
          <w:sz w:val="20"/>
          <w:szCs w:val="20"/>
          <w:color w:val="auto"/>
        </w:rPr>
      </w:pPr>
      <w:r>
        <w:rPr>
          <w:rFonts w:ascii="Arial" w:cs="Arial" w:eastAsia="Arial" w:hAnsi="Arial"/>
          <w:sz w:val="24"/>
          <w:szCs w:val="24"/>
          <w:color w:val="auto"/>
        </w:rPr>
        <w:t>2 vez na página 25.</w:t>
      </w:r>
    </w:p>
    <w:p>
      <w:pPr>
        <w:sectPr>
          <w:pgSz w:w="11900" w:h="16838" w:orient="portrait"/>
          <w:cols w:equalWidth="0" w:num="1">
            <w:col w:w="9380"/>
          </w:cols>
          <w:pgMar w:left="1440" w:top="1028" w:right="1086" w:bottom="668" w:gutter="0" w:footer="0" w:header="0"/>
        </w:sectPr>
      </w:pPr>
    </w:p>
    <w:p>
      <w:pPr>
        <w:ind w:left="9060"/>
        <w:spacing w:after="0"/>
        <w:rPr>
          <w:sz w:val="20"/>
          <w:szCs w:val="20"/>
          <w:color w:val="auto"/>
        </w:rPr>
      </w:pPr>
      <w:r>
        <w:rPr>
          <w:rFonts w:ascii="Arial" w:cs="Arial" w:eastAsia="Arial" w:hAnsi="Arial"/>
          <w:sz w:val="24"/>
          <w:szCs w:val="24"/>
          <w:color w:val="auto"/>
        </w:rPr>
        <w:t>53</w:t>
      </w:r>
    </w:p>
    <w:p>
      <w:pPr>
        <w:spacing w:after="0" w:line="200" w:lineRule="exact"/>
        <w:rPr>
          <w:sz w:val="20"/>
          <w:szCs w:val="20"/>
          <w:color w:val="auto"/>
        </w:rPr>
      </w:pPr>
    </w:p>
    <w:p>
      <w:pPr>
        <w:spacing w:after="0" w:line="245" w:lineRule="exact"/>
        <w:rPr>
          <w:sz w:val="20"/>
          <w:szCs w:val="20"/>
          <w:color w:val="auto"/>
        </w:rPr>
      </w:pPr>
    </w:p>
    <w:p>
      <w:pPr>
        <w:ind w:left="260" w:right="260"/>
        <w:spacing w:after="0" w:line="328" w:lineRule="auto"/>
        <w:rPr>
          <w:sz w:val="20"/>
          <w:szCs w:val="20"/>
          <w:color w:val="auto"/>
        </w:rPr>
      </w:pPr>
      <w:r>
        <w:rPr>
          <w:rFonts w:ascii="Arial" w:cs="Arial" w:eastAsia="Arial" w:hAnsi="Arial"/>
          <w:sz w:val="24"/>
          <w:szCs w:val="24"/>
          <w:color w:val="auto"/>
        </w:rPr>
        <w:t xml:space="preserve">CAMARGO, Patrícia Olga. </w:t>
      </w:r>
      <w:r>
        <w:rPr>
          <w:rFonts w:ascii="Arial" w:cs="Arial" w:eastAsia="Arial" w:hAnsi="Arial"/>
          <w:sz w:val="24"/>
          <w:szCs w:val="24"/>
          <w:b w:val="1"/>
          <w:bCs w:val="1"/>
          <w:color w:val="auto"/>
        </w:rPr>
        <w:t>A evolução recente do setor bancário no Brasik</w:t>
      </w:r>
      <w:r>
        <w:rPr>
          <w:rFonts w:ascii="Arial" w:cs="Arial" w:eastAsia="Arial" w:hAnsi="Arial"/>
          <w:sz w:val="24"/>
          <w:szCs w:val="24"/>
          <w:color w:val="auto"/>
        </w:rPr>
        <w:t>. São Paulo: Cultura Acadêmica, 2009. Citado 12 vezes nas páginas 6, 11, 13–15.</w:t>
      </w:r>
    </w:p>
    <w:p>
      <w:pPr>
        <w:spacing w:after="0" w:line="59" w:lineRule="exact"/>
        <w:rPr>
          <w:sz w:val="20"/>
          <w:szCs w:val="20"/>
          <w:color w:val="auto"/>
        </w:rPr>
      </w:pPr>
    </w:p>
    <w:p>
      <w:pPr>
        <w:ind w:left="260" w:right="40" w:firstLine="6"/>
        <w:spacing w:after="0" w:line="317" w:lineRule="auto"/>
        <w:rPr>
          <w:sz w:val="20"/>
          <w:szCs w:val="20"/>
          <w:color w:val="auto"/>
        </w:rPr>
      </w:pPr>
      <w:r>
        <w:rPr>
          <w:rFonts w:ascii="Arial" w:cs="Arial" w:eastAsia="Arial" w:hAnsi="Arial"/>
          <w:sz w:val="24"/>
          <w:szCs w:val="24"/>
          <w:color w:val="auto"/>
        </w:rPr>
        <w:t xml:space="preserve">CAMPELLO, Mauro Luiz Costa; BRUNSTEIN, Israel. UMA ANÁLISE DA COMPETITIVIDADE DOS BANCOS DE VAREJO NO BRASIL. </w:t>
      </w:r>
      <w:r>
        <w:rPr>
          <w:rFonts w:ascii="Arial" w:cs="Arial" w:eastAsia="Arial" w:hAnsi="Arial"/>
          <w:sz w:val="24"/>
          <w:szCs w:val="24"/>
          <w:b w:val="1"/>
          <w:bCs w:val="1"/>
          <w:color w:val="auto"/>
        </w:rPr>
        <w:t>REVISTA GESTÃO DA PRODUÇÃO OPERAÇÕES E SISTEMAS</w:t>
      </w:r>
      <w:r>
        <w:rPr>
          <w:rFonts w:ascii="Arial" w:cs="Arial" w:eastAsia="Arial" w:hAnsi="Arial"/>
          <w:sz w:val="24"/>
          <w:szCs w:val="24"/>
          <w:color w:val="auto"/>
        </w:rPr>
        <w:t>, Unesp, v. 1, n. 1, p. 83–99, 2005. Citado 1</w:t>
      </w:r>
      <w:r>
        <w:rPr>
          <w:rFonts w:ascii="Arial" w:cs="Arial" w:eastAsia="Arial" w:hAnsi="Arial"/>
          <w:sz w:val="24"/>
          <w:szCs w:val="24"/>
          <w:b w:val="1"/>
          <w:bCs w:val="1"/>
          <w:color w:val="auto"/>
        </w:rPr>
        <w:t xml:space="preserve"> </w:t>
      </w:r>
      <w:r>
        <w:rPr>
          <w:rFonts w:ascii="Arial" w:cs="Arial" w:eastAsia="Arial" w:hAnsi="Arial"/>
          <w:sz w:val="24"/>
          <w:szCs w:val="24"/>
          <w:color w:val="auto"/>
        </w:rPr>
        <w:t>vez na página 5.</w:t>
      </w:r>
    </w:p>
    <w:p>
      <w:pPr>
        <w:spacing w:after="0" w:line="7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CMN. Resolução CMN 2.624, de 1999. </w:t>
      </w:r>
      <w:r>
        <w:rPr>
          <w:rFonts w:ascii="Arial" w:cs="Arial" w:eastAsia="Arial" w:hAnsi="Arial"/>
          <w:sz w:val="24"/>
          <w:szCs w:val="24"/>
          <w:b w:val="1"/>
          <w:bCs w:val="1"/>
          <w:color w:val="auto"/>
        </w:rPr>
        <w:t>Diário Oficial da República Federativa do</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b w:val="1"/>
          <w:bCs w:val="1"/>
          <w:color w:val="auto"/>
        </w:rPr>
        <w:t>Brasil</w:t>
      </w:r>
      <w:r>
        <w:rPr>
          <w:rFonts w:ascii="Arial" w:cs="Arial" w:eastAsia="Arial" w:hAnsi="Arial"/>
          <w:sz w:val="24"/>
          <w:szCs w:val="24"/>
          <w:color w:val="auto"/>
        </w:rPr>
        <w:t>, Brasília, DF, 29 jul. 1999. Disponível em:</w:t>
      </w:r>
    </w:p>
    <w:p>
      <w:pPr>
        <w:spacing w:after="0" w:line="83" w:lineRule="exact"/>
        <w:rPr>
          <w:sz w:val="20"/>
          <w:szCs w:val="20"/>
          <w:color w:val="auto"/>
        </w:rPr>
      </w:pPr>
    </w:p>
    <w:p>
      <w:pPr>
        <w:ind w:left="260" w:right="60" w:hanging="20"/>
        <w:spacing w:after="0" w:line="319" w:lineRule="auto"/>
        <w:rPr>
          <w:rFonts w:ascii="Arial" w:cs="Arial" w:eastAsia="Arial" w:hAnsi="Arial"/>
          <w:sz w:val="24"/>
          <w:szCs w:val="24"/>
          <w:color w:val="auto"/>
        </w:rPr>
      </w:pPr>
      <w:hyperlink r:id="rId33">
        <w:r>
          <w:rPr>
            <w:rFonts w:ascii="Arial" w:cs="Arial" w:eastAsia="Arial" w:hAnsi="Arial"/>
            <w:sz w:val="24"/>
            <w:szCs w:val="24"/>
            <w:color w:val="auto"/>
          </w:rPr>
          <w:t>&lt;https://www.bcb.gov.br/pre/normativos/busca/downloadNormativo.asp?arquivo=</w:t>
        </w:r>
      </w:hyperlink>
      <w:r>
        <w:rPr>
          <w:rFonts w:ascii="Arial" w:cs="Arial" w:eastAsia="Arial" w:hAnsi="Arial"/>
          <w:sz w:val="24"/>
          <w:szCs w:val="24"/>
          <w:color w:val="auto"/>
        </w:rPr>
        <w:t xml:space="preserve"> </w:t>
      </w:r>
      <w:hyperlink r:id="rId33">
        <w:r>
          <w:rPr>
            <w:rFonts w:ascii="Arial" w:cs="Arial" w:eastAsia="Arial" w:hAnsi="Arial"/>
            <w:sz w:val="24"/>
            <w:szCs w:val="24"/>
            <w:color w:val="auto"/>
          </w:rPr>
          <w:t xml:space="preserve">/Lists/Normativos/Attachments/45083/Res_2624_v1_O.pdf&gt;. </w:t>
        </w:r>
      </w:hyperlink>
      <w:r>
        <w:rPr>
          <w:rFonts w:ascii="Arial" w:cs="Arial" w:eastAsia="Arial" w:hAnsi="Arial"/>
          <w:sz w:val="24"/>
          <w:szCs w:val="24"/>
          <w:color w:val="auto"/>
        </w:rPr>
        <w:t>Acesso em: 4 set. 2020. Citado 3 vezes nas páginas 9, 10.</w:t>
      </w:r>
    </w:p>
    <w:p>
      <w:pPr>
        <w:spacing w:after="0" w:line="71" w:lineRule="exact"/>
        <w:rPr>
          <w:sz w:val="20"/>
          <w:szCs w:val="20"/>
          <w:color w:val="auto"/>
        </w:rPr>
      </w:pPr>
    </w:p>
    <w:p>
      <w:pPr>
        <w:ind w:left="240" w:right="200" w:firstLine="975"/>
        <w:spacing w:after="0" w:line="317" w:lineRule="auto"/>
        <w:tabs>
          <w:tab w:leader="none" w:pos="1357" w:val="left"/>
        </w:tabs>
        <w:numPr>
          <w:ilvl w:val="0"/>
          <w:numId w:val="28"/>
        </w:numPr>
        <w:rPr>
          <w:rFonts w:ascii="Arial" w:cs="Arial" w:eastAsia="Arial" w:hAnsi="Arial"/>
          <w:sz w:val="24"/>
          <w:szCs w:val="24"/>
          <w:color w:val="auto"/>
        </w:rPr>
      </w:pPr>
      <w:r>
        <w:rPr>
          <w:rFonts w:ascii="Arial" w:cs="Arial" w:eastAsia="Arial" w:hAnsi="Arial"/>
          <w:sz w:val="24"/>
          <w:szCs w:val="24"/>
          <w:color w:val="auto"/>
        </w:rPr>
        <w:t xml:space="preserve">Resolução CMN 3.426, de 2006.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26 dez. 2006. Disponível em:</w:t>
      </w:r>
      <w:r>
        <w:rPr>
          <w:rFonts w:ascii="Arial" w:cs="Arial" w:eastAsia="Arial" w:hAnsi="Arial"/>
          <w:sz w:val="24"/>
          <w:szCs w:val="24"/>
          <w:b w:val="1"/>
          <w:bCs w:val="1"/>
          <w:color w:val="auto"/>
        </w:rPr>
        <w:t xml:space="preserve"> </w:t>
      </w:r>
      <w:hyperlink r:id="rId34">
        <w:r>
          <w:rPr>
            <w:rFonts w:ascii="Arial" w:cs="Arial" w:eastAsia="Arial" w:hAnsi="Arial"/>
            <w:sz w:val="24"/>
            <w:szCs w:val="24"/>
            <w:color w:val="auto"/>
          </w:rPr>
          <w:t xml:space="preserve">&lt;https://www.bcb.gov.br/pre/normativos/res/1976/pdf/res_0394_v13_P.pdf&gt;. </w:t>
        </w:r>
      </w:hyperlink>
      <w:r>
        <w:rPr>
          <w:rFonts w:ascii="Arial" w:cs="Arial" w:eastAsia="Arial" w:hAnsi="Arial"/>
          <w:sz w:val="24"/>
          <w:szCs w:val="24"/>
          <w:color w:val="auto"/>
        </w:rPr>
        <w:t>Acesso em: 4 set. 2020. Citado 3 vezes nas páginas 9, 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-763905</wp:posOffset>
                </wp:positionV>
                <wp:extent cx="607060" cy="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499pt" to="60.75pt,-60.1499pt" o:allowincell="f" strokecolor="#000000" strokeweight="0.398pt"/>
            </w:pict>
          </mc:Fallback>
        </mc:AlternateContent>
      </w:r>
    </w:p>
    <w:p>
      <w:pPr>
        <w:spacing w:after="0" w:line="52" w:lineRule="exact"/>
        <w:rPr>
          <w:sz w:val="20"/>
          <w:szCs w:val="20"/>
          <w:color w:val="auto"/>
        </w:rPr>
      </w:pPr>
    </w:p>
    <w:p>
      <w:pPr>
        <w:ind w:left="240" w:right="40" w:firstLine="975"/>
        <w:spacing w:after="0" w:line="317" w:lineRule="auto"/>
        <w:tabs>
          <w:tab w:leader="none" w:pos="1357" w:val="left"/>
        </w:tabs>
        <w:numPr>
          <w:ilvl w:val="0"/>
          <w:numId w:val="29"/>
        </w:numPr>
        <w:rPr>
          <w:rFonts w:ascii="Arial" w:cs="Arial" w:eastAsia="Arial" w:hAnsi="Arial"/>
          <w:sz w:val="24"/>
          <w:szCs w:val="24"/>
          <w:color w:val="auto"/>
        </w:rPr>
      </w:pPr>
      <w:r>
        <w:rPr>
          <w:rFonts w:ascii="Arial" w:cs="Arial" w:eastAsia="Arial" w:hAnsi="Arial"/>
          <w:sz w:val="24"/>
          <w:szCs w:val="24"/>
          <w:color w:val="auto"/>
        </w:rPr>
        <w:t xml:space="preserve">Resolução CMN 394, de 1976.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20 out. 1976. Disponível em:</w:t>
      </w:r>
      <w:r>
        <w:rPr>
          <w:rFonts w:ascii="Arial" w:cs="Arial" w:eastAsia="Arial" w:hAnsi="Arial"/>
          <w:sz w:val="24"/>
          <w:szCs w:val="24"/>
          <w:b w:val="1"/>
          <w:bCs w:val="1"/>
          <w:color w:val="auto"/>
        </w:rPr>
        <w:t xml:space="preserve"> </w:t>
      </w:r>
      <w:hyperlink r:id="rId34">
        <w:r>
          <w:rPr>
            <w:rFonts w:ascii="Arial" w:cs="Arial" w:eastAsia="Arial" w:hAnsi="Arial"/>
            <w:sz w:val="24"/>
            <w:szCs w:val="24"/>
            <w:color w:val="auto"/>
          </w:rPr>
          <w:t xml:space="preserve">&lt;https://www.bcb.gov.br/pre/normativos/res/1976/pdf/res_0394_v13_P.pdf&gt;. </w:t>
        </w:r>
      </w:hyperlink>
      <w:r>
        <w:rPr>
          <w:rFonts w:ascii="Arial" w:cs="Arial" w:eastAsia="Arial" w:hAnsi="Arial"/>
          <w:sz w:val="24"/>
          <w:szCs w:val="24"/>
          <w:color w:val="auto"/>
        </w:rPr>
        <w:t>Acesso em: 4 set. 2020. Citado 3 vezes nas páginas 9, 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-763905</wp:posOffset>
                </wp:positionV>
                <wp:extent cx="607060" cy="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499pt" to="60.75pt,-60.1499pt" o:allowincell="f" strokecolor="#000000" strokeweight="0.398pt"/>
            </w:pict>
          </mc:Fallback>
        </mc:AlternateContent>
      </w:r>
    </w:p>
    <w:p>
      <w:pPr>
        <w:spacing w:after="0" w:line="52" w:lineRule="exact"/>
        <w:rPr>
          <w:sz w:val="20"/>
          <w:szCs w:val="20"/>
          <w:color w:val="auto"/>
        </w:rPr>
      </w:pPr>
    </w:p>
    <w:p>
      <w:pPr>
        <w:ind w:left="240" w:firstLine="975"/>
        <w:spacing w:after="0" w:line="317" w:lineRule="auto"/>
        <w:tabs>
          <w:tab w:leader="none" w:pos="1357" w:val="left"/>
        </w:tabs>
        <w:numPr>
          <w:ilvl w:val="0"/>
          <w:numId w:val="30"/>
        </w:numPr>
        <w:rPr>
          <w:rFonts w:ascii="Arial" w:cs="Arial" w:eastAsia="Arial" w:hAnsi="Arial"/>
          <w:sz w:val="24"/>
          <w:szCs w:val="24"/>
          <w:color w:val="auto"/>
        </w:rPr>
      </w:pPr>
      <w:r>
        <w:rPr>
          <w:rFonts w:ascii="Arial" w:cs="Arial" w:eastAsia="Arial" w:hAnsi="Arial"/>
          <w:sz w:val="24"/>
          <w:szCs w:val="24"/>
          <w:color w:val="auto"/>
        </w:rPr>
        <w:t xml:space="preserve">Resolução Nº 1.524 de 1988.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Brasília, DF, 24 set. 1988. Disponível em:</w:t>
      </w:r>
      <w:r>
        <w:rPr>
          <w:rFonts w:ascii="Arial" w:cs="Arial" w:eastAsia="Arial" w:hAnsi="Arial"/>
          <w:sz w:val="24"/>
          <w:szCs w:val="24"/>
          <w:b w:val="1"/>
          <w:bCs w:val="1"/>
          <w:color w:val="auto"/>
        </w:rPr>
        <w:t xml:space="preserve"> </w:t>
      </w:r>
      <w:hyperlink r:id="rId35">
        <w:r>
          <w:rPr>
            <w:rFonts w:ascii="Arial" w:cs="Arial" w:eastAsia="Arial" w:hAnsi="Arial"/>
            <w:sz w:val="24"/>
            <w:szCs w:val="24"/>
            <w:color w:val="auto"/>
          </w:rPr>
          <w:t xml:space="preserve">&lt;https://www.bcb.gov.br/pre/normativos/res/1988/pdf/res_1524_v8_P.pdf&gt;. </w:t>
        </w:r>
      </w:hyperlink>
      <w:r>
        <w:rPr>
          <w:rFonts w:ascii="Arial" w:cs="Arial" w:eastAsia="Arial" w:hAnsi="Arial"/>
          <w:sz w:val="24"/>
          <w:szCs w:val="24"/>
          <w:color w:val="auto"/>
        </w:rPr>
        <w:t>Acesso em: 24 fev. 2017. Citado 1 vez na página 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-763905</wp:posOffset>
                </wp:positionV>
                <wp:extent cx="607060" cy="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499pt" to="60.75pt,-60.1499pt" o:allowincell="f" strokecolor="#000000" strokeweight="0.398pt"/>
            </w:pict>
          </mc:Fallback>
        </mc:AlternateContent>
      </w:r>
    </w:p>
    <w:p>
      <w:pPr>
        <w:spacing w:after="0" w:line="52" w:lineRule="exact"/>
        <w:rPr>
          <w:sz w:val="20"/>
          <w:szCs w:val="20"/>
          <w:color w:val="auto"/>
        </w:rPr>
      </w:pPr>
    </w:p>
    <w:p>
      <w:pPr>
        <w:ind w:left="240" w:firstLine="975"/>
        <w:spacing w:after="0" w:line="317" w:lineRule="auto"/>
        <w:tabs>
          <w:tab w:leader="none" w:pos="1357" w:val="left"/>
        </w:tabs>
        <w:numPr>
          <w:ilvl w:val="0"/>
          <w:numId w:val="31"/>
        </w:numPr>
        <w:rPr>
          <w:rFonts w:ascii="Arial" w:cs="Arial" w:eastAsia="Arial" w:hAnsi="Arial"/>
          <w:sz w:val="24"/>
          <w:szCs w:val="24"/>
          <w:color w:val="auto"/>
        </w:rPr>
      </w:pPr>
      <w:r>
        <w:rPr>
          <w:rFonts w:ascii="Arial" w:cs="Arial" w:eastAsia="Arial" w:hAnsi="Arial"/>
          <w:sz w:val="24"/>
          <w:szCs w:val="24"/>
          <w:color w:val="auto"/>
        </w:rPr>
        <w:t xml:space="preserve">Resolução no 2.099. </w:t>
      </w:r>
      <w:r>
        <w:rPr>
          <w:rFonts w:ascii="Arial" w:cs="Arial" w:eastAsia="Arial" w:hAnsi="Arial"/>
          <w:sz w:val="24"/>
          <w:szCs w:val="24"/>
          <w:b w:val="1"/>
          <w:bCs w:val="1"/>
          <w:color w:val="auto"/>
        </w:rPr>
        <w:t>Diário Oficial da República Federativa do Brasil</w:t>
      </w:r>
      <w:r>
        <w:rPr>
          <w:rFonts w:ascii="Arial" w:cs="Arial" w:eastAsia="Arial" w:hAnsi="Arial"/>
          <w:sz w:val="24"/>
          <w:szCs w:val="24"/>
          <w:color w:val="auto"/>
        </w:rPr>
        <w:t xml:space="preserve">, Brasília DF, 17 ago. 1994. Disponível em: </w:t>
      </w:r>
      <w:hyperlink r:id="rId36">
        <w:r>
          <w:rPr>
            <w:rFonts w:ascii="Arial" w:cs="Arial" w:eastAsia="Arial" w:hAnsi="Arial"/>
            <w:sz w:val="24"/>
            <w:szCs w:val="24"/>
            <w:color w:val="auto"/>
          </w:rPr>
          <w:t xml:space="preserve">&lt;https://www.bcb.gov.br/pre/normativos/res/1994/pdf/res_2099_v1_O.pdf&gt;. </w:t>
        </w:r>
      </w:hyperlink>
      <w:r>
        <w:rPr>
          <w:rFonts w:ascii="Arial" w:cs="Arial" w:eastAsia="Arial" w:hAnsi="Arial"/>
          <w:sz w:val="24"/>
          <w:szCs w:val="24"/>
          <w:color w:val="auto"/>
        </w:rPr>
        <w:t>Acesso em: 4 set. 2020. Citado 5 vezes nas páginas 9, 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164465</wp:posOffset>
                </wp:positionH>
                <wp:positionV relativeFrom="paragraph">
                  <wp:posOffset>-763905</wp:posOffset>
                </wp:positionV>
                <wp:extent cx="607060" cy="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95pt,-60.1499pt" to="60.75pt,-60.1499pt" o:allowincell="f" strokecolor="#000000" strokeweight="0.398pt"/>
            </w:pict>
          </mc:Fallback>
        </mc:AlternateContent>
      </w:r>
    </w:p>
    <w:p>
      <w:pPr>
        <w:spacing w:after="0" w:line="53" w:lineRule="exact"/>
        <w:rPr>
          <w:sz w:val="20"/>
          <w:szCs w:val="20"/>
          <w:color w:val="auto"/>
        </w:rPr>
      </w:pPr>
    </w:p>
    <w:p>
      <w:pPr>
        <w:ind w:left="260" w:right="120"/>
        <w:spacing w:after="0" w:line="319" w:lineRule="auto"/>
        <w:rPr>
          <w:sz w:val="20"/>
          <w:szCs w:val="20"/>
          <w:color w:val="auto"/>
        </w:rPr>
      </w:pPr>
      <w:r>
        <w:rPr>
          <w:rFonts w:ascii="Arial" w:cs="Arial" w:eastAsia="Arial" w:hAnsi="Arial"/>
          <w:sz w:val="24"/>
          <w:szCs w:val="24"/>
          <w:color w:val="auto"/>
        </w:rPr>
        <w:t xml:space="preserve">COSTA, Ana Carla Abrão; NAKANE, Márcio I. Spread bancário no Brasil: dois esclarecimentos e duas constatações. </w:t>
      </w:r>
      <w:r>
        <w:rPr>
          <w:rFonts w:ascii="Arial" w:cs="Arial" w:eastAsia="Arial" w:hAnsi="Arial"/>
          <w:sz w:val="24"/>
          <w:szCs w:val="24"/>
          <w:b w:val="1"/>
          <w:bCs w:val="1"/>
          <w:color w:val="auto"/>
        </w:rPr>
        <w:t>Tecnologia de Crédito</w:t>
      </w:r>
      <w:r>
        <w:rPr>
          <w:rFonts w:ascii="Arial" w:cs="Arial" w:eastAsia="Arial" w:hAnsi="Arial"/>
          <w:sz w:val="24"/>
          <w:szCs w:val="24"/>
          <w:color w:val="auto"/>
        </w:rPr>
        <w:t>, 2004. Citado 2 vezes nas páginas 24, 25.</w:t>
      </w:r>
    </w:p>
    <w:p>
      <w:pPr>
        <w:spacing w:after="0" w:line="71" w:lineRule="exact"/>
        <w:rPr>
          <w:sz w:val="20"/>
          <w:szCs w:val="20"/>
          <w:color w:val="auto"/>
        </w:rPr>
      </w:pPr>
    </w:p>
    <w:p>
      <w:pPr>
        <w:ind w:left="260"/>
        <w:spacing w:after="0" w:line="319" w:lineRule="auto"/>
        <w:rPr>
          <w:sz w:val="20"/>
          <w:szCs w:val="20"/>
          <w:color w:val="auto"/>
        </w:rPr>
      </w:pPr>
      <w:r>
        <w:rPr>
          <w:rFonts w:ascii="Arial" w:cs="Arial" w:eastAsia="Arial" w:hAnsi="Arial"/>
          <w:sz w:val="24"/>
          <w:szCs w:val="24"/>
          <w:color w:val="auto"/>
        </w:rPr>
        <w:t xml:space="preserve">DANTAS, José A. Determinantes do spread bancário ex post no mercado brasileiro. </w:t>
      </w:r>
      <w:r>
        <w:rPr>
          <w:rFonts w:ascii="Arial" w:cs="Arial" w:eastAsia="Arial" w:hAnsi="Arial"/>
          <w:sz w:val="24"/>
          <w:szCs w:val="24"/>
          <w:b w:val="1"/>
          <w:bCs w:val="1"/>
          <w:color w:val="auto"/>
        </w:rPr>
        <w:t>REV. ADM. MACKENZIE</w:t>
      </w:r>
      <w:r>
        <w:rPr>
          <w:rFonts w:ascii="Arial" w:cs="Arial" w:eastAsia="Arial" w:hAnsi="Arial"/>
          <w:sz w:val="24"/>
          <w:szCs w:val="24"/>
          <w:color w:val="auto"/>
        </w:rPr>
        <w:t>, UNIVERSIDADE PRESBITERIANA MACKENZIE, v. 13, n. 4,</w:t>
      </w:r>
      <w:r>
        <w:rPr>
          <w:rFonts w:ascii="Arial" w:cs="Arial" w:eastAsia="Arial" w:hAnsi="Arial"/>
          <w:sz w:val="24"/>
          <w:szCs w:val="24"/>
          <w:b w:val="1"/>
          <w:bCs w:val="1"/>
          <w:color w:val="auto"/>
        </w:rPr>
        <w:t xml:space="preserve"> </w:t>
      </w:r>
      <w:r>
        <w:rPr>
          <w:rFonts w:ascii="Arial" w:cs="Arial" w:eastAsia="Arial" w:hAnsi="Arial"/>
          <w:sz w:val="24"/>
          <w:szCs w:val="24"/>
          <w:color w:val="auto"/>
        </w:rPr>
        <w:t>p. 48–74, 2012. Citado 22 vezes nas páginas 5, 6, 9, 13, 21–23, 25, 27, 30–32.</w:t>
      </w:r>
    </w:p>
    <w:p>
      <w:pPr>
        <w:spacing w:after="0" w:line="71" w:lineRule="exact"/>
        <w:rPr>
          <w:sz w:val="20"/>
          <w:szCs w:val="20"/>
          <w:color w:val="auto"/>
        </w:rPr>
      </w:pPr>
    </w:p>
    <w:p>
      <w:pPr>
        <w:ind w:left="260" w:right="520"/>
        <w:spacing w:after="0" w:line="321" w:lineRule="auto"/>
        <w:rPr>
          <w:rFonts w:ascii="Arial" w:cs="Arial" w:eastAsia="Arial" w:hAnsi="Arial"/>
          <w:sz w:val="24"/>
          <w:szCs w:val="24"/>
          <w:b w:val="1"/>
          <w:bCs w:val="1"/>
          <w:color w:val="auto"/>
        </w:rPr>
      </w:pPr>
      <w:r>
        <w:rPr>
          <w:rFonts w:ascii="Arial" w:cs="Arial" w:eastAsia="Arial" w:hAnsi="Arial"/>
          <w:sz w:val="24"/>
          <w:szCs w:val="24"/>
          <w:color w:val="auto"/>
        </w:rPr>
        <w:t xml:space="preserve">DEMIRGÜÇ-KUNT, Ash; HUIZINGAGA, Harry. Determinants of commercial bank interest margins and profitability: some international evidence. </w:t>
      </w:r>
      <w:r>
        <w:rPr>
          <w:rFonts w:ascii="Arial" w:cs="Arial" w:eastAsia="Arial" w:hAnsi="Arial"/>
          <w:sz w:val="24"/>
          <w:szCs w:val="24"/>
          <w:b w:val="1"/>
          <w:bCs w:val="1"/>
          <w:color w:val="auto"/>
        </w:rPr>
        <w:t>The World Bank Economic Review</w:t>
      </w:r>
      <w:r>
        <w:rPr>
          <w:rFonts w:ascii="Arial" w:cs="Arial" w:eastAsia="Arial" w:hAnsi="Arial"/>
          <w:sz w:val="24"/>
          <w:szCs w:val="24"/>
          <w:color w:val="auto"/>
        </w:rPr>
        <w:t xml:space="preserve">, v. 13, p. 379–408, 1 mai. 1999. Disponível em: </w:t>
      </w:r>
      <w:hyperlink r:id="rId37">
        <w:r>
          <w:rPr>
            <w:rFonts w:ascii="Arial" w:cs="Arial" w:eastAsia="Arial" w:hAnsi="Arial"/>
            <w:sz w:val="24"/>
            <w:szCs w:val="24"/>
            <w:color w:val="auto"/>
          </w:rPr>
          <w:t>&lt;https:</w:t>
        </w:r>
      </w:hyperlink>
    </w:p>
    <w:p>
      <w:pPr>
        <w:sectPr>
          <w:pgSz w:w="11900" w:h="16838" w:orient="portrait"/>
          <w:cols w:equalWidth="0" w:num="1">
            <w:col w:w="9360"/>
          </w:cols>
          <w:pgMar w:left="1440" w:top="991" w:right="1106" w:bottom="754" w:gutter="0" w:footer="0" w:header="0"/>
        </w:sectPr>
      </w:pPr>
    </w:p>
    <w:p>
      <w:pPr>
        <w:ind w:left="9060"/>
        <w:spacing w:after="0"/>
        <w:rPr>
          <w:rFonts w:ascii="Arial" w:cs="Arial" w:eastAsia="Arial" w:hAnsi="Arial"/>
          <w:sz w:val="24"/>
          <w:szCs w:val="24"/>
          <w:color w:val="auto"/>
        </w:rPr>
      </w:pPr>
      <w:hyperlink r:id="rId37">
        <w:r>
          <w:rPr>
            <w:rFonts w:ascii="Arial" w:cs="Arial" w:eastAsia="Arial" w:hAnsi="Arial"/>
            <w:sz w:val="24"/>
            <w:szCs w:val="24"/>
            <w:color w:val="auto"/>
          </w:rPr>
          <w:t>54</w:t>
        </w:r>
      </w:hyperlink>
    </w:p>
    <w:p>
      <w:pPr>
        <w:spacing w:after="0" w:line="200" w:lineRule="exact"/>
        <w:rPr>
          <w:sz w:val="20"/>
          <w:szCs w:val="20"/>
          <w:color w:val="auto"/>
        </w:rPr>
      </w:pPr>
    </w:p>
    <w:p>
      <w:pPr>
        <w:spacing w:after="0" w:line="246" w:lineRule="exact"/>
        <w:rPr>
          <w:sz w:val="20"/>
          <w:szCs w:val="20"/>
          <w:color w:val="auto"/>
        </w:rPr>
      </w:pPr>
    </w:p>
    <w:p>
      <w:pPr>
        <w:ind w:left="260"/>
        <w:spacing w:after="0"/>
        <w:rPr>
          <w:rFonts w:ascii="Arial" w:cs="Arial" w:eastAsia="Arial" w:hAnsi="Arial"/>
          <w:sz w:val="24"/>
          <w:szCs w:val="24"/>
          <w:color w:val="auto"/>
        </w:rPr>
      </w:pPr>
      <w:hyperlink r:id="rId37">
        <w:r>
          <w:rPr>
            <w:rFonts w:ascii="Arial" w:cs="Arial" w:eastAsia="Arial" w:hAnsi="Arial"/>
            <w:sz w:val="24"/>
            <w:szCs w:val="24"/>
            <w:color w:val="auto"/>
          </w:rPr>
          <w:t>//citeseerx.ist.psu.edu/viewdoc/download?doi=10.1.1.194.3108&amp;rep=rep1&amp;type=pdf&gt;.</w:t>
        </w:r>
      </w:hyperlink>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Acesso em: 8 set. 2020. Citado 3 vezes nas páginas 25, 26.</w:t>
      </w:r>
    </w:p>
    <w:p>
      <w:pPr>
        <w:spacing w:after="0" w:line="179" w:lineRule="exact"/>
        <w:rPr>
          <w:sz w:val="20"/>
          <w:szCs w:val="20"/>
          <w:color w:val="auto"/>
        </w:rPr>
      </w:pPr>
    </w:p>
    <w:p>
      <w:pPr>
        <w:ind w:left="260" w:right="80"/>
        <w:spacing w:after="0" w:line="325" w:lineRule="auto"/>
        <w:rPr>
          <w:sz w:val="20"/>
          <w:szCs w:val="20"/>
          <w:color w:val="auto"/>
        </w:rPr>
      </w:pPr>
      <w:r>
        <w:rPr>
          <w:rFonts w:ascii="Arial" w:cs="Arial" w:eastAsia="Arial" w:hAnsi="Arial"/>
          <w:sz w:val="23"/>
          <w:szCs w:val="23"/>
          <w:color w:val="auto"/>
        </w:rPr>
        <w:t xml:space="preserve">DURIGAN, Junior et al. Fatores macroeconômicos, indicadores industriais e o spread bancário no Brasil. </w:t>
      </w:r>
      <w:r>
        <w:rPr>
          <w:rFonts w:ascii="Arial" w:cs="Arial" w:eastAsia="Arial" w:hAnsi="Arial"/>
          <w:sz w:val="23"/>
          <w:szCs w:val="23"/>
          <w:b w:val="1"/>
          <w:bCs w:val="1"/>
          <w:color w:val="auto"/>
        </w:rPr>
        <w:t>Revista de Ciências da Administração - RCA</w:t>
      </w:r>
      <w:r>
        <w:rPr>
          <w:rFonts w:ascii="Arial" w:cs="Arial" w:eastAsia="Arial" w:hAnsi="Arial"/>
          <w:sz w:val="23"/>
          <w:szCs w:val="23"/>
          <w:color w:val="auto"/>
        </w:rPr>
        <w:t>, 2018. DOI:</w:t>
      </w:r>
    </w:p>
    <w:p>
      <w:pPr>
        <w:spacing w:after="0" w:line="1" w:lineRule="exact"/>
        <w:rPr>
          <w:sz w:val="20"/>
          <w:szCs w:val="20"/>
          <w:color w:val="auto"/>
        </w:rPr>
      </w:pPr>
    </w:p>
    <w:p>
      <w:pPr>
        <w:ind w:left="260"/>
        <w:spacing w:after="0"/>
        <w:rPr>
          <w:rFonts w:ascii="Arial" w:cs="Arial" w:eastAsia="Arial" w:hAnsi="Arial"/>
          <w:sz w:val="24"/>
          <w:szCs w:val="24"/>
          <w:color w:val="auto"/>
        </w:rPr>
      </w:pPr>
      <w:hyperlink r:id="rId38">
        <w:r>
          <w:rPr>
            <w:rFonts w:ascii="Arial" w:cs="Arial" w:eastAsia="Arial" w:hAnsi="Arial"/>
            <w:sz w:val="24"/>
            <w:szCs w:val="24"/>
            <w:color w:val="auto"/>
          </w:rPr>
          <w:t xml:space="preserve">10.5007/2175-8077.2018v20n51p26. </w:t>
        </w:r>
      </w:hyperlink>
      <w:r>
        <w:rPr>
          <w:rFonts w:ascii="Arial" w:cs="Arial" w:eastAsia="Arial" w:hAnsi="Arial"/>
          <w:sz w:val="24"/>
          <w:szCs w:val="24"/>
          <w:color w:val="auto"/>
        </w:rPr>
        <w:t>Citado 6 vezes nas páginas 25, 31, 32.</w:t>
      </w:r>
    </w:p>
    <w:p>
      <w:pPr>
        <w:spacing w:after="0" w:line="178" w:lineRule="exact"/>
        <w:rPr>
          <w:sz w:val="20"/>
          <w:szCs w:val="20"/>
          <w:color w:val="auto"/>
        </w:rPr>
      </w:pPr>
    </w:p>
    <w:p>
      <w:pPr>
        <w:ind w:left="260" w:right="1080"/>
        <w:spacing w:after="0" w:line="311" w:lineRule="auto"/>
        <w:rPr>
          <w:sz w:val="20"/>
          <w:szCs w:val="20"/>
          <w:color w:val="auto"/>
        </w:rPr>
      </w:pPr>
      <w:r>
        <w:rPr>
          <w:rFonts w:ascii="Arial" w:cs="Arial" w:eastAsia="Arial" w:hAnsi="Arial"/>
          <w:sz w:val="24"/>
          <w:szCs w:val="24"/>
          <w:color w:val="auto"/>
        </w:rPr>
        <w:t xml:space="preserve">FIPECAFI. </w:t>
      </w:r>
      <w:r>
        <w:rPr>
          <w:rFonts w:ascii="Arial" w:cs="Arial" w:eastAsia="Arial" w:hAnsi="Arial"/>
          <w:sz w:val="24"/>
          <w:szCs w:val="24"/>
          <w:b w:val="1"/>
          <w:bCs w:val="1"/>
          <w:color w:val="auto"/>
        </w:rPr>
        <w:t>ESTUDO SOBRE A APURAÇÃO DO SPREAD DA INDÚSTRIA BANCÁRIA</w:t>
      </w:r>
      <w:r>
        <w:rPr>
          <w:rFonts w:ascii="Arial" w:cs="Arial" w:eastAsia="Arial" w:hAnsi="Arial"/>
          <w:sz w:val="24"/>
          <w:szCs w:val="24"/>
          <w:color w:val="auto"/>
        </w:rPr>
        <w:t>. [S.l.], 2005. Disponível em:</w:t>
      </w:r>
    </w:p>
    <w:p>
      <w:pPr>
        <w:spacing w:after="0" w:line="2" w:lineRule="exact"/>
        <w:rPr>
          <w:sz w:val="20"/>
          <w:szCs w:val="20"/>
          <w:color w:val="auto"/>
        </w:rPr>
      </w:pPr>
    </w:p>
    <w:p>
      <w:pPr>
        <w:ind w:left="240"/>
        <w:spacing w:after="0"/>
        <w:rPr>
          <w:rFonts w:ascii="Arial" w:cs="Arial" w:eastAsia="Arial" w:hAnsi="Arial"/>
          <w:sz w:val="23"/>
          <w:szCs w:val="23"/>
          <w:color w:val="auto"/>
        </w:rPr>
      </w:pPr>
      <w:hyperlink r:id="rId27">
        <w:r>
          <w:rPr>
            <w:rFonts w:ascii="Arial" w:cs="Arial" w:eastAsia="Arial" w:hAnsi="Arial"/>
            <w:sz w:val="23"/>
            <w:szCs w:val="23"/>
            <w:color w:val="auto"/>
          </w:rPr>
          <w:t xml:space="preserve">&lt;https://www.bcb.gov.br/ftp/jurospread112000.pdf&gt;. </w:t>
        </w:r>
      </w:hyperlink>
      <w:r>
        <w:rPr>
          <w:rFonts w:ascii="Arial" w:cs="Arial" w:eastAsia="Arial" w:hAnsi="Arial"/>
          <w:sz w:val="23"/>
          <w:szCs w:val="23"/>
          <w:color w:val="auto"/>
        </w:rPr>
        <w:t>Citado 2 vezes nas páginas 26, 32.</w:t>
      </w:r>
    </w:p>
    <w:p>
      <w:pPr>
        <w:spacing w:after="0" w:line="190" w:lineRule="exact"/>
        <w:rPr>
          <w:sz w:val="20"/>
          <w:szCs w:val="20"/>
          <w:color w:val="auto"/>
        </w:rPr>
      </w:pPr>
    </w:p>
    <w:p>
      <w:pPr>
        <w:ind w:left="260" w:right="260"/>
        <w:spacing w:after="0" w:line="328" w:lineRule="auto"/>
        <w:rPr>
          <w:sz w:val="20"/>
          <w:szCs w:val="20"/>
          <w:color w:val="auto"/>
        </w:rPr>
      </w:pPr>
      <w:r>
        <w:rPr>
          <w:rFonts w:ascii="Arial" w:cs="Arial" w:eastAsia="Arial" w:hAnsi="Arial"/>
          <w:sz w:val="24"/>
          <w:szCs w:val="24"/>
          <w:color w:val="auto"/>
        </w:rPr>
        <w:t xml:space="preserve">HILL, R. Carter. </w:t>
      </w:r>
      <w:r>
        <w:rPr>
          <w:rFonts w:ascii="Arial" w:cs="Arial" w:eastAsia="Arial" w:hAnsi="Arial"/>
          <w:sz w:val="24"/>
          <w:szCs w:val="24"/>
          <w:b w:val="1"/>
          <w:bCs w:val="1"/>
          <w:color w:val="auto"/>
        </w:rPr>
        <w:t>Economertia</w:t>
      </w:r>
      <w:r>
        <w:rPr>
          <w:rFonts w:ascii="Arial" w:cs="Arial" w:eastAsia="Arial" w:hAnsi="Arial"/>
          <w:sz w:val="24"/>
          <w:szCs w:val="24"/>
          <w:color w:val="auto"/>
        </w:rPr>
        <w:t>. 3. ed. São Paulo: Saraiva, 2010. Citado 6 vezes nas páginas 40, 41.</w:t>
      </w:r>
    </w:p>
    <w:p>
      <w:pPr>
        <w:spacing w:after="0" w:line="59" w:lineRule="exact"/>
        <w:rPr>
          <w:sz w:val="20"/>
          <w:szCs w:val="20"/>
          <w:color w:val="auto"/>
        </w:rPr>
      </w:pPr>
    </w:p>
    <w:p>
      <w:pPr>
        <w:ind w:left="240" w:right="20" w:firstLine="28"/>
        <w:spacing w:after="0" w:line="315" w:lineRule="auto"/>
        <w:rPr>
          <w:rFonts w:ascii="Arial" w:cs="Arial" w:eastAsia="Arial" w:hAnsi="Arial"/>
          <w:sz w:val="24"/>
          <w:szCs w:val="24"/>
          <w:color w:val="auto"/>
        </w:rPr>
      </w:pPr>
      <w:r>
        <w:rPr>
          <w:rFonts w:ascii="Arial" w:cs="Arial" w:eastAsia="Arial" w:hAnsi="Arial"/>
          <w:sz w:val="24"/>
          <w:szCs w:val="24"/>
          <w:color w:val="auto"/>
        </w:rPr>
        <w:t xml:space="preserve">HO, Thomas S. Y.; SAUNDERS, Anthony. The Determinants of Bank Interest Margins: Theory and Empirical Evidence. </w:t>
      </w:r>
      <w:r>
        <w:rPr>
          <w:rFonts w:ascii="Arial" w:cs="Arial" w:eastAsia="Arial" w:hAnsi="Arial"/>
          <w:sz w:val="24"/>
          <w:szCs w:val="24"/>
          <w:b w:val="1"/>
          <w:bCs w:val="1"/>
          <w:color w:val="auto"/>
        </w:rPr>
        <w:t>Journal of Financial and Quantitative Analysis</w:t>
      </w:r>
      <w:r>
        <w:rPr>
          <w:rFonts w:ascii="Arial" w:cs="Arial" w:eastAsia="Arial" w:hAnsi="Arial"/>
          <w:sz w:val="24"/>
          <w:szCs w:val="24"/>
          <w:color w:val="auto"/>
        </w:rPr>
        <w:t xml:space="preserve">, v. 16, n. 4, p. 581–600, 1981. Disponível em: </w:t>
      </w:r>
      <w:hyperlink r:id="rId39">
        <w:r>
          <w:rPr>
            <w:rFonts w:ascii="Arial" w:cs="Arial" w:eastAsia="Arial" w:hAnsi="Arial"/>
            <w:sz w:val="24"/>
            <w:szCs w:val="24"/>
            <w:color w:val="auto"/>
          </w:rPr>
          <w:t>&lt;https://EconPapers.repec.org/RePEc:cup:jfinqa:v:16:y:1981:i:04:p:581-600_</w:t>
        </w:r>
      </w:hyperlink>
      <w:r>
        <w:rPr>
          <w:rFonts w:ascii="Arial" w:cs="Arial" w:eastAsia="Arial" w:hAnsi="Arial"/>
          <w:sz w:val="24"/>
          <w:szCs w:val="24"/>
          <w:color w:val="auto"/>
        </w:rPr>
        <w:t>00&gt;. Citado 1 vez na página 26.</w:t>
      </w:r>
    </w:p>
    <w:p>
      <w:pPr>
        <w:spacing w:after="0" w:line="78"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IMF, WORLD BANK; </w:t>
      </w:r>
      <w:r>
        <w:rPr>
          <w:rFonts w:ascii="Arial" w:cs="Arial" w:eastAsia="Arial" w:hAnsi="Arial"/>
          <w:sz w:val="24"/>
          <w:szCs w:val="24"/>
          <w:b w:val="1"/>
          <w:bCs w:val="1"/>
          <w:color w:val="auto"/>
        </w:rPr>
        <w:t>Financial sector Assessment: a handbook</w:t>
      </w:r>
      <w:r>
        <w:rPr>
          <w:rFonts w:ascii="Arial" w:cs="Arial" w:eastAsia="Arial" w:hAnsi="Arial"/>
          <w:sz w:val="24"/>
          <w:szCs w:val="24"/>
          <w:color w:val="auto"/>
        </w:rPr>
        <w:t>. Washington DCo:</w:t>
      </w:r>
    </w:p>
    <w:p>
      <w:pPr>
        <w:spacing w:after="0" w:line="83" w:lineRule="exact"/>
        <w:rPr>
          <w:sz w:val="20"/>
          <w:szCs w:val="20"/>
          <w:color w:val="auto"/>
        </w:rPr>
      </w:pPr>
    </w:p>
    <w:p>
      <w:pPr>
        <w:jc w:val="both"/>
        <w:ind w:left="260" w:right="100"/>
        <w:spacing w:after="0" w:line="338" w:lineRule="auto"/>
        <w:rPr>
          <w:rFonts w:ascii="Arial" w:cs="Arial" w:eastAsia="Arial" w:hAnsi="Arial"/>
          <w:sz w:val="23"/>
          <w:szCs w:val="23"/>
          <w:color w:val="auto"/>
        </w:rPr>
      </w:pPr>
      <w:r>
        <w:rPr>
          <w:rFonts w:ascii="Arial" w:cs="Arial" w:eastAsia="Arial" w:hAnsi="Arial"/>
          <w:sz w:val="23"/>
          <w:szCs w:val="23"/>
          <w:color w:val="auto"/>
        </w:rPr>
        <w:t xml:space="preserve">The World Bank, 2005. Disponível em: </w:t>
      </w:r>
      <w:hyperlink r:id="rId40">
        <w:r>
          <w:rPr>
            <w:rFonts w:ascii="Arial" w:cs="Arial" w:eastAsia="Arial" w:hAnsi="Arial"/>
            <w:sz w:val="23"/>
            <w:szCs w:val="23"/>
            <w:color w:val="auto"/>
          </w:rPr>
          <w:t>&lt;http://documents1.worldbank.org/curated/en/</w:t>
        </w:r>
      </w:hyperlink>
      <w:r>
        <w:rPr>
          <w:rFonts w:ascii="Arial" w:cs="Arial" w:eastAsia="Arial" w:hAnsi="Arial"/>
          <w:sz w:val="23"/>
          <w:szCs w:val="23"/>
          <w:color w:val="auto"/>
        </w:rPr>
        <w:t xml:space="preserve"> </w:t>
      </w:r>
      <w:hyperlink r:id="rId40">
        <w:r>
          <w:rPr>
            <w:rFonts w:ascii="Arial" w:cs="Arial" w:eastAsia="Arial" w:hAnsi="Arial"/>
            <w:sz w:val="23"/>
            <w:szCs w:val="23"/>
            <w:color w:val="auto"/>
          </w:rPr>
          <w:t xml:space="preserve">306701468337879923/pdf/337970rev0Fina10Assessment01PUBLIC1.pdf&gt;. </w:t>
        </w:r>
      </w:hyperlink>
      <w:r>
        <w:rPr>
          <w:rFonts w:ascii="Arial" w:cs="Arial" w:eastAsia="Arial" w:hAnsi="Arial"/>
          <w:sz w:val="23"/>
          <w:szCs w:val="23"/>
          <w:color w:val="auto"/>
        </w:rPr>
        <w:t>Citado 4 vezes nas páginas 5, 23.</w:t>
      </w:r>
    </w:p>
    <w:p>
      <w:pPr>
        <w:spacing w:after="0" w:line="54" w:lineRule="exact"/>
        <w:rPr>
          <w:sz w:val="20"/>
          <w:szCs w:val="20"/>
          <w:color w:val="auto"/>
        </w:rPr>
      </w:pPr>
    </w:p>
    <w:p>
      <w:pPr>
        <w:ind w:left="260" w:right="60"/>
        <w:spacing w:after="0" w:line="319" w:lineRule="auto"/>
        <w:rPr>
          <w:sz w:val="20"/>
          <w:szCs w:val="20"/>
          <w:color w:val="auto"/>
        </w:rPr>
      </w:pPr>
      <w:r>
        <w:rPr>
          <w:rFonts w:ascii="Arial" w:cs="Arial" w:eastAsia="Arial" w:hAnsi="Arial"/>
          <w:sz w:val="24"/>
          <w:szCs w:val="24"/>
          <w:color w:val="auto"/>
        </w:rPr>
        <w:t xml:space="preserve">JAMES, Gareth; WITTEN, Daniela; HASTIE TREVOR; TIBSHIRANI, Robert. </w:t>
      </w:r>
      <w:r>
        <w:rPr>
          <w:rFonts w:ascii="Arial" w:cs="Arial" w:eastAsia="Arial" w:hAnsi="Arial"/>
          <w:sz w:val="24"/>
          <w:szCs w:val="24"/>
          <w:b w:val="1"/>
          <w:bCs w:val="1"/>
          <w:color w:val="auto"/>
        </w:rPr>
        <w:t>An Introduction to Statistical Learning</w:t>
      </w:r>
      <w:r>
        <w:rPr>
          <w:rFonts w:ascii="Arial" w:cs="Arial" w:eastAsia="Arial" w:hAnsi="Arial"/>
          <w:sz w:val="24"/>
          <w:szCs w:val="24"/>
          <w:color w:val="auto"/>
        </w:rPr>
        <w:t>. 8. ed. New York: Springer, 2017. Citado 6 vezes</w:t>
      </w:r>
      <w:r>
        <w:rPr>
          <w:rFonts w:ascii="Arial" w:cs="Arial" w:eastAsia="Arial" w:hAnsi="Arial"/>
          <w:sz w:val="24"/>
          <w:szCs w:val="24"/>
          <w:b w:val="1"/>
          <w:bCs w:val="1"/>
          <w:color w:val="auto"/>
        </w:rPr>
        <w:t xml:space="preserve"> </w:t>
      </w:r>
      <w:r>
        <w:rPr>
          <w:rFonts w:ascii="Arial" w:cs="Arial" w:eastAsia="Arial" w:hAnsi="Arial"/>
          <w:sz w:val="24"/>
          <w:szCs w:val="24"/>
          <w:color w:val="auto"/>
        </w:rPr>
        <w:t>nas páginas 40, 47, 48.</w:t>
      </w:r>
    </w:p>
    <w:p>
      <w:pPr>
        <w:spacing w:after="0" w:line="71" w:lineRule="exact"/>
        <w:rPr>
          <w:sz w:val="20"/>
          <w:szCs w:val="20"/>
          <w:color w:val="auto"/>
        </w:rPr>
      </w:pPr>
    </w:p>
    <w:p>
      <w:pPr>
        <w:ind w:left="240" w:right="20" w:firstLine="28"/>
        <w:spacing w:after="0" w:line="319" w:lineRule="auto"/>
        <w:rPr>
          <w:rFonts w:ascii="Arial" w:cs="Arial" w:eastAsia="Arial" w:hAnsi="Arial"/>
          <w:sz w:val="24"/>
          <w:szCs w:val="24"/>
          <w:color w:val="auto"/>
        </w:rPr>
      </w:pPr>
      <w:r>
        <w:rPr>
          <w:rFonts w:ascii="Arial" w:cs="Arial" w:eastAsia="Arial" w:hAnsi="Arial"/>
          <w:sz w:val="24"/>
          <w:szCs w:val="24"/>
          <w:color w:val="auto"/>
        </w:rPr>
        <w:t xml:space="preserve">KLEIN, Michael A. A Theory of the Banking Firm. </w:t>
      </w:r>
      <w:r>
        <w:rPr>
          <w:rFonts w:ascii="Arial" w:cs="Arial" w:eastAsia="Arial" w:hAnsi="Arial"/>
          <w:sz w:val="24"/>
          <w:szCs w:val="24"/>
          <w:b w:val="1"/>
          <w:bCs w:val="1"/>
          <w:color w:val="auto"/>
        </w:rPr>
        <w:t>Journal of Money, Credit and Banking</w:t>
      </w:r>
      <w:r>
        <w:rPr>
          <w:rFonts w:ascii="Arial" w:cs="Arial" w:eastAsia="Arial" w:hAnsi="Arial"/>
          <w:sz w:val="24"/>
          <w:szCs w:val="24"/>
          <w:color w:val="auto"/>
        </w:rPr>
        <w:t>, Ohio State University Press, v. 3, n. 2, p. 205–218, mai. 1971. Disponível em:</w:t>
      </w:r>
      <w:r>
        <w:rPr>
          <w:rFonts w:ascii="Arial" w:cs="Arial" w:eastAsia="Arial" w:hAnsi="Arial"/>
          <w:sz w:val="24"/>
          <w:szCs w:val="24"/>
          <w:b w:val="1"/>
          <w:bCs w:val="1"/>
          <w:color w:val="auto"/>
        </w:rPr>
        <w:t xml:space="preserve"> </w:t>
      </w:r>
      <w:hyperlink r:id="rId41">
        <w:r>
          <w:rPr>
            <w:rFonts w:ascii="Arial" w:cs="Arial" w:eastAsia="Arial" w:hAnsi="Arial"/>
            <w:sz w:val="24"/>
            <w:szCs w:val="24"/>
            <w:color w:val="auto"/>
          </w:rPr>
          <w:t xml:space="preserve">&lt;http://www.jstor.org/stable/1991279&gt;. </w:t>
        </w:r>
      </w:hyperlink>
      <w:r>
        <w:rPr>
          <w:rFonts w:ascii="Arial" w:cs="Arial" w:eastAsia="Arial" w:hAnsi="Arial"/>
          <w:sz w:val="24"/>
          <w:szCs w:val="24"/>
          <w:color w:val="auto"/>
        </w:rPr>
        <w:t>Citado 2 vezes nas páginas 13, 26.</w:t>
      </w:r>
    </w:p>
    <w:p>
      <w:pPr>
        <w:spacing w:after="0" w:line="71" w:lineRule="exact"/>
        <w:rPr>
          <w:sz w:val="20"/>
          <w:szCs w:val="20"/>
          <w:color w:val="auto"/>
        </w:rPr>
      </w:pPr>
    </w:p>
    <w:p>
      <w:pPr>
        <w:ind w:left="260" w:right="260"/>
        <w:spacing w:after="0" w:line="317" w:lineRule="auto"/>
        <w:rPr>
          <w:sz w:val="20"/>
          <w:szCs w:val="20"/>
          <w:color w:val="auto"/>
        </w:rPr>
      </w:pPr>
      <w:r>
        <w:rPr>
          <w:rFonts w:ascii="Arial" w:cs="Arial" w:eastAsia="Arial" w:hAnsi="Arial"/>
          <w:sz w:val="24"/>
          <w:szCs w:val="24"/>
          <w:color w:val="auto"/>
        </w:rPr>
        <w:t xml:space="preserve">LEAL, Rodrigo Mendes. </w:t>
      </w:r>
      <w:r>
        <w:rPr>
          <w:rFonts w:ascii="Arial" w:cs="Arial" w:eastAsia="Arial" w:hAnsi="Arial"/>
          <w:sz w:val="24"/>
          <w:szCs w:val="24"/>
          <w:b w:val="1"/>
          <w:bCs w:val="1"/>
          <w:color w:val="auto"/>
        </w:rPr>
        <w:t>Estrutura e determinantes do spread bancário no Brasil:uma resenha comparativa da literatura empírica</w:t>
      </w:r>
      <w:r>
        <w:rPr>
          <w:rFonts w:ascii="Arial" w:cs="Arial" w:eastAsia="Arial" w:hAnsi="Arial"/>
          <w:sz w:val="24"/>
          <w:szCs w:val="24"/>
          <w:color w:val="auto"/>
        </w:rPr>
        <w:t>. Rio de Janeiro:</w:t>
      </w:r>
      <w:r>
        <w:rPr>
          <w:rFonts w:ascii="Arial" w:cs="Arial" w:eastAsia="Arial" w:hAnsi="Arial"/>
          <w:sz w:val="24"/>
          <w:szCs w:val="24"/>
          <w:b w:val="1"/>
          <w:bCs w:val="1"/>
          <w:color w:val="auto"/>
        </w:rPr>
        <w:t xml:space="preserve"> </w:t>
      </w:r>
      <w:r>
        <w:rPr>
          <w:rFonts w:ascii="Arial" w:cs="Arial" w:eastAsia="Arial" w:hAnsi="Arial"/>
          <w:sz w:val="24"/>
          <w:szCs w:val="24"/>
          <w:color w:val="auto"/>
        </w:rPr>
        <w:t>Universidade do Estado do Rio de Janeiro, 2006. Citado 10 vezes nas páginas 5, 6, 23–25, 32.</w:t>
      </w:r>
    </w:p>
    <w:p>
      <w:pPr>
        <w:spacing w:after="0" w:line="7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LEITE, J. C. </w:t>
      </w:r>
      <w:r>
        <w:rPr>
          <w:rFonts w:ascii="Arial" w:cs="Arial" w:eastAsia="Arial" w:hAnsi="Arial"/>
          <w:sz w:val="24"/>
          <w:szCs w:val="24"/>
          <w:b w:val="1"/>
          <w:bCs w:val="1"/>
          <w:color w:val="auto"/>
        </w:rPr>
        <w:t>Tecnologia e organizações: um estudo sobre os efeitos da</w:t>
      </w:r>
    </w:p>
    <w:p>
      <w:pPr>
        <w:spacing w:after="0" w:line="83" w:lineRule="exact"/>
        <w:rPr>
          <w:sz w:val="20"/>
          <w:szCs w:val="20"/>
          <w:color w:val="auto"/>
        </w:rPr>
      </w:pPr>
    </w:p>
    <w:p>
      <w:pPr>
        <w:ind w:left="260" w:right="900" w:firstLine="8"/>
        <w:spacing w:after="0" w:line="328" w:lineRule="auto"/>
        <w:rPr>
          <w:sz w:val="20"/>
          <w:szCs w:val="20"/>
          <w:color w:val="auto"/>
        </w:rPr>
      </w:pPr>
      <w:r>
        <w:rPr>
          <w:rFonts w:ascii="Arial" w:cs="Arial" w:eastAsia="Arial" w:hAnsi="Arial"/>
          <w:sz w:val="24"/>
          <w:szCs w:val="24"/>
          <w:b w:val="1"/>
          <w:bCs w:val="1"/>
          <w:color w:val="auto"/>
        </w:rPr>
        <w:t>introdução de novas tecnologias no setor bancário brasileiro</w:t>
      </w:r>
      <w:r>
        <w:rPr>
          <w:rFonts w:ascii="Arial" w:cs="Arial" w:eastAsia="Arial" w:hAnsi="Arial"/>
          <w:sz w:val="24"/>
          <w:szCs w:val="24"/>
          <w:color w:val="auto"/>
        </w:rPr>
        <w:t>. 1996. Tese (Doutorado) – São Paulo. Citado 1 vez na página 5.</w:t>
      </w:r>
    </w:p>
    <w:p>
      <w:pPr>
        <w:spacing w:after="0" w:line="59" w:lineRule="exact"/>
        <w:rPr>
          <w:sz w:val="20"/>
          <w:szCs w:val="20"/>
          <w:color w:val="auto"/>
        </w:rPr>
      </w:pPr>
    </w:p>
    <w:p>
      <w:pPr>
        <w:ind w:left="240" w:right="340" w:firstLine="28"/>
        <w:spacing w:after="0" w:line="334" w:lineRule="auto"/>
        <w:rPr>
          <w:rFonts w:ascii="Arial" w:cs="Arial" w:eastAsia="Arial" w:hAnsi="Arial"/>
          <w:sz w:val="23"/>
          <w:szCs w:val="23"/>
          <w:color w:val="auto"/>
        </w:rPr>
      </w:pPr>
      <w:r>
        <w:rPr>
          <w:rFonts w:ascii="Arial" w:cs="Arial" w:eastAsia="Arial" w:hAnsi="Arial"/>
          <w:sz w:val="23"/>
          <w:szCs w:val="23"/>
          <w:color w:val="auto"/>
        </w:rPr>
        <w:t xml:space="preserve">LEVINE, Ross. Financial Development and Economic Growth: Views and Agenda. </w:t>
      </w:r>
      <w:r>
        <w:rPr>
          <w:rFonts w:ascii="Arial" w:cs="Arial" w:eastAsia="Arial" w:hAnsi="Arial"/>
          <w:sz w:val="23"/>
          <w:szCs w:val="23"/>
          <w:b w:val="1"/>
          <w:bCs w:val="1"/>
          <w:color w:val="auto"/>
        </w:rPr>
        <w:t>Journal of Economic Literature</w:t>
      </w:r>
      <w:r>
        <w:rPr>
          <w:rFonts w:ascii="Arial" w:cs="Arial" w:eastAsia="Arial" w:hAnsi="Arial"/>
          <w:sz w:val="23"/>
          <w:szCs w:val="23"/>
          <w:color w:val="auto"/>
        </w:rPr>
        <w:t>, American Economic Association, v. 35, n. 2,</w:t>
      </w:r>
      <w:r>
        <w:rPr>
          <w:rFonts w:ascii="Arial" w:cs="Arial" w:eastAsia="Arial" w:hAnsi="Arial"/>
          <w:sz w:val="23"/>
          <w:szCs w:val="23"/>
          <w:b w:val="1"/>
          <w:bCs w:val="1"/>
          <w:color w:val="auto"/>
        </w:rPr>
        <w:t xml:space="preserve"> </w:t>
      </w:r>
      <w:r>
        <w:rPr>
          <w:rFonts w:ascii="Arial" w:cs="Arial" w:eastAsia="Arial" w:hAnsi="Arial"/>
          <w:sz w:val="23"/>
          <w:szCs w:val="23"/>
          <w:color w:val="auto"/>
        </w:rPr>
        <w:t xml:space="preserve">p. 688–726, 1997. ISSN 00220515. Disponível em: </w:t>
      </w:r>
      <w:hyperlink r:id="rId42">
        <w:r>
          <w:rPr>
            <w:rFonts w:ascii="Arial" w:cs="Arial" w:eastAsia="Arial" w:hAnsi="Arial"/>
            <w:sz w:val="23"/>
            <w:szCs w:val="23"/>
            <w:color w:val="auto"/>
          </w:rPr>
          <w:t xml:space="preserve">&lt;http://www.jstor.org/stable/2729790&gt;. </w:t>
        </w:r>
      </w:hyperlink>
      <w:r>
        <w:rPr>
          <w:rFonts w:ascii="Arial" w:cs="Arial" w:eastAsia="Arial" w:hAnsi="Arial"/>
          <w:sz w:val="23"/>
          <w:szCs w:val="23"/>
          <w:color w:val="auto"/>
        </w:rPr>
        <w:t>Citado 6 vezes nas páginas 5, 6, 16, 23, 25.</w:t>
      </w:r>
    </w:p>
    <w:p>
      <w:pPr>
        <w:sectPr>
          <w:pgSz w:w="11900" w:h="16838" w:orient="portrait"/>
          <w:cols w:equalWidth="0" w:num="1">
            <w:col w:w="9380"/>
          </w:cols>
          <w:pgMar w:left="1440" w:top="991" w:right="1086" w:bottom="651" w:gutter="0" w:footer="0" w:header="0"/>
        </w:sectPr>
      </w:pPr>
    </w:p>
    <w:p>
      <w:pPr>
        <w:jc w:val="right"/>
        <w:spacing w:after="0"/>
        <w:rPr>
          <w:sz w:val="20"/>
          <w:szCs w:val="20"/>
          <w:color w:val="auto"/>
        </w:rPr>
      </w:pPr>
      <w:r>
        <w:rPr>
          <w:rFonts w:ascii="Arial" w:cs="Arial" w:eastAsia="Arial" w:hAnsi="Arial"/>
          <w:sz w:val="24"/>
          <w:szCs w:val="24"/>
          <w:color w:val="auto"/>
        </w:rPr>
        <w:t>55</w:t>
      </w:r>
    </w:p>
    <w:p>
      <w:pPr>
        <w:spacing w:after="0" w:line="200" w:lineRule="exact"/>
        <w:rPr>
          <w:sz w:val="20"/>
          <w:szCs w:val="20"/>
          <w:color w:val="auto"/>
        </w:rPr>
      </w:pPr>
    </w:p>
    <w:p>
      <w:pPr>
        <w:spacing w:after="0" w:line="246" w:lineRule="exact"/>
        <w:rPr>
          <w:sz w:val="20"/>
          <w:szCs w:val="20"/>
          <w:color w:val="auto"/>
        </w:rPr>
      </w:pPr>
    </w:p>
    <w:p>
      <w:pPr>
        <w:ind w:left="260"/>
        <w:spacing w:after="0" w:line="311" w:lineRule="auto"/>
        <w:rPr>
          <w:sz w:val="20"/>
          <w:szCs w:val="20"/>
          <w:color w:val="auto"/>
        </w:rPr>
      </w:pPr>
      <w:r>
        <w:rPr>
          <w:rFonts w:ascii="Arial" w:cs="Arial" w:eastAsia="Arial" w:hAnsi="Arial"/>
          <w:sz w:val="24"/>
          <w:szCs w:val="24"/>
          <w:color w:val="auto"/>
        </w:rPr>
        <w:t xml:space="preserve">MAGALHÃES-TIMOTIO, João G. RELAÇÃO ENTRE INDICADORES CONTÁBEIS E O SPREAD EX-POST DOS BANCOS BRASILEIROS. </w:t>
      </w:r>
      <w:r>
        <w:rPr>
          <w:rFonts w:ascii="Arial" w:cs="Arial" w:eastAsia="Arial" w:hAnsi="Arial"/>
          <w:sz w:val="24"/>
          <w:szCs w:val="24"/>
          <w:b w:val="1"/>
          <w:bCs w:val="1"/>
          <w:color w:val="auto"/>
        </w:rPr>
        <w:t>RACEF – Revista de Administração, Contabilidade e Economia da Fundace</w:t>
      </w:r>
      <w:r>
        <w:rPr>
          <w:rFonts w:ascii="Arial" w:cs="Arial" w:eastAsia="Arial" w:hAnsi="Arial"/>
          <w:sz w:val="24"/>
          <w:szCs w:val="24"/>
          <w:color w:val="auto"/>
        </w:rPr>
        <w:t>, v. 9, n. 2, p. 31–44, 2018.</w:t>
      </w:r>
    </w:p>
    <w:p>
      <w:pPr>
        <w:spacing w:after="0" w:line="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Citado 4 vezes nas páginas 21, 30, 32.</w:t>
      </w:r>
    </w:p>
    <w:p>
      <w:pPr>
        <w:spacing w:after="0" w:line="179" w:lineRule="exact"/>
        <w:rPr>
          <w:sz w:val="20"/>
          <w:szCs w:val="20"/>
          <w:color w:val="auto"/>
        </w:rPr>
      </w:pPr>
    </w:p>
    <w:p>
      <w:pPr>
        <w:ind w:left="240" w:firstLine="28"/>
        <w:spacing w:after="0" w:line="315" w:lineRule="auto"/>
        <w:rPr>
          <w:rFonts w:ascii="Arial" w:cs="Arial" w:eastAsia="Arial" w:hAnsi="Arial"/>
          <w:sz w:val="24"/>
          <w:szCs w:val="24"/>
          <w:color w:val="auto"/>
        </w:rPr>
      </w:pPr>
      <w:r>
        <w:rPr>
          <w:rFonts w:ascii="Arial" w:cs="Arial" w:eastAsia="Arial" w:hAnsi="Arial"/>
          <w:sz w:val="24"/>
          <w:szCs w:val="24"/>
          <w:color w:val="auto"/>
        </w:rPr>
        <w:t xml:space="preserve">MATOS, Orlando Carneiro de. Inter-relações entre Desenvolvimento Financeiro, Exportações e Crescimento Econômico: Análise da Experiência Brasileira. In: NOTAS Técnicas do Banco Central do Brasil. Brasília: BCB, 2003. Disponível em: </w:t>
      </w:r>
      <w:hyperlink r:id="rId43">
        <w:r>
          <w:rPr>
            <w:rFonts w:ascii="Arial" w:cs="Arial" w:eastAsia="Arial" w:hAnsi="Arial"/>
            <w:sz w:val="24"/>
            <w:szCs w:val="24"/>
            <w:color w:val="auto"/>
          </w:rPr>
          <w:t>&lt;https://www.bcb.gov.br/content/publicacoes/notastecnicas/2003nt40Inter-</w:t>
        </w:r>
      </w:hyperlink>
      <w:hyperlink r:id="rId43">
        <w:r>
          <w:rPr>
            <w:rFonts w:ascii="Arial" w:cs="Arial" w:eastAsia="Arial" w:hAnsi="Arial"/>
            <w:sz w:val="24"/>
            <w:szCs w:val="24"/>
            <w:color w:val="auto"/>
          </w:rPr>
          <w:t xml:space="preserve">relentreDesenvFinanp.pdf&gt;. </w:t>
        </w:r>
      </w:hyperlink>
      <w:r>
        <w:rPr>
          <w:rFonts w:ascii="Arial" w:cs="Arial" w:eastAsia="Arial" w:hAnsi="Arial"/>
          <w:sz w:val="24"/>
          <w:szCs w:val="24"/>
          <w:color w:val="auto"/>
        </w:rPr>
        <w:t>Citado 2 vezes nas páginas 6, 16.</w:t>
      </w:r>
    </w:p>
    <w:p>
      <w:pPr>
        <w:spacing w:after="0" w:line="78" w:lineRule="exact"/>
        <w:rPr>
          <w:sz w:val="20"/>
          <w:szCs w:val="20"/>
          <w:color w:val="auto"/>
        </w:rPr>
      </w:pPr>
    </w:p>
    <w:p>
      <w:pPr>
        <w:ind w:left="260"/>
        <w:spacing w:after="0"/>
        <w:rPr>
          <w:sz w:val="20"/>
          <w:szCs w:val="20"/>
          <w:color w:val="auto"/>
        </w:rPr>
      </w:pPr>
      <w:r>
        <w:rPr>
          <w:rFonts w:ascii="Arial" w:cs="Arial" w:eastAsia="Arial" w:hAnsi="Arial"/>
          <w:sz w:val="24"/>
          <w:szCs w:val="24"/>
          <w:color w:val="auto"/>
        </w:rPr>
        <w:t>NEVES JÚNIOR, Idalberto José das; SOARES RIBEIRO, Francilanes;</w:t>
      </w:r>
    </w:p>
    <w:p>
      <w:pPr>
        <w:spacing w:after="0" w:line="83" w:lineRule="exact"/>
        <w:rPr>
          <w:sz w:val="20"/>
          <w:szCs w:val="20"/>
          <w:color w:val="auto"/>
        </w:rPr>
      </w:pPr>
    </w:p>
    <w:p>
      <w:pPr>
        <w:jc w:val="both"/>
        <w:ind w:left="260"/>
        <w:spacing w:after="0" w:line="325" w:lineRule="auto"/>
        <w:rPr>
          <w:sz w:val="20"/>
          <w:szCs w:val="20"/>
          <w:color w:val="auto"/>
        </w:rPr>
      </w:pPr>
      <w:r>
        <w:rPr>
          <w:rFonts w:ascii="Arial" w:cs="Arial" w:eastAsia="Arial" w:hAnsi="Arial"/>
          <w:sz w:val="23"/>
          <w:szCs w:val="23"/>
          <w:color w:val="auto"/>
        </w:rPr>
        <w:t xml:space="preserve">MENDES, Frederico. EFICIÊNCIA OPERACIONAL: UMA ANÁLISE EXPLORATÓRIA DOS 50 MAIORES BANCOS BRASILEIROS PELO RANKING BACEN. </w:t>
      </w:r>
      <w:r>
        <w:rPr>
          <w:rFonts w:ascii="Arial" w:cs="Arial" w:eastAsia="Arial" w:hAnsi="Arial"/>
          <w:sz w:val="23"/>
          <w:szCs w:val="23"/>
          <w:b w:val="1"/>
          <w:bCs w:val="1"/>
          <w:color w:val="auto"/>
        </w:rPr>
        <w:t>4º Congresso USP de Iniciação Científica em Contabilidade</w:t>
      </w:r>
      <w:r>
        <w:rPr>
          <w:rFonts w:ascii="Arial" w:cs="Arial" w:eastAsia="Arial" w:hAnsi="Arial"/>
          <w:sz w:val="23"/>
          <w:szCs w:val="23"/>
          <w:color w:val="auto"/>
        </w:rPr>
        <w:t>, USP, 2007. Disponível em:</w:t>
      </w:r>
    </w:p>
    <w:p>
      <w:pPr>
        <w:spacing w:after="0" w:line="1" w:lineRule="exact"/>
        <w:rPr>
          <w:sz w:val="20"/>
          <w:szCs w:val="20"/>
          <w:color w:val="auto"/>
        </w:rPr>
      </w:pPr>
    </w:p>
    <w:p>
      <w:pPr>
        <w:ind w:left="260" w:right="40" w:hanging="27"/>
        <w:spacing w:after="0" w:line="327" w:lineRule="auto"/>
        <w:rPr>
          <w:rFonts w:ascii="Arial" w:cs="Arial" w:eastAsia="Arial" w:hAnsi="Arial"/>
          <w:sz w:val="24"/>
          <w:szCs w:val="24"/>
          <w:color w:val="auto"/>
        </w:rPr>
      </w:pPr>
      <w:hyperlink r:id="rId44">
        <w:r>
          <w:rPr>
            <w:rFonts w:ascii="Arial" w:cs="Arial" w:eastAsia="Arial" w:hAnsi="Arial"/>
            <w:sz w:val="24"/>
            <w:szCs w:val="24"/>
            <w:color w:val="auto"/>
          </w:rPr>
          <w:t xml:space="preserve">&lt;https://intercostos.org/documentos/apellidos/Das%20Neves%201.pdf&gt;. </w:t>
        </w:r>
      </w:hyperlink>
      <w:r>
        <w:rPr>
          <w:rFonts w:ascii="Arial" w:cs="Arial" w:eastAsia="Arial" w:hAnsi="Arial"/>
          <w:sz w:val="24"/>
          <w:szCs w:val="24"/>
          <w:color w:val="auto"/>
        </w:rPr>
        <w:t>Citado 1 vez na página 5.</w:t>
      </w:r>
    </w:p>
    <w:p>
      <w:pPr>
        <w:spacing w:after="0" w:line="61" w:lineRule="exact"/>
        <w:rPr>
          <w:sz w:val="20"/>
          <w:szCs w:val="20"/>
          <w:color w:val="auto"/>
        </w:rPr>
      </w:pPr>
    </w:p>
    <w:p>
      <w:pPr>
        <w:ind w:left="260"/>
        <w:spacing w:after="0" w:line="321" w:lineRule="auto"/>
        <w:rPr>
          <w:sz w:val="20"/>
          <w:szCs w:val="20"/>
          <w:color w:val="auto"/>
        </w:rPr>
      </w:pPr>
      <w:r>
        <w:rPr>
          <w:rFonts w:ascii="Arial" w:cs="Arial" w:eastAsia="Arial" w:hAnsi="Arial"/>
          <w:sz w:val="24"/>
          <w:szCs w:val="24"/>
          <w:color w:val="auto"/>
        </w:rPr>
        <w:t xml:space="preserve">OREIRO, José Luís da Costa; PAULO, Luiz Fernando de. Determinantes macroeconômicos do spread bancário no Brasil: teoria e evidência recente. </w:t>
      </w:r>
      <w:r>
        <w:rPr>
          <w:rFonts w:ascii="Arial" w:cs="Arial" w:eastAsia="Arial" w:hAnsi="Arial"/>
          <w:sz w:val="24"/>
          <w:szCs w:val="24"/>
          <w:b w:val="1"/>
          <w:bCs w:val="1"/>
          <w:color w:val="auto"/>
        </w:rPr>
        <w:t>Economia Aplicada</w:t>
      </w:r>
      <w:r>
        <w:rPr>
          <w:rFonts w:ascii="Arial" w:cs="Arial" w:eastAsia="Arial" w:hAnsi="Arial"/>
          <w:sz w:val="24"/>
          <w:szCs w:val="24"/>
          <w:color w:val="auto"/>
        </w:rPr>
        <w:t>, v. 10, n. 4, p. 609–634, 2006. Citado 1 vez na página 31.</w:t>
      </w:r>
    </w:p>
    <w:p>
      <w:pPr>
        <w:spacing w:after="0" w:line="65" w:lineRule="exact"/>
        <w:rPr>
          <w:sz w:val="20"/>
          <w:szCs w:val="20"/>
          <w:color w:val="auto"/>
        </w:rPr>
      </w:pPr>
    </w:p>
    <w:p>
      <w:pPr>
        <w:ind w:left="260" w:right="80" w:firstLine="8"/>
        <w:spacing w:after="0" w:line="317" w:lineRule="auto"/>
        <w:rPr>
          <w:sz w:val="20"/>
          <w:szCs w:val="20"/>
          <w:color w:val="auto"/>
        </w:rPr>
      </w:pPr>
      <w:r>
        <w:rPr>
          <w:rFonts w:ascii="Arial" w:cs="Arial" w:eastAsia="Arial" w:hAnsi="Arial"/>
          <w:sz w:val="24"/>
          <w:szCs w:val="24"/>
          <w:color w:val="auto"/>
        </w:rPr>
        <w:t xml:space="preserve">ROVER, Suliani; TOMAZZIA, Eduardo Cardeal; FÁVER, Luiz Paulo. Determinantes Econômico-Financeiros e Macroeconômicos da Rentabilidade: Evidências Empíricas do Setor Bancário Brasileo. </w:t>
      </w:r>
      <w:r>
        <w:rPr>
          <w:rFonts w:ascii="Arial" w:cs="Arial" w:eastAsia="Arial" w:hAnsi="Arial"/>
          <w:sz w:val="24"/>
          <w:szCs w:val="24"/>
          <w:b w:val="1"/>
          <w:bCs w:val="1"/>
          <w:color w:val="auto"/>
        </w:rPr>
        <w:t>Revista Brasileira de Economia</w:t>
      </w:r>
      <w:r>
        <w:rPr>
          <w:rFonts w:ascii="Arial" w:cs="Arial" w:eastAsia="Arial" w:hAnsi="Arial"/>
          <w:sz w:val="24"/>
          <w:szCs w:val="24"/>
          <w:color w:val="auto"/>
        </w:rPr>
        <w:t>, XXXV Encontro da ANPAD, 2011. Citado 1 vez na página 9.</w:t>
      </w:r>
    </w:p>
    <w:p>
      <w:pPr>
        <w:spacing w:after="0" w:line="72" w:lineRule="exact"/>
        <w:rPr>
          <w:sz w:val="20"/>
          <w:szCs w:val="20"/>
          <w:color w:val="auto"/>
        </w:rPr>
      </w:pPr>
    </w:p>
    <w:p>
      <w:pPr>
        <w:ind w:left="260"/>
        <w:spacing w:after="0"/>
        <w:rPr>
          <w:sz w:val="20"/>
          <w:szCs w:val="20"/>
          <w:color w:val="auto"/>
        </w:rPr>
      </w:pPr>
      <w:r>
        <w:rPr>
          <w:rFonts w:ascii="Arial" w:cs="Arial" w:eastAsia="Arial" w:hAnsi="Arial"/>
          <w:sz w:val="24"/>
          <w:szCs w:val="24"/>
          <w:color w:val="auto"/>
        </w:rPr>
        <w:t xml:space="preserve">VASCONCELLOS, Marco Antonio Sandoval de. </w:t>
      </w:r>
      <w:r>
        <w:rPr>
          <w:rFonts w:ascii="Arial" w:cs="Arial" w:eastAsia="Arial" w:hAnsi="Arial"/>
          <w:sz w:val="24"/>
          <w:szCs w:val="24"/>
          <w:b w:val="1"/>
          <w:bCs w:val="1"/>
          <w:color w:val="auto"/>
        </w:rPr>
        <w:t>Macroeconomia</w:t>
      </w:r>
      <w:r>
        <w:rPr>
          <w:rFonts w:ascii="Arial" w:cs="Arial" w:eastAsia="Arial" w:hAnsi="Arial"/>
          <w:sz w:val="24"/>
          <w:szCs w:val="24"/>
          <w:color w:val="auto"/>
        </w:rPr>
        <w:t>. 3. ed. São Paulo:</w:t>
      </w:r>
    </w:p>
    <w:p>
      <w:pPr>
        <w:spacing w:after="0" w:line="83" w:lineRule="exact"/>
        <w:rPr>
          <w:sz w:val="20"/>
          <w:szCs w:val="20"/>
          <w:color w:val="auto"/>
        </w:rPr>
      </w:pPr>
    </w:p>
    <w:p>
      <w:pPr>
        <w:ind w:left="260"/>
        <w:spacing w:after="0"/>
        <w:rPr>
          <w:sz w:val="20"/>
          <w:szCs w:val="20"/>
          <w:color w:val="auto"/>
        </w:rPr>
      </w:pPr>
      <w:r>
        <w:rPr>
          <w:rFonts w:ascii="Arial" w:cs="Arial" w:eastAsia="Arial" w:hAnsi="Arial"/>
          <w:sz w:val="24"/>
          <w:szCs w:val="24"/>
          <w:color w:val="auto"/>
        </w:rPr>
        <w:t>Atlas, 2001. Citado 1 vez na página 19.</w:t>
      </w:r>
    </w:p>
    <w:sectPr>
      <w:pgSz w:w="11900" w:h="16838" w:orient="portrait"/>
      <w:cols w:equalWidth="0" w:num="1">
        <w:col w:w="9320"/>
      </w:cols>
      <w:pgMar w:left="1440" w:top="991" w:right="11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5B" w:usb2="00000009" w:usb3="00000000" w:csb0="400001FF" w:csb1="FFFF0000"/>
  </w:font>
  <w:font w:name="Helvetica">
    <w:panose1 w:val="020B0604020202020204"/>
    <w:charset w:val="00"/>
    <w:family w:val="swiss"/>
    <w:pitch w:val="variable"/>
    <w:sig w:usb0="E0002EFF" w:usb1="C000785B" w:usb2="00000009" w:usb3="00000000" w:csb0="400001FF" w:csb1="FFFF0000"/>
  </w:font>
  <w:font w:name="Times">
    <w:panose1 w:val="02020603050405020304"/>
    <w:charset w:val="00"/>
    <w:family w:val="roman"/>
    <w:pitch w:val="variable"/>
    <w:sig w:usb0="E0002EFF" w:usb1="C000785B"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6BB"/>
    <w:multiLevelType w:val="hybridMultilevel"/>
    <w:lvl w:ilvl="0">
      <w:lvlJc w:val="left"/>
      <w:lvlText w:val="3"/>
      <w:numFmt w:val="bullet"/>
      <w:start w:val="1"/>
    </w:lvl>
  </w:abstractNum>
  <w:abstractNum w:abstractNumId="1">
    <w:nsid w:val="428B"/>
    <w:multiLevelType w:val="hybridMultilevel"/>
    <w:lvl w:ilvl="0">
      <w:lvlJc w:val="left"/>
      <w:lvlText w:val="4"/>
      <w:numFmt w:val="bullet"/>
      <w:start w:val="1"/>
    </w:lvl>
  </w:abstractNum>
  <w:abstractNum w:abstractNumId="2">
    <w:nsid w:val="26A6"/>
    <w:multiLevelType w:val="hybridMultilevel"/>
    <w:lvl w:ilvl="0">
      <w:lvlJc w:val="left"/>
      <w:lvlText w:val="(%1)"/>
      <w:numFmt w:val="decimal"/>
      <w:start w:val="1"/>
    </w:lvl>
  </w:abstractNum>
  <w:abstractNum w:abstractNumId="3">
    <w:nsid w:val="701F"/>
    <w:multiLevelType w:val="hybridMultilevel"/>
    <w:lvl w:ilvl="0">
      <w:lvlJc w:val="left"/>
      <w:lvlText w:val="%1."/>
      <w:numFmt w:val="decimal"/>
      <w:start w:val="1"/>
    </w:lvl>
  </w:abstractNum>
  <w:abstractNum w:abstractNumId="4">
    <w:nsid w:val="5D03"/>
    <w:multiLevelType w:val="hybridMultilevel"/>
    <w:lvl w:ilvl="0">
      <w:lvlJc w:val="left"/>
      <w:lvlText w:val="1"/>
      <w:numFmt w:val="bullet"/>
      <w:start w:val="1"/>
    </w:lvl>
  </w:abstractNum>
  <w:abstractNum w:abstractNumId="5">
    <w:nsid w:val="7A5A"/>
    <w:multiLevelType w:val="hybridMultilevel"/>
    <w:lvl w:ilvl="0">
      <w:lvlJc w:val="left"/>
      <w:lvlText w:val="2"/>
      <w:numFmt w:val="bullet"/>
      <w:start w:val="1"/>
    </w:lvl>
  </w:abstractNum>
  <w:abstractNum w:abstractNumId="6">
    <w:nsid w:val="767D"/>
    <w:multiLevelType w:val="hybridMultilevel"/>
    <w:lvl w:ilvl="0">
      <w:lvlJc w:val="left"/>
      <w:lvlText w:val="\emdash "/>
      <w:numFmt w:val="bullet"/>
      <w:start w:val="1"/>
    </w:lvl>
  </w:abstractNum>
  <w:abstractNum w:abstractNumId="7">
    <w:nsid w:val="4509"/>
    <w:multiLevelType w:val="hybridMultilevel"/>
    <w:lvl w:ilvl="0">
      <w:lvlJc w:val="left"/>
      <w:lvlText w:val="1"/>
      <w:numFmt w:val="bullet"/>
      <w:start w:val="1"/>
    </w:lvl>
  </w:abstractNum>
  <w:abstractNum w:abstractNumId="8">
    <w:nsid w:val="1238"/>
    <w:multiLevelType w:val="hybridMultilevel"/>
    <w:lvl w:ilvl="0">
      <w:lvlJc w:val="left"/>
      <w:lvlText w:val="2"/>
      <w:numFmt w:val="bullet"/>
      <w:start w:val="1"/>
    </w:lvl>
  </w:abstractNum>
  <w:abstractNum w:abstractNumId="9">
    <w:nsid w:val="3B25"/>
    <w:multiLevelType w:val="hybridMultilevel"/>
    <w:lvl w:ilvl="0">
      <w:lvlJc w:val="left"/>
      <w:lvlText w:val="3"/>
      <w:numFmt w:val="bullet"/>
      <w:start w:val="1"/>
    </w:lvl>
  </w:abstractNum>
  <w:abstractNum w:abstractNumId="10">
    <w:nsid w:val="1E1F"/>
    <w:multiLevelType w:val="hybridMultilevel"/>
    <w:lvl w:ilvl="0">
      <w:lvlJc w:val="left"/>
      <w:lvlText w:val="4"/>
      <w:numFmt w:val="bullet"/>
      <w:start w:val="1"/>
    </w:lvl>
  </w:abstractNum>
  <w:abstractNum w:abstractNumId="11">
    <w:nsid w:val="6E5D"/>
    <w:multiLevelType w:val="hybridMultilevel"/>
    <w:lvl w:ilvl="0">
      <w:lvlJc w:val="left"/>
      <w:lvlText w:val="5"/>
      <w:numFmt w:val="bullet"/>
      <w:start w:val="1"/>
    </w:lvl>
  </w:abstractNum>
  <w:abstractNum w:abstractNumId="12">
    <w:nsid w:val="1AD4"/>
    <w:multiLevelType w:val="hybridMultilevel"/>
    <w:lvl w:ilvl="0">
      <w:lvlJc w:val="left"/>
      <w:lvlText w:val="•"/>
      <w:numFmt w:val="bullet"/>
      <w:start w:val="1"/>
    </w:lvl>
  </w:abstractNum>
  <w:abstractNum w:abstractNumId="13">
    <w:nsid w:val="63CB"/>
    <w:multiLevelType w:val="hybridMultilevel"/>
    <w:lvl w:ilvl="0">
      <w:lvlJc w:val="left"/>
      <w:lvlText w:val="6"/>
      <w:numFmt w:val="bullet"/>
      <w:start w:val="1"/>
    </w:lvl>
  </w:abstractNum>
  <w:abstractNum w:abstractNumId="14">
    <w:nsid w:val="6BFC"/>
    <w:multiLevelType w:val="hybridMultilevel"/>
    <w:lvl w:ilvl="0">
      <w:lvlJc w:val="left"/>
      <w:lvlText w:val="\emdash "/>
      <w:numFmt w:val="bullet"/>
      <w:start w:val="1"/>
    </w:lvl>
  </w:abstractNum>
  <w:abstractNum w:abstractNumId="15">
    <w:nsid w:val="7F96"/>
    <w:multiLevelType w:val="hybridMultilevel"/>
    <w:lvl w:ilvl="0">
      <w:lvlJc w:val="left"/>
      <w:lvlText w:val="•"/>
      <w:numFmt w:val="bullet"/>
      <w:start w:val="1"/>
    </w:lvl>
  </w:abstractNum>
  <w:abstractNum w:abstractNumId="16">
    <w:nsid w:val="7FF5"/>
    <w:multiLevelType w:val="hybridMultilevel"/>
    <w:lvl w:ilvl="0">
      <w:lvlJc w:val="left"/>
      <w:lvlText w:val="R"/>
      <w:numFmt w:val="bullet"/>
      <w:start w:val="1"/>
    </w:lvl>
  </w:abstractNum>
  <w:abstractNum w:abstractNumId="17">
    <w:nsid w:val="4E45"/>
    <w:multiLevelType w:val="hybridMultilevel"/>
    <w:lvl w:ilvl="0">
      <w:lvlJc w:val="left"/>
      <w:lvlText w:val="R"/>
      <w:numFmt w:val="bullet"/>
      <w:start w:val="1"/>
    </w:lvl>
  </w:abstractNum>
  <w:abstractNum w:abstractNumId="18">
    <w:nsid w:val="323B"/>
    <w:multiLevelType w:val="hybridMultilevel"/>
    <w:lvl w:ilvl="0">
      <w:lvlJc w:val="left"/>
      <w:lvlText w:val="1"/>
      <w:numFmt w:val="bullet"/>
      <w:start w:val="1"/>
    </w:lvl>
  </w:abstractNum>
  <w:abstractNum w:abstractNumId="19">
    <w:nsid w:val="2213"/>
    <w:multiLevelType w:val="hybridMultilevel"/>
    <w:lvl w:ilvl="0">
      <w:lvlJc w:val="left"/>
      <w:lvlText w:val="2"/>
      <w:numFmt w:val="bullet"/>
      <w:start w:val="1"/>
    </w:lvl>
  </w:abstractNum>
  <w:abstractNum w:abstractNumId="20">
    <w:nsid w:val="260D"/>
    <w:multiLevelType w:val="hybridMultilevel"/>
    <w:lvl w:ilvl="0">
      <w:lvlJc w:val="left"/>
      <w:lvlText w:val="3"/>
      <w:numFmt w:val="bullet"/>
      <w:start w:val="1"/>
    </w:lvl>
  </w:abstractNum>
  <w:abstractNum w:abstractNumId="21">
    <w:nsid w:val="6B89"/>
    <w:multiLevelType w:val="hybridMultilevel"/>
    <w:lvl w:ilvl="0">
      <w:lvlJc w:val="left"/>
      <w:lvlText w:val="-"/>
      <w:numFmt w:val="bullet"/>
      <w:start w:val="1"/>
    </w:lvl>
  </w:abstractNum>
  <w:abstractNum w:abstractNumId="22">
    <w:nsid w:val="30A"/>
    <w:multiLevelType w:val="hybridMultilevel"/>
    <w:lvl w:ilvl="0">
      <w:lvlJc w:val="left"/>
      <w:lvlText w:val="\emdash "/>
      <w:numFmt w:val="bullet"/>
      <w:start w:val="1"/>
    </w:lvl>
  </w:abstractNum>
  <w:abstractNum w:abstractNumId="23">
    <w:nsid w:val="301C"/>
    <w:multiLevelType w:val="hybridMultilevel"/>
    <w:lvl w:ilvl="0">
      <w:lvlJc w:val="left"/>
      <w:lvlText w:val="."/>
      <w:numFmt w:val="bullet"/>
      <w:start w:val="1"/>
    </w:lvl>
  </w:abstractNum>
  <w:abstractNum w:abstractNumId="24">
    <w:nsid w:val="BDB"/>
    <w:multiLevelType w:val="hybridMultilevel"/>
    <w:lvl w:ilvl="0">
      <w:lvlJc w:val="left"/>
      <w:lvlText w:val="."/>
      <w:numFmt w:val="bullet"/>
      <w:start w:val="1"/>
    </w:lvl>
  </w:abstractNum>
  <w:abstractNum w:abstractNumId="25">
    <w:nsid w:val="56AE"/>
    <w:multiLevelType w:val="hybridMultilevel"/>
    <w:lvl w:ilvl="0">
      <w:lvlJc w:val="left"/>
      <w:lvlText w:val="."/>
      <w:numFmt w:val="bullet"/>
      <w:start w:val="1"/>
    </w:lvl>
  </w:abstractNum>
  <w:abstractNum w:abstractNumId="26">
    <w:nsid w:val="732"/>
    <w:multiLevelType w:val="hybridMultilevel"/>
    <w:lvl w:ilvl="0">
      <w:lvlJc w:val="left"/>
      <w:lvlText w:val="."/>
      <w:numFmt w:val="bullet"/>
      <w:start w:val="1"/>
    </w:lvl>
  </w:abstractNum>
  <w:abstractNum w:abstractNumId="27">
    <w:nsid w:val="120"/>
    <w:multiLevelType w:val="hybridMultilevel"/>
    <w:lvl w:ilvl="0">
      <w:lvlJc w:val="left"/>
      <w:lvlText w:val="."/>
      <w:numFmt w:val="bullet"/>
      <w:start w:val="1"/>
    </w:lvl>
  </w:abstractNum>
  <w:abstractNum w:abstractNumId="28">
    <w:nsid w:val="759A"/>
    <w:multiLevelType w:val="hybridMultilevel"/>
    <w:lvl w:ilvl="0">
      <w:lvlJc w:val="left"/>
      <w:lvlText w:val="."/>
      <w:numFmt w:val="bullet"/>
      <w:start w:val="1"/>
    </w:lvl>
  </w:abstractNum>
  <w:abstractNum w:abstractNumId="29">
    <w:nsid w:val="2350"/>
    <w:multiLevelType w:val="hybridMultilevel"/>
    <w:lvl w:ilvl="0">
      <w:lvlJc w:val="left"/>
      <w:lvlText w:val="."/>
      <w:numFmt w:val="bullet"/>
      <w:start w:val="1"/>
    </w:lvl>
  </w:abstractNum>
  <w:abstractNum w:abstractNumId="30">
    <w:nsid w:val="22EE"/>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hyperlink" Target="https://www.bcb.gov.br/ftp/jurospread112000.pdf" TargetMode="External"/><Relationship Id="rId28" Type="http://schemas.openxmlformats.org/officeDocument/2006/relationships/hyperlink" Target="https://www.bcb.gov.br/content/publicacoes/programacaomonetaria/pm-022019p.pdf" TargetMode="External"/><Relationship Id="rId29" Type="http://schemas.openxmlformats.org/officeDocument/2006/relationships/hyperlink" Target="http://www.planalto.gov.br/ccivil_03/constituicao/constituicao.htm" TargetMode="External"/><Relationship Id="rId30" Type="http://schemas.openxmlformats.org/officeDocument/2006/relationships/hyperlink" Target="http://www.planalto.gov.br/ccivil_03/decreto-lei/del0759.htm" TargetMode="External"/><Relationship Id="rId31" Type="http://schemas.openxmlformats.org/officeDocument/2006/relationships/hyperlink" Target="http://www.planalto.gov.br/ccivil_03/leis/L4595.htm" TargetMode="External"/><Relationship Id="rId32" Type="http://schemas.openxmlformats.org/officeDocument/2006/relationships/hyperlink" Target="https://EconPapers.repec.org/RePEc:eee:deveco:v:63:y:2000:i:1:p:113-134" TargetMode="External"/><Relationship Id="rId33" Type="http://schemas.openxmlformats.org/officeDocument/2006/relationships/hyperlink" Target="https://www.bcb.gov.br/pre/normativos/busca/downloadNormativo.asp?arquivo=/Lists/Normativos/Attachments/45083/Res_2624_v1_O.pdf" TargetMode="External"/><Relationship Id="rId34" Type="http://schemas.openxmlformats.org/officeDocument/2006/relationships/hyperlink" Target="https://www.bcb.gov.br/pre/normativos/res/1976/pdf/res_0394_v13_P.pdf" TargetMode="External"/><Relationship Id="rId35" Type="http://schemas.openxmlformats.org/officeDocument/2006/relationships/hyperlink" Target="https://www.bcb.gov.br/pre/normativos/res/1988/pdf/res_1524_v8_P.pdf" TargetMode="External"/><Relationship Id="rId36" Type="http://schemas.openxmlformats.org/officeDocument/2006/relationships/hyperlink" Target="https://www.bcb.gov.br/pre/normativos/res/1994/pdf/res_2099_v1_O.pdf" TargetMode="External"/><Relationship Id="rId37" Type="http://schemas.openxmlformats.org/officeDocument/2006/relationships/hyperlink" Target="https://citeseerx.ist.psu.edu/viewdoc/download?doi=10.1.1.194.3108&amp;rep=rep1&amp;type=pdf" TargetMode="External"/><Relationship Id="rId38" Type="http://schemas.openxmlformats.org/officeDocument/2006/relationships/hyperlink" Target="https://doi.org/10.5007/2175-8077.2018v20n51p26" TargetMode="External"/><Relationship Id="rId39" Type="http://schemas.openxmlformats.org/officeDocument/2006/relationships/hyperlink" Target="https://EconPapers.repec.org/RePEc:cup:jfinqa:v:16:y:1981:i:04:p:581-600_00" TargetMode="External"/><Relationship Id="rId40" Type="http://schemas.openxmlformats.org/officeDocument/2006/relationships/hyperlink" Target="http://documents1.worldbank.org/curated/en/306701468337879923/pdf/337970rev0Fina10Assessment01PUBLIC1.pdf" TargetMode="External"/><Relationship Id="rId41" Type="http://schemas.openxmlformats.org/officeDocument/2006/relationships/hyperlink" Target="http://www.jstor.org/stable/1991279" TargetMode="External"/><Relationship Id="rId42" Type="http://schemas.openxmlformats.org/officeDocument/2006/relationships/hyperlink" Target="http://www.jstor.org/stable/2729790" TargetMode="External"/><Relationship Id="rId43" Type="http://schemas.openxmlformats.org/officeDocument/2006/relationships/hyperlink" Target="https://www.bcb.gov.br/content/publicacoes/notastecnicas/2003nt40Inter-relentreDesenvFinanp.pdf" TargetMode="External"/><Relationship Id="rId44" Type="http://schemas.openxmlformats.org/officeDocument/2006/relationships/hyperlink" Target="https://intercostos.org/documentos/apellidos/Das%20Neves%201.pdf"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2020-12-29T21:23:59Z</dcterms:created>
  <dcterms:modified xsi:type="dcterms:W3CDTF">2020-12-29T21:23:59Z</dcterms:modified>
</cp:coreProperties>
</file>