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rId21.png" ContentType="image/png"/>
  <Override PartName="/word/media/rId22.png" ContentType="image/png"/>
  <Override PartName="/word/media/rId20.png" ContentType="image/png"/>
  <Override PartName="/word/media/image2.png" ContentType="image/png"/>
  <Override PartName="/word/media/image3.png" ContentType="image/png"/>
  <Override PartName="/word/media/image1.png" ContentType="image/png"/>
  <Override PartName="/word/media/image5.png" ContentType="image/png"/>
  <Override PartName="/word/media/image4.png" ContentType="image/png"/>
  <Override PartName="/word/media/image6.png" ContentType="image/png"/>
  <Override PartName="/word/media/image9.png" ContentType="image/png"/>
  <Override PartName="/word/media/image10.png" ContentType="image/png"/>
  <Override PartName="/word/media/image8.png" ContentType="image/png"/>
  <Override PartName="/word/media/image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Jackson</w:t>
      </w:r>
      <w:r>
        <w:t xml:space="preserve"> </w:t>
      </w:r>
      <w:r>
        <w:t xml:space="preserve">da</w:t>
      </w:r>
      <w:r>
        <w:t xml:space="preserve"> </w:t>
      </w:r>
      <w:r>
        <w:t xml:space="preserve">Silva</w:t>
      </w:r>
      <w:r>
        <w:t xml:space="preserve"> </w:t>
      </w:r>
      <w:r>
        <w:t xml:space="preserve">Torres</w:t>
      </w:r>
    </w:p>
    <w:p>
      <w:pPr>
        <w:pStyle w:val="Date"/>
      </w:pP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Foi verificado o panorama das publicações de pesquisas relacionadas ao setor bancário no brasil, nos últimos 20 anos através da plataforma Capes, entre os anos 2000 e 2020. Foram utilizados os termos: Setor Bancário, Indústria Bancária, Mercado Bancário, Estrutura Bancária e Brasil</w:t>
      </w:r>
      <w:r>
        <w:t xml:space="preserve">, revisados por pares, remontando um total de 4.512 publicações, demonstrando a relevância do tema.</w:t>
      </w:r>
    </w:p>
    <w:p>
      <w:pPr>
        <w:pStyle w:val="BodyText"/>
      </w:pPr>
      <w:r>
        <w:t xml:space="preserve">Neste capítulo serão abordados os conceitos, características, composição e</w:t>
      </w:r>
      <w:r>
        <w:t xml:space="preserve"> </w:t>
      </w:r>
      <w:r>
        <w:t xml:space="preserve">evolução do setor bancário brasileiro, com objetivo de identificar variáveis</w:t>
      </w:r>
      <w:r>
        <w:t xml:space="preserve"> </w:t>
      </w:r>
      <w:r>
        <w:t xml:space="preserve">quantitativas e qualitativas relevantes para as análises dos componentes do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bancário.</w:t>
      </w:r>
    </w:p>
    <w:p>
      <w:pPr>
        <w:pStyle w:val="BodyText"/>
      </w:pPr>
      <w:r>
        <w:t xml:space="preserve">O setor bancário brasileiro é componente do Sistema Financeiro Nacional — SFN,</w:t>
      </w:r>
      <w:r>
        <w:t xml:space="preserve"> </w:t>
      </w:r>
      <w:r>
        <w:t xml:space="preserve">sob hierarquia normativa do Conselho Monetário Nacional - CMN e supervisão do</w:t>
      </w:r>
      <w:r>
        <w:t xml:space="preserve"> </w:t>
      </w:r>
      <w:r>
        <w:t xml:space="preserve">Banco Central do Brasil — BACEN. As instituições que formam o setor bancário</w:t>
      </w:r>
      <w:r>
        <w:t xml:space="preserve"> </w:t>
      </w:r>
      <w:r>
        <w:t xml:space="preserve">assumem o papel de operadoras no mercado de crédito, atuando como</w:t>
      </w:r>
      <w:r>
        <w:t xml:space="preserve"> </w:t>
      </w:r>
      <w:r>
        <w:t xml:space="preserve">intermediadoras financeiras junto as pessoas físicas e jurídicas, podendo ser</w:t>
      </w:r>
      <w:r>
        <w:t xml:space="preserve"> </w:t>
      </w:r>
      <w:r>
        <w:t xml:space="preserve">de caráter público ou privado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As modalidades de instituições no setor bancário brasileiro são os Bancos</w:t>
      </w:r>
      <w:r>
        <w:t xml:space="preserve"> </w:t>
      </w:r>
      <w:r>
        <w:t xml:space="preserve">Comerciais, Bancos de Investimentos, Bancos de Desenvolvimento, Bancos de</w:t>
      </w:r>
      <w:r>
        <w:t xml:space="preserve"> </w:t>
      </w:r>
      <w:r>
        <w:t xml:space="preserve">Câmbio, Bancos Múltiplos e Caixas Econômicas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Os bancos comerciais se configuram por instituições financeiras de caráter</w:t>
      </w:r>
      <w:r>
        <w:t xml:space="preserve"> </w:t>
      </w:r>
      <w:r>
        <w:t xml:space="preserve">público ou privado constituídas na forma de sociedade anônima</w:t>
      </w:r>
      <w:r>
        <w:t xml:space="preserve">, atuando na intermediação de</w:t>
      </w:r>
      <w:r>
        <w:t xml:space="preserve"> </w:t>
      </w:r>
      <w:r>
        <w:t xml:space="preserve">recursos financeiros de curto e médio prazo para financiamento de atividades</w:t>
      </w:r>
      <w:r>
        <w:t xml:space="preserve"> </w:t>
      </w:r>
      <w:r>
        <w:t xml:space="preserve">comerciais, industriais, serviços, pessoas físicas e terceiros, relizando</w:t>
      </w:r>
      <w:r>
        <w:t xml:space="preserve"> </w:t>
      </w:r>
      <w:r>
        <w:t xml:space="preserve">através de captações de depósitos à vista, de livre movimento, e depósitos à</w:t>
      </w:r>
      <w:r>
        <w:t xml:space="preserve"> </w:t>
      </w:r>
      <w:r>
        <w:t xml:space="preserve">prazo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A modalidade de Bancos de Investimento se caracterizam por instituições</w:t>
      </w:r>
      <w:r>
        <w:t xml:space="preserve"> </w:t>
      </w:r>
      <w:r>
        <w:t xml:space="preserve">financeiras privadas, na forma de sociedade anônima</w:t>
      </w:r>
      <w:r>
        <w:t xml:space="preserve">, operando participações temporárias em sociedades, financiamentos</w:t>
      </w:r>
      <w:r>
        <w:t xml:space="preserve"> </w:t>
      </w:r>
      <w:r>
        <w:t xml:space="preserve">produtivos para ativo fixo e capital de giro e gestão de recursos de terceiros.</w:t>
      </w:r>
      <w:r>
        <w:t xml:space="preserve"> </w:t>
      </w:r>
      <w:r>
        <w:t xml:space="preserve">Realizam captação de recursos por meio de depósitos a prazo, repasses externos</w:t>
      </w:r>
      <w:r>
        <w:t xml:space="preserve"> </w:t>
      </w:r>
      <w:r>
        <w:t xml:space="preserve">e internos e comercialização de cotas de fundos de investimentos que</w:t>
      </w:r>
      <w:r>
        <w:t xml:space="preserve"> </w:t>
      </w:r>
      <w:r>
        <w:t xml:space="preserve">administram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Na categoria de Bancos de Desenvolvimento, são autorizadas instituições financeiras de caráter público, controladas por governos estaduais, com foco em financiamento de atividades que promovam o desenvolvimento econômico regional no médio e longo prazo, realizando operações passivas de depósitos a prazo, recursos externos, endossos hipotecários e operações ativas de empréstimos e financiamentos ao setor privado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Os Bancos Múltiplos se caracterizam por instituições financeira de caráter público ou privado, são autorizadas a realizar operações ativas e passivas por meio de acumulação das carteiras comercial, investimento, desenvolvimento</w:t>
      </w:r>
      <w:r>
        <w:t xml:space="preserve">, crédito imobiliário, arrendamento mercantil e crédito, financiamento e investimento. Deve ser composto de no mínimo duas carteiras, e de forma obrigatória, uma delas deve ser comercial ou investimento, e as que possuem carteira comercial podem realizar captação via depósito à vista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No segmento de Bancos de Câmbio, as instituições financeiras possuem autorização para realizar operações compra e venda de crédito cambial. Entre as operações de crédito estão o financiamento para exportadores e importadores e antecipação mediante contratos cambiais. Podem receber depósitos em contas com movimentação restrita e sem remuneração exclusiva para as operações cambiais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A Caixa Econômica Federal — CEF, fundada em 1861, e regulamentada pelo Decreto-Lei nº 759 de 1969. Trata-se de uma empresa pública subordinada ao Ministério da Economia, com operações similares a de um Banco Comercial, priorizando projetos e programas relacionados a área social e infraestrutura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A CEF atua com operações de crédito direto ao consumidor, voltados para financiamento para bens de consumo duráveis, operações de garantia de penhor industrial e caução de títulos, e detém o monopólio sobre o penhor de bens pessoais e venda de bilhetes de loteria. É integrante do Sistema Financeiro da Habitação - SFH e Sistema Brasileiro de Poupança e Empréstimo - SBPE, além da detenção centralizado do recolhimento e aplicação dos recursos do FGTS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O setor bancário brasileiro passou por significativas modificações em sua estrutura no final da década de 1980 e ao longo da década de 1990. Em</w:t>
      </w:r>
      <w:r>
        <w:t xml:space="preserve"> </w:t>
      </w:r>
      <w:r>
        <w:t xml:space="preserve"> </w:t>
      </w:r>
      <w:r>
        <w:t xml:space="preserve">é exposto que estas modificações ocorreram em grande parte como reflexo às mudanças internacionais e o processo de abertura comercial e financeira que se iniciou no Brasil.</w:t>
      </w:r>
    </w:p>
    <w:p>
      <w:pPr>
        <w:pStyle w:val="BodyText"/>
      </w:pPr>
      <w:r>
        <w:t xml:space="preserve">Na tabela abaixo é possível verificar a concentração do setor bancário brasileiro na categoria de bancos múltiplos, com 76%,3 de participação, onde apenas 11,5% das instituições bancárias operam exclusivamente com carteira comercial, 6,3% com investimento.</w:t>
      </w:r>
    </w:p>
    <w:p>
      <w:pPr>
        <w:pStyle w:val="BodyText"/>
      </w:pPr>
      <w:r>
        <w:t xml:space="preserve">Entre as principais mudanças iniciadas na década de 1980 está a reforma bancária ocorrida em 1998, através da Resolução 1.524</w:t>
      </w:r>
      <w:r>
        <w:t xml:space="preserve"> </w:t>
      </w:r>
      <w:r>
        <w:t xml:space="preserve">, que instituiu diversas medidas de desregulamentação, entre elas a extinção da necessidade de carta-patente para constituição de Bancos Múltiplos. Mesmo com limitações da Constituição de 1988</w:t>
      </w:r>
      <w:r>
        <w:t xml:space="preserve"> </w:t>
      </w:r>
      <w:r>
        <w:t xml:space="preserve"> </w:t>
      </w:r>
      <w:r>
        <w:t xml:space="preserve">para instalação de bancos estrangeiros, não houveram restrições para que ocorresse aumento na participação de capital estrangeiro em bancos nacionais.</w:t>
      </w:r>
    </w:p>
    <w:p>
      <w:pPr>
        <w:pStyle w:val="BodyText"/>
      </w:pPr>
      <w:r>
        <w:t xml:space="preserve">O gráfico acima demonstra a evolução quantidade de instituições bancárias por segmento entre 1978 à 2019, podendo ser visualizada uma mudança na composição da estrutura, com significativos, aumento de instituições aderindo modalidades de múltiplas carteiras</w:t>
      </w:r>
      <w:r>
        <w:t xml:space="preserve">, e redução de instituições que operavam exclusivamente com carteira comercial, e exclusivamente com carteira de investimento.</w:t>
      </w:r>
    </w:p>
    <w:p>
      <w:pPr>
        <w:pStyle w:val="BodyText"/>
      </w:pPr>
      <w:r>
        <w:t xml:space="preserve">Alguns dos efeitos da abertura comercial e financeira e das modificações na estrutura bancária provenientes das medidas governamentais foram o aumento da participação de instituições estrangeiras no país, e um consistente processo de fusões e aquisições, de ambas as origens de capital, que resultou em considerável elevação do grau de concentração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A observação sobre o aumento da concentração bancária no Brasil realizada por</w:t>
      </w:r>
      <w:r>
        <w:t xml:space="preserve"> </w:t>
      </w:r>
      <w:r>
        <w:t xml:space="preserve"> </w:t>
      </w:r>
      <w:r>
        <w:t xml:space="preserve">pode ser visualizada no gráfico acima. Entre as metades das décadas de 1980 e 1990 — onde ocorreu o processo de abertura — se visualizou uma redução da concentração, levando em consideração o número de instituições. Esse cenário passou se inverter a partir de 1994, chegando em 2019 a um nível aproximado ao observado no início da década de 1980.</w:t>
      </w:r>
    </w:p>
    <w:p>
      <w:pPr>
        <w:pStyle w:val="BodyText"/>
      </w:pPr>
      <w:r>
        <w:t xml:space="preserve">De acordo com Strachman e Vasconcelos</w:t>
      </w:r>
      <w:r>
        <w:t xml:space="preserve"> </w:t>
      </w:r>
      <w:r>
        <w:rPr>
          <w:i/>
        </w:rPr>
        <w:t xml:space="preserve">apud</w:t>
      </w:r>
      <w:r>
        <w:t xml:space="preserve"> </w:t>
      </w:r>
      <w:r>
        <w:t xml:space="preserve">, o aumento da concentração bancária pode ser prejudicial ao crescimento econômico, uma vez que, com maior participação de mercado, as instituições bancárias acabam por obter a prerrogativa de determinar seus preços, comportamento este observado em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Segundo</w:t>
      </w:r>
      <w:r>
        <w:t xml:space="preserve"> </w:t>
      </w:r>
      <w:r>
        <w:t xml:space="preserve"> </w:t>
      </w:r>
      <w:r>
        <w:t xml:space="preserve">por outra perspectiva, o ganho de escala, com redução de custos operacionais atua melhorando a remuneração dos depósitos podendo atuar na redução dos juros finais pagos pelos clientes.</w:t>
      </w:r>
    </w:p>
    <w:p>
      <w:pPr>
        <w:pStyle w:val="BodyText"/>
      </w:pPr>
      <w:r>
        <w:t xml:space="preserve">Outra possível tendência para a concentração bancária é a redução do risco das operações, implicando em redução de custos, obtida por meio expansão geográfica, setorial e de produtos financeiros. Porém os possíveis efeitos da concentração dependem de uma série de condições, principalmente em torno da eficiência e do nível de concorrência no mercado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O aumento da participação estrangeira no setor bancário brasileiro durante a década de 1990, evidenciado por</w:t>
      </w:r>
      <w:r>
        <w:t xml:space="preserve"> </w:t>
      </w:r>
      <w:r>
        <w:t xml:space="preserve"> </w:t>
      </w:r>
      <w:r>
        <w:t xml:space="preserve">pode ser observado no gráfico acima. Esse aumento ocorreu principalmente através do controle acionário, com elevação acentuada na segunda metade da década de 1990 até o início da década de 2000. Ocorrendo redução em instituições 100% nacionais e estrangeiras e nacionais com participação estrangeira.</w:t>
      </w:r>
    </w:p>
    <w:p>
      <w:pPr>
        <w:pStyle w:val="BodyText"/>
      </w:pPr>
      <w:r>
        <w:t xml:space="preserve">Durante este período, a inclinação para aplicação massiva em títulos públicas se dava diante a manutenção de elevadas taxas de juros, tornando o crédito para empreendimentos privados de elevado risco, e consequentemente elevando substancialmente 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 e reduzindo a oferta de crédito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A expectativa com a entrada de instituições estrangeiras era que houvesse elevação da concorrência e, consequentemente, redução no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bancário, aumento da concessão de crédito, melhoria da qualidade e diversificação do produtos financeiros, avanços em tecnologias, ou seja, uma elevação na eficiência do setor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Porém, o que se observou, de acordo com</w:t>
      </w:r>
      <w:r>
        <w:t xml:space="preserve"> </w:t>
      </w:r>
      <w:r>
        <w:t xml:space="preserve">, foi a adoção de postura conservadora por partes dos bancos estrangeiros, com estratégia de ativos inclinada para negociação de títulos públicos, e passivos direcionados para a captação de recursos advindos de grupos de rendas média e alta, com exceção dos bancos públicos que concentraram em operações de crédito. O que levou a relação crédito/PIB ficar em níveis baixos comparados a outros países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Segundo Singh</w:t>
      </w:r>
      <w:r>
        <w:t xml:space="preserve"> </w:t>
      </w:r>
      <w:r>
        <w:rPr>
          <w:i/>
        </w:rPr>
        <w:t xml:space="preserve">apud</w:t>
      </w:r>
      <w:r>
        <w:t xml:space="preserve"> </w:t>
      </w:r>
      <w:r>
        <w:t xml:space="preserve">, durante a década de 1990 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 no Brasil esteve superior a 50%a.a., enquanto na América Latina esteve entre 10% a 15% a.a, e a relação crédito/PIB em 2003 no Brasil era de 23%, muito abaixo de níveis considerados ótimos como: Chile com 68,5%, Uruguai com 64,3%, Estados Unidos com 60,8%, Japão com 64,3%, Coréia com 98,9% e Europa com 140,6%.</w:t>
      </w:r>
    </w:p>
    <w:p>
      <w:pPr>
        <w:pStyle w:val="BodyText"/>
      </w:pPr>
      <w:r>
        <w:t xml:space="preserve">Durante o período citado, foi observado no setor bancário brasileiro os maiores níveis de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praticados no mundo, associado a um quadro econômico instabilidades e baixo crescimento e desenvolvimento. Esse cenário encontra embasamento em estudos teóricos e empíricos que demonstram que um sistema financeiro desenvolvido favorece o crescimento e desenvolvimento econômico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O gráfico acima demonstra o comportamento da relação crédito/PIB no Brasil, que entre a segunda metade da década de 1990 até a meados da primeira metade da década de 2000 sofreu significativa queda, ficando abaixo dos 25%. Após esse período a oferta de crédito sofreu uma expansão exponencial atingindo patamares acima de 50% do PIB.</w:t>
      </w:r>
    </w:p>
    <w:p>
      <w:pPr>
        <w:pStyle w:val="BodyText"/>
      </w:pPr>
      <w:r>
        <w:t xml:space="preserve">O gráfico acima mostra a evolução do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 brasileiro médio entre os anos de 1994 e 2012, saindo de patamares que chegaram próximo a 150%, com significativa queda ao longo desse período, atingindo a casa de 25% no final. Abaixo o gráfico visualiza a evolução do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médio entre 2012 e 2019, com nova metodologia de cálculo, chegando a ficar abaixo de 10%, não ultrapassando a casa dos 23% e terminando o período abaixo dos 18%.</w:t>
      </w:r>
    </w:p>
    <w:p>
      <w:pPr>
        <w:pStyle w:val="BodyText"/>
      </w:pPr>
      <w:r>
        <w:drawing>
          <wp:inline>
            <wp:extent cx="5753100" cy="34518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2-exportedfigures/spread%2020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51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753100" cy="34518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2-exportedfigures/balance%20credi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51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 gráfico acima demonstra a evolução do saldo da carteira de crédito anual em termos correntes entre 1990 e 2020.</w:t>
      </w:r>
    </w:p>
    <w:p>
      <w:pPr>
        <w:pStyle w:val="BodyText"/>
      </w:pPr>
      <w:r>
        <w:t xml:space="preserve">Diante o levantamento, o setor bancário brasileiro durante o período avaliado passou por diversas transformações em sua estrutura no que tange a concentração de mercado, aumento da participação de capital estrangeiro por meio de controle acionário, redução da participação pública.</w:t>
      </w:r>
    </w:p>
    <w:p>
      <w:pPr>
        <w:pStyle w:val="BodyText"/>
      </w:pPr>
      <w:r>
        <w:t xml:space="preserve">Em relação aos indicadores foi verificado que entre a década de 1980 até metade da década de 1990, em um cenário hiperinflacionário, mesmo com redução da concentração bancária, os indicadores de eficiência de intermediação financeiras como 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 e a relação crédito/PIB estavam em níveis considerados ineficientes e muito destoantes em comparação a outros países e regiões.</w:t>
      </w:r>
    </w:p>
    <w:p>
      <w:pPr>
        <w:pStyle w:val="BodyText"/>
      </w:pPr>
      <w:r>
        <w:t xml:space="preserve">A partir de 1995 se verificou mudanças significativas no setor bancário, com nova concentração, redução de instituições nacionais devido o controle acionário por capital estrangeiro, e expressiva redução no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 e a partir de 2004 uma mudança significativa na relação crédito/PIB.</w:t>
      </w:r>
    </w:p>
    <w:p>
      <w:pPr>
        <w:pStyle w:val="BodyText"/>
      </w:pPr>
      <w:r>
        <w:t xml:space="preserve">Esse capítulo levantou informações amplas sobre o setor bancário brasileiro, e identificou como variáveis o nível de concentração, tipo de iniciativa, origem do capital, taxa de juros,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bancário, carteira de crédito de recursos livres e destinados, PIB… No próximo capítulo serão levantadas conceitos e estudos sobre a decomposição e determinantes do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bancário.</w:t>
      </w:r>
    </w:p>
    <w:p>
      <w:pPr>
        <w:pStyle w:val="BodyText"/>
      </w:pPr>
      <w:r>
        <w:rPr>
          <w:i/>
        </w:rPr>
        <w:t xml:space="preserve">TESTE</w:t>
      </w:r>
      <w:r>
        <w:rPr>
          <w:i/>
        </w:rPr>
        <w:t xml:space="preserve"> </w:t>
      </w:r>
      <w:r>
        <w:rPr>
          <w:b/>
          <w:i/>
        </w:rPr>
        <w:t xml:space="preserve">Teste</w:t>
      </w:r>
      <w:r>
        <w:rPr>
          <w:b/>
          <w:i/>
        </w:rPr>
        <w:t xml:space="preserve"> </w:t>
      </w:r>
      <w:r>
        <w:t xml:space="preserve">Teste</w:t>
      </w:r>
    </w:p>
    <w:p>
      <w:pPr>
        <w:pStyle w:val="BodyText"/>
      </w:pPr>
      <w:r>
        <w:t xml:space="preserve">Esse capítulo irá abordar sobre os conceitos, teorias do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 e os casos e estudos específicos para o cenário brasileiro. O foco é identificar elementos importantes que irão contribuir com o objeto deste estudo, assim como analisar os resultados dos estudos anteriores, verificando a complementariedade aos mesmos.</w:t>
      </w:r>
    </w:p>
    <w:p>
      <w:pPr>
        <w:pStyle w:val="BodyText"/>
      </w:pPr>
      <w:r>
        <w:t xml:space="preserve">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 é definido pela diferença, em pontos percentuais, entre a taxa de captação, que remunera as aplicações financeiras, e a taxa de aplicação incidente nas operações de crédito. No Brasil, a taxa de aplicação para crédito de recursos livres é pactuado entre instituição e tomadores. Somente as operações de crédito envolvendo recursos direcionados são sujeitas à limites, não podendo exceder 12%a.a. mais a taxa referencial de juros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drawing>
          <wp:inline>
            <wp:extent cx="5753100" cy="34518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2-exportedfigures/spread%202019%20mo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51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 mercado bancário brasileiro, o modelo consolidado de mensuração do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de leva em consideração o saldo médio de capital emprestado, e a diferença entre as receitas de aplicação e despesas de captação.a diferença entre taxa de aplicação e captação de recursos financeiros, classificados em margem bruta, direta e líquida, analisados por em pessoa jurídica e física,</w:t>
      </w:r>
      <w:r>
        <w:t xml:space="preserve"> 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 é considerado um indicador de eficiência da economia, no sentido de favorecer o crédito e a atividade econômica. Em níveis elevados pode desfavorecer o crédito destinado a produção e consumo produtivos e estar associado com o fraco desempenho da economia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O Banco Central, em 1999, iniciou uma série de estudos e medidas com objetivo de reduzir a taxa de juros e 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realizados no setor bancário brasileiro, atuando na identificação e ajustes em variáveis econômicas influentes. Entre as primeiras medidas estavam a redução da taxa de compulsório para depósitos à vista e até a extinção para depósitos à prazo, redução do IOF e a redução da Selic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Os estudos em torno do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 ocorrem em duas vertentes, a que visa definir sua estrutura e a que busca investigar seus determinantes. Em Dick</w:t>
      </w:r>
      <w:r>
        <w:t xml:space="preserve"> </w:t>
      </w:r>
      <w:r>
        <w:rPr>
          <w:i/>
        </w:rPr>
        <w:t xml:space="preserve">apud</w:t>
      </w:r>
      <w:r>
        <w:t xml:space="preserve"> </w:t>
      </w:r>
      <w:r>
        <w:t xml:space="preserve"> </w:t>
      </w:r>
      <w:r>
        <w:t xml:space="preserve">é destacada a importância de se distinguir a abordagem em torno da estrutura e determinante do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bancário, no sentido de complementariedade.</w:t>
      </w:r>
    </w:p>
    <w:p>
      <w:pPr>
        <w:pStyle w:val="BodyText"/>
      </w:pPr>
      <w:r>
        <w:t xml:space="preserve">A abordagem em torno da estrutura busca identificar e analisar os componentes de resultado envolvendo receitas e despesas. Enquanto a abordagem sobre os determinantes visam identificar as variáveis que explicam as variações do indicador ao longo dos períodos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Vem se tornando relevantes os estudos em torno da decomposição do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bancário. Entre os componentes explícitos estão a inadimplência, despesas administrativas, impostos diretos e indiretos, e margem de lucro dos bancos.</w:t>
      </w:r>
      <w:r>
        <w:t xml:space="preserve"> </w:t>
      </w:r>
      <w:r>
        <w:t xml:space="preserve">. Essa configuração dos componentes, contemplando a margem de lucro vem desmistificar a comum abordagem do spread como o lucro dos bancos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Além da avaliação de seus componentes, 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pode ser analisado conjuntamente por três características: enquanto a abrangência da amostra, conteúdo e origem da informação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A abrangência da amostra consiste nas especificidades das operações de crédito das instituições e seu nível de agregação e granularidade</w:t>
      </w:r>
      <w:r>
        <w:t xml:space="preserve"> </w:t>
      </w:r>
      <w:r>
        <w:t xml:space="preserve">. Uma análise agregada dessa característica pode ser dificultada pela existência de heterogeneidade do setor, ressaltando a importância de se realizar analises em diferentes características e óticas do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bancário.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O conteúdo está relacionado com os subcomponentes que envolvem a receita e as despesas das intermediações financeiras, podendo englobar ou não tarifas e comissões sobre as taxas de captações e aplicação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A origem da informação é analisada em dois cenários, o ex-ante e o ex-post</w:t>
      </w:r>
      <w:r>
        <w:t xml:space="preserve"> </w:t>
      </w:r>
      <w:r>
        <w:t xml:space="preserve">. A perspectiva ex-ante se refere a expectativa das instituições bancárias em relação aos riscos de mercado, considerando as taxas planejadas, basicamente resultado da diferença entre a taxa de captação e empréstimo. Essas informações são repassadas ao Banco Central que as divulgam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No cenário ex-post as margens são obtidas mediante a apuração dos resultados contábeis, através dos demonstrativos, considerando as receitas e custos efetivos, implicando nas taxas realizadas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Reduções no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ex-post não necessariamente significam aumento da eficiência da intermediação financeira, pois pode estar associada a uma redução da inadimplência</w:t>
      </w:r>
      <w:r>
        <w:t xml:space="preserve"> </w:t>
      </w:r>
      <w:r>
        <w:t xml:space="preserve">. Como observado em</w:t>
      </w:r>
      <w:r>
        <w:t xml:space="preserve"> </w:t>
      </w:r>
      <w:r>
        <w:t xml:space="preserve"> </w:t>
      </w:r>
      <w:r>
        <w:t xml:space="preserve">e</w:t>
      </w:r>
      <w:r>
        <w:t xml:space="preserve"> </w:t>
      </w:r>
      <w:r>
        <w:t xml:space="preserve"> </w:t>
      </w:r>
      <w:r>
        <w:t xml:space="preserve">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 é determinado de acordo com as características e os riscos envolvidos nas intermediações financeiras inerentes em cada estrutura de mercado.</w:t>
      </w:r>
    </w:p>
    <w:p>
      <w:pPr>
        <w:pStyle w:val="BodyText"/>
      </w:pPr>
      <w:r>
        <w:t xml:space="preserve">Em</w:t>
      </w:r>
      <w:r>
        <w:t xml:space="preserve"> </w:t>
      </w:r>
      <w:r>
        <w:t xml:space="preserve"> </w:t>
      </w:r>
      <w:r>
        <w:t xml:space="preserve">foi realizada uma análise dos fatores macroeconômicos e indicadores industriais que influenciam 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 ex-ante, através de análise de regressão linear multivariada utilizando 18 variáveis em quatro modelos. Chegando a conclusão que o aumento da atividade industrial, a redução do desemprego e o consumo atuam na diminuição do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bancário.</w:t>
      </w:r>
    </w:p>
    <w:p>
      <w:pPr>
        <w:pStyle w:val="BodyText"/>
      </w:pPr>
      <w:r>
        <w:t xml:space="preserve">Os modelos desenvolvidos por</w:t>
      </w:r>
      <w:r>
        <w:t xml:space="preserve"> </w:t>
      </w:r>
      <w:r>
        <w:t xml:space="preserve"> </w:t>
      </w:r>
      <w:r>
        <w:t xml:space="preserve">demonstraram que há uma uma significativa relação direta entre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e: inadimplência, IPIs (bens de capital, intermediários, semiduráveis, não duráveis e consumo duráveis), Selic, PIB, desemprego e o EMBI+ (medida de taxa de risco-país). As relações indiretas com 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foram encontradas: no IPI de bens de consumo e geral, IPCA, saldo da carteira de crédito e índice de vendas no varejo.</w:t>
      </w:r>
    </w:p>
    <w:p>
      <w:pPr>
        <w:pStyle w:val="BodyText"/>
      </w:pPr>
      <w:r>
        <w:t xml:space="preserve">Em estudo dos determinantes macroeconômicos do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 ex-ante,</w:t>
      </w:r>
      <w:r>
        <w:t xml:space="preserve"> </w:t>
      </w:r>
      <w:r>
        <w:t xml:space="preserve"> </w:t>
      </w:r>
      <w:r>
        <w:t xml:space="preserve">utilizou regressão múltipla para identificar as variáveis influentes. O estudo chegou ao resultado que alta volatilidade e as taxas da Selic são um dos principais determinantes desse indicador no setor bancário brasileiro, identificando também a significância do nível de atividade industrial.</w:t>
      </w:r>
    </w:p>
    <w:p>
      <w:pPr>
        <w:pStyle w:val="BodyText"/>
      </w:pPr>
      <w:r>
        <w:t xml:space="preserve">De acordo com</w:t>
      </w:r>
      <w:r>
        <w:t xml:space="preserve"> </w:t>
      </w:r>
      <w:r>
        <w:t xml:space="preserve">, existem poucos estudos inclinados para os determinantes do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ex-post no Brasil, que identificaram o estudos de Guimarães (2002). Foram identificados ainda os estudos acerca do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ex-pots de Fipecafi (2004)</w:t>
      </w:r>
      <w:r>
        <w:t xml:space="preserve"> </w:t>
      </w:r>
      <w:r>
        <w:rPr>
          <w:i/>
        </w:rPr>
        <w:t xml:space="preserve">apud</w:t>
      </w:r>
      <w:r>
        <w:t xml:space="preserve"> </w:t>
      </w:r>
      <w:r>
        <w:t xml:space="preserve"> </w:t>
      </w:r>
      <w:r>
        <w:t xml:space="preserve">e Matias (2006)</w:t>
      </w:r>
      <w:r>
        <w:t xml:space="preserve"> </w:t>
      </w:r>
      <w:r>
        <w:rPr>
          <w:i/>
        </w:rPr>
        <w:t xml:space="preserve">apud</w:t>
      </w:r>
      <w:r>
        <w:t xml:space="preserve"> </w:t>
      </w:r>
    </w:p>
    <w:p>
      <w:pPr>
        <w:pStyle w:val="BodyText"/>
      </w:pPr>
      <w:r>
        <w:t xml:space="preserve">Em análise dos determinantes do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 ex-post,</w:t>
      </w:r>
      <w:r>
        <w:t xml:space="preserve"> </w:t>
      </w:r>
      <w:r>
        <w:t xml:space="preserve"> </w:t>
      </w:r>
      <w:r>
        <w:t xml:space="preserve">utilizaram variáveis explanatórias microeconômicas de cada instituição, por meio de dados em painel dinâmico, entre janeiro de 2000 e outubro de 2009, encontrando níveis significativos e diretos com o risco de crédito, grau de concentração e nível de atividade econômica, e indireta com a participação da instituição no mercado, não encontrando níveis significativos com origem de capital, e tipo de organismo.</w:t>
      </w:r>
    </w:p>
    <w:p>
      <w:pPr>
        <w:pStyle w:val="BodyText"/>
      </w:pPr>
      <w:r>
        <w:t xml:space="preserve">Outra observação em</w:t>
      </w:r>
      <w:r>
        <w:t xml:space="preserve"> </w:t>
      </w:r>
      <w:r>
        <w:t xml:space="preserve"> </w:t>
      </w:r>
      <w:r>
        <w:t xml:space="preserve">foi a forte relação do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ex-post no momento atual com o momento anterior imediato, e que as instituições tendem a cobrar maiores taxas, quando maior o nível de concentração do mercado, não encontrando significância da Selic na determinação nesse indicador.</w:t>
      </w:r>
    </w:p>
    <w:p>
      <w:pPr>
        <w:pStyle w:val="BodyText"/>
      </w:pPr>
      <w:r>
        <w:t xml:space="preserve">O estudo de</w:t>
      </w:r>
      <w:r>
        <w:t xml:space="preserve"> </w:t>
      </w:r>
      <w:r>
        <w:t xml:space="preserve"> </w:t>
      </w:r>
      <w:r>
        <w:t xml:space="preserve">teve foco em uma abordagem microeconômica ao buscar identificar a influência das variações de indicadores financeiros-contábeis no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 em 26 instituições bancárias, através de regressão em dados em painel. Encontrando relações significativas diretas com a alavancagem financeira, retorno sobre o patrimônio líquido, EBITDA, Ativo Total e eficiência.</w:t>
      </w:r>
    </w:p>
    <w:p>
      <w:pPr>
        <w:pStyle w:val="BodyText"/>
      </w:pPr>
      <w:r>
        <w:t xml:space="preserve">No modelo de</w:t>
      </w:r>
      <w:r>
        <w:t xml:space="preserve"> </w:t>
      </w:r>
      <w:r>
        <w:t xml:space="preserve"> </w:t>
      </w:r>
      <w:r>
        <w:t xml:space="preserve">foi encontrada relação significativa e indireta do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com a participação de capital de terceiros, e não identificada relação significativa com a composição do endividamento, Retorno sobre ativos e a liquidez corrente.</w:t>
      </w:r>
    </w:p>
    <w:p>
      <w:pPr>
        <w:pStyle w:val="BodyText"/>
      </w:pPr>
      <w:r>
        <w:t xml:space="preserve">Em</w:t>
      </w:r>
      <w:r>
        <w:t xml:space="preserve"> </w:t>
      </w:r>
      <w:r>
        <w:t xml:space="preserve"> </w:t>
      </w:r>
      <w:r>
        <w:t xml:space="preserve">foi realizado estudo de apuração de resultados, Ex-post, baseado em demonstrações contábeis de instituições que representavam 75,8% do ativo total e 76% do total de crédito. Chegando a um resultado médio de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bruto de 7,6% para pessoa física e 3,2% para pessoa jurídica, e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líquido de 1,6% para pessoa física e 0,5% para pessoa jurídica.</w:t>
      </w:r>
    </w:p>
    <w:sectPr>
      <w:headerReference r:id="rId9" w:type="default"/>
      <w:pgSz w:h="16840" w:w="11900"/>
      <w:pgMar w:bottom="1134" w:top="1701" w:left="1701" w:right="1134" w:header="708" w:footer="708"/>
      <w:pgNumType w:start="13"/>
      <w:titlePg w:val="1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libri"/>
  <w:font w:name="Arial"/>
  <w:font w:name="MS Mincho"/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80" w:before="0" w:line="240" w:lineRule="auto"/>
      <w:ind w:left="0" w:right="0" w:firstLine="567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5824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>
        <w:b w:val="1"/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spacing w:after="80" w:line="360" w:lineRule="auto"/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400" w:line="360" w:lineRule="auto"/>
      <w:ind w:left="576" w:right="0" w:hanging="576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400" w:line="360" w:lineRule="auto"/>
      <w:ind w:left="576" w:right="0" w:hanging="576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400" w:line="360" w:lineRule="auto"/>
      <w:ind w:left="576" w:right="0" w:hanging="576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400" w:line="360" w:lineRule="auto"/>
      <w:ind w:left="576" w:right="0" w:hanging="576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0" w:line="276" w:lineRule="auto"/>
      <w:ind w:left="1008" w:right="0" w:hanging="1008"/>
      <w:jc w:val="both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  <w:ind w:left="1152" w:hanging="1152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ind w:left="1276" w:hanging="1276"/>
    </w:pPr>
    <w:rPr>
      <w:sz w:val="22"/>
      <w:szCs w:val="22"/>
    </w:rPr>
  </w:style>
  <w:style w:type="paragraph" w:styleId="Subtitle">
    <w:name w:val="Subtitle"/>
    <w:basedOn w:val="Normal"/>
    <w:next w:val="Normal"/>
    <w:pPr>
      <w:spacing w:before="200" w:line="240" w:lineRule="auto"/>
      <w:ind w:left="1134" w:hanging="1134"/>
    </w:pPr>
    <w:rPr>
      <w:sz w:val="22"/>
      <w:szCs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Jackson da Silva Torres</dc:creator>
  <cp:keywords/>
  <dcterms:created xsi:type="dcterms:W3CDTF">2020-09-22T14:03:39Z</dcterms:created>
  <dcterms:modified xsi:type="dcterms:W3CDTF">2020-09-22T14:03:39Z</dcterms:modified>
</cp:coreProperties>
</file>