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2FF2C7ED"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r w:rsidRPr="001C552C">
        <w:t>in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175E496B" w14:textId="14168B69" w:rsidR="001C552C" w:rsidRPr="00103BE2" w:rsidRDefault="00DC6374"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w:t>
      </w:r>
      <w:r w:rsidR="000E5181" w:rsidRPr="00103BE2">
        <w:rPr>
          <w:i/>
          <w:color w:val="0000FF"/>
        </w:rPr>
        <w:t xml:space="preserve">as </w:t>
      </w:r>
      <w:r w:rsidRPr="00103BE2">
        <w:rPr>
          <w:i/>
          <w:color w:val="0000FF"/>
        </w:rPr>
        <w:t xml:space="preserve">a new adaptively stabilized finite element scheme </w:t>
      </w:r>
      <w:r w:rsidR="000E5181" w:rsidRPr="00103BE2">
        <w:rPr>
          <w:i/>
          <w:color w:val="0000FF"/>
        </w:rPr>
        <w:t>to simultaneously cure</w:t>
      </w:r>
      <w:r w:rsidRPr="00103BE2">
        <w:rPr>
          <w:i/>
          <w:color w:val="0000FF"/>
        </w:rPr>
        <w:t xml:space="preserve"> the multiple-locking phenomena related to </w:t>
      </w:r>
      <w:r w:rsidR="008342F7" w:rsidRPr="00103BE2">
        <w:rPr>
          <w:i/>
          <w:color w:val="0000FF"/>
        </w:rPr>
        <w:t xml:space="preserve">shear failure, incompressibility imposed by pore fluid, and/or incompressible solid skeleton and produce solutions that satisfy the inf-sup condition. </w:t>
      </w:r>
      <w:r w:rsidR="00145531" w:rsidRPr="00103BE2">
        <w:rPr>
          <w:i/>
          <w:color w:val="0000FF"/>
        </w:rPr>
        <w:t xml:space="preserve">This form of </w:t>
      </w:r>
      <w:r w:rsidR="00145531" w:rsidRPr="00103BE2">
        <w:rPr>
          <w:b/>
          <w:i/>
          <w:color w:val="0000FF"/>
        </w:rPr>
        <w:t>F</w:t>
      </w:r>
      <w:r w:rsidR="00145531" w:rsidRPr="00103BE2">
        <w:rPr>
          <w:i/>
          <w:color w:val="0000FF"/>
        </w:rPr>
        <w:t xml:space="preserve"> is implemented in the research code Albany used for all numerical examples. </w:t>
      </w:r>
      <w:r w:rsidR="004644B8" w:rsidRPr="00103BE2">
        <w:rPr>
          <w:i/>
          <w:color w:val="0000FF"/>
        </w:rPr>
        <w:t xml:space="preserve">This new reference has been added </w:t>
      </w:r>
      <w:r w:rsidR="000E5181" w:rsidRPr="00103BE2">
        <w:rPr>
          <w:i/>
          <w:color w:val="0000FF"/>
        </w:rPr>
        <w:t xml:space="preserve">to the reference list </w:t>
      </w:r>
      <w:r w:rsidR="004644B8" w:rsidRPr="00103BE2">
        <w:rPr>
          <w:i/>
          <w:color w:val="0000FF"/>
        </w:rPr>
        <w:t xml:space="preserve">and the following explanation on </w:t>
      </w:r>
      <w:r w:rsidR="000E5181" w:rsidRPr="00103BE2">
        <w:rPr>
          <w:i/>
          <w:color w:val="0000FF"/>
        </w:rPr>
        <w:t xml:space="preserve">the </w:t>
      </w:r>
      <w:r w:rsidR="004644B8" w:rsidRPr="00103BE2">
        <w:rPr>
          <w:i/>
          <w:color w:val="0000FF"/>
        </w:rPr>
        <w:t>choice of F is added after eq. (2.10)</w:t>
      </w:r>
    </w:p>
    <w:p w14:paraId="1B8DBEE4" w14:textId="77777777" w:rsidR="004644B8" w:rsidRDefault="004644B8" w:rsidP="008342F7">
      <w:pPr>
        <w:ind w:left="360"/>
        <w:jc w:val="both"/>
        <w:rPr>
          <w:i/>
          <w:color w:val="0000FF"/>
        </w:rPr>
      </w:pPr>
    </w:p>
    <w:p w14:paraId="27E0E295" w14:textId="0FEC9349" w:rsidR="004644B8" w:rsidRPr="00103BE2" w:rsidRDefault="002968C0" w:rsidP="008342F7">
      <w:pPr>
        <w:ind w:left="360"/>
        <w:jc w:val="both"/>
        <w:rPr>
          <w:i/>
          <w:color w:val="0000FF"/>
        </w:rPr>
      </w:pPr>
      <w:r w:rsidRPr="00103BE2">
        <w:rPr>
          <w:i/>
          <w:color w:val="0000FF"/>
        </w:rPr>
        <w:t xml:space="preserve"> </w:t>
      </w:r>
      <w:r w:rsidR="004644B8" w:rsidRPr="00103BE2">
        <w:rPr>
          <w:i/>
          <w:color w:val="0000FF"/>
        </w:rPr>
        <w:t xml:space="preserve">“This particular form of interpolation of </w:t>
      </w:r>
      <w:r w:rsidR="004644B8" w:rsidRPr="00103BE2">
        <w:rPr>
          <w:b/>
          <w:i/>
          <w:color w:val="0000FF"/>
        </w:rPr>
        <w:t>F</w:t>
      </w:r>
      <w:r w:rsidR="004644B8" w:rsidRPr="00103BE2">
        <w:rPr>
          <w:i/>
          <w:color w:val="0000FF"/>
        </w:rPr>
        <w:t xml:space="preserve"> is proposed by Sun et al. (2013) as a new adaptively stabilized finite element scheme</w:t>
      </w:r>
      <w:r w:rsidR="00145531" w:rsidRPr="00103BE2">
        <w:rPr>
          <w:i/>
          <w:color w:val="0000FF"/>
        </w:rPr>
        <w:t xml:space="preserve">, which </w:t>
      </w:r>
      <w:r w:rsidR="000E5181" w:rsidRPr="00103BE2">
        <w:rPr>
          <w:i/>
          <w:color w:val="0000FF"/>
        </w:rPr>
        <w:t>is capable to deliver stable, locking-free numerical solutions.</w:t>
      </w:r>
      <w:r w:rsidR="004644B8" w:rsidRPr="00103BE2">
        <w:rPr>
          <w:i/>
          <w:color w:val="0000FF"/>
        </w:rPr>
        <w:t>”</w:t>
      </w:r>
    </w:p>
    <w:p w14:paraId="294CFECC" w14:textId="77777777" w:rsidR="000E5181" w:rsidRPr="00103BE2" w:rsidRDefault="000E5181" w:rsidP="008342F7">
      <w:pPr>
        <w:ind w:left="360"/>
        <w:jc w:val="both"/>
        <w:rPr>
          <w:i/>
          <w:color w:val="0000FF"/>
        </w:rPr>
      </w:pPr>
    </w:p>
    <w:p w14:paraId="278270CC" w14:textId="77777777" w:rsidR="000E5181" w:rsidRPr="00103BE2" w:rsidRDefault="000E5181" w:rsidP="00F3173B">
      <w:pPr>
        <w:ind w:left="360"/>
        <w:jc w:val="both"/>
        <w:rPr>
          <w:i/>
          <w:color w:val="0000FF"/>
        </w:rPr>
      </w:pPr>
      <w:r w:rsidRPr="00103BE2">
        <w:rPr>
          <w:i/>
          <w:color w:val="0000FF"/>
        </w:rPr>
        <w:t>Sun, W., Ostien, J. T., &amp; Salinger, A. G. (2013). A stabilized assumed deformation gradient finite element formulation for strongly coupled poromechanical simulations at finite strain. </w:t>
      </w:r>
      <w:r w:rsidRPr="00103BE2">
        <w:rPr>
          <w:i/>
          <w:iCs/>
          <w:color w:val="0000FF"/>
        </w:rPr>
        <w:t>International Journal for Numerical and Analytical Methods in Geomechanics</w:t>
      </w:r>
      <w:r w:rsidRPr="00103BE2">
        <w:rPr>
          <w:i/>
          <w:color w:val="0000FF"/>
        </w:rPr>
        <w:t>, </w:t>
      </w:r>
      <w:r w:rsidRPr="00103BE2">
        <w:rPr>
          <w:i/>
          <w:iCs/>
          <w:color w:val="0000FF"/>
        </w:rPr>
        <w:t>37</w:t>
      </w:r>
      <w:r w:rsidRPr="00103BE2">
        <w:rPr>
          <w:i/>
          <w:color w:val="0000FF"/>
        </w:rPr>
        <w:t>(16), 2755-2788.</w:t>
      </w:r>
    </w:p>
    <w:p w14:paraId="4BA4FB8B" w14:textId="77777777" w:rsidR="00DC6374" w:rsidRDefault="00DC6374" w:rsidP="001C552C">
      <w:pPr>
        <w:jc w:val="both"/>
      </w:pPr>
    </w:p>
    <w:p w14:paraId="2A4C494E" w14:textId="77777777" w:rsidR="00DC6374" w:rsidRDefault="00DC6374" w:rsidP="001C552C">
      <w:pPr>
        <w:jc w:val="both"/>
      </w:pPr>
    </w:p>
    <w:p w14:paraId="17335C06" w14:textId="77777777" w:rsidR="00DA1D97" w:rsidRDefault="001C552C" w:rsidP="001C552C">
      <w:pPr>
        <w:jc w:val="both"/>
      </w:pPr>
      <w:r>
        <w:t xml:space="preserve">(2) </w:t>
      </w:r>
      <w:r w:rsidRPr="001C552C">
        <w:t>in the uniaxial tension test at finite strains, two global minima appear: with the cartesian parametrization,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3CA3D1D4" w14:textId="4CF0D6E9" w:rsidR="001C552C" w:rsidRDefault="00103BE2" w:rsidP="00F3173B">
      <w:pPr>
        <w:ind w:left="360"/>
        <w:jc w:val="both"/>
        <w:rPr>
          <w:i/>
          <w:color w:val="0000FF"/>
        </w:rPr>
      </w:pPr>
      <w:r w:rsidRPr="00103BE2">
        <w:rPr>
          <w:i/>
          <w:color w:val="0000FF"/>
        </w:rPr>
        <w:t>[</w:t>
      </w:r>
      <w:r w:rsidR="00F3173B" w:rsidRPr="00103BE2">
        <w:rPr>
          <w:i/>
          <w:color w:val="0000FF"/>
        </w:rPr>
        <w:t>My understanding is that the reviewer asks how we pick a single solution to the bifurcation problem is there are multiple global minima. Currently, the program simply returns t</w:t>
      </w:r>
      <w:r w:rsidRPr="00103BE2">
        <w:rPr>
          <w:i/>
          <w:color w:val="0000FF"/>
        </w:rPr>
        <w:t>he first of multiple solutions.]</w:t>
      </w:r>
    </w:p>
    <w:p w14:paraId="3D55EAA5" w14:textId="77777777" w:rsidR="00401B7F" w:rsidRDefault="00401B7F" w:rsidP="00C96DF9">
      <w:pPr>
        <w:ind w:left="360"/>
        <w:jc w:val="both"/>
        <w:rPr>
          <w:i/>
          <w:color w:val="0000FF"/>
        </w:rPr>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3E2F2048" w:rsidR="00401B7F" w:rsidRPr="00287933" w:rsidRDefault="00401B7F" w:rsidP="00C96DF9">
      <w:pPr>
        <w:ind w:left="360"/>
        <w:jc w:val="both"/>
        <w:rPr>
          <w:i/>
          <w:color w:val="0000FF"/>
        </w:rPr>
      </w:pPr>
      <w:r>
        <w:rPr>
          <w:i/>
          <w:color w:val="0000FF"/>
        </w:rPr>
        <w:t xml:space="preserve">“It should be pointed out that </w:t>
      </w:r>
      <w:r w:rsidR="0008462D">
        <w:rPr>
          <w:i/>
          <w:color w:val="0000FF"/>
        </w:rPr>
        <w:t>for the Cartesian parametrization,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could detect multiple global minima</w:t>
      </w:r>
      <w:bookmarkStart w:id="0" w:name="_GoBack"/>
      <w:bookmarkEnd w:id="0"/>
      <w:r w:rsidR="00881821">
        <w:rPr>
          <w:i/>
          <w:color w:val="0000FF"/>
        </w:rPr>
        <w:t xml:space="preserve">, it only returns the first of the multiple minima. For the purpose of identifying when bifurcation happens, </w:t>
      </w:r>
      <w:r w:rsidR="00881821">
        <w:rPr>
          <w:i/>
          <w:color w:val="0000FF"/>
        </w:rPr>
        <w:t>such</w:t>
      </w:r>
      <w:r w:rsidR="00881821">
        <w:rPr>
          <w:i/>
          <w:color w:val="0000FF"/>
        </w:rPr>
        <w:t xml:space="preserve">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The work considers the problem of the bifurcation of the constitutive behaviour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parametrization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parametrization”)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026C5BFA" w14:textId="62E138D9" w:rsidR="00103BE2" w:rsidRPr="00103BE2" w:rsidRDefault="00103BE2" w:rsidP="00103BE2">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5CCBF30" w14:textId="7B23DA29" w:rsidR="003D4F7A" w:rsidRPr="00103BE2" w:rsidRDefault="003D4F7A" w:rsidP="003D4F7A">
      <w:pPr>
        <w:ind w:left="360"/>
        <w:jc w:val="both"/>
        <w:rPr>
          <w:i/>
          <w:color w:val="0000FF"/>
        </w:rPr>
      </w:pPr>
      <w:r>
        <w:rPr>
          <w:i/>
          <w:color w:val="0000FF"/>
        </w:rPr>
        <w:t>[Should we move this to Appendix section?]</w:t>
      </w:r>
    </w:p>
    <w:p w14:paraId="52A633F0" w14:textId="77777777" w:rsidR="001C552C" w:rsidRDefault="001C552C" w:rsidP="001C552C">
      <w:pPr>
        <w:jc w:val="both"/>
      </w:pPr>
    </w:p>
    <w:p w14:paraId="6F13D820" w14:textId="77777777" w:rsidR="00505A77" w:rsidRDefault="001C552C" w:rsidP="001C552C">
      <w:pPr>
        <w:jc w:val="both"/>
      </w:pPr>
      <w:r>
        <w:t>(</w:t>
      </w:r>
      <w:r w:rsidRPr="001C552C">
        <w:t>2) It is clear that the proposed parametrization (Cartesian parametrization) is the one best performing out of the four compared. However, it is still requiring the two-stages (space-sampling + iteration) strategy. The sampling stage shows necessary, since even with the authors’ proposed parametrization,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section ?).   </w:t>
      </w:r>
    </w:p>
    <w:p w14:paraId="5E48897C" w14:textId="77777777" w:rsidR="001C552C" w:rsidRDefault="001C552C" w:rsidP="001C552C">
      <w:pPr>
        <w:jc w:val="both"/>
      </w:pPr>
    </w:p>
    <w:p w14:paraId="474456C6" w14:textId="77777777" w:rsidR="00505A77" w:rsidRDefault="00505A77" w:rsidP="00505A77">
      <w:pPr>
        <w:ind w:left="360"/>
        <w:jc w:val="both"/>
        <w:rPr>
          <w:i/>
          <w:color w:val="0000FF"/>
        </w:rPr>
      </w:pPr>
      <w:r>
        <w:rPr>
          <w:i/>
          <w:color w:val="0000FF"/>
        </w:rPr>
        <w:t xml:space="preserve">[Some of my thoughts: </w:t>
      </w:r>
    </w:p>
    <w:p w14:paraId="5C8B8236" w14:textId="25920C8E" w:rsidR="00505A77" w:rsidRDefault="00505A77" w:rsidP="00505A77">
      <w:pPr>
        <w:ind w:left="360"/>
        <w:jc w:val="both"/>
        <w:rPr>
          <w:i/>
          <w:color w:val="0000FF"/>
        </w:rPr>
      </w:pPr>
      <w:r>
        <w:rPr>
          <w:i/>
          <w:color w:val="0000FF"/>
        </w:rPr>
        <w:t>1. We could show the split run time of every stage for different parametrizations, maybe for one of the two numerical examples</w:t>
      </w:r>
    </w:p>
    <w:p w14:paraId="2159DA67" w14:textId="5093715F" w:rsidR="00505A77" w:rsidRDefault="00505A77" w:rsidP="00505A77">
      <w:pPr>
        <w:ind w:left="360"/>
        <w:jc w:val="both"/>
        <w:rPr>
          <w:i/>
          <w:color w:val="0000FF"/>
        </w:rPr>
      </w:pPr>
      <w:r>
        <w:rPr>
          <w:i/>
          <w:color w:val="0000FF"/>
        </w:rPr>
        <w:t>2. Oliver’s work [25] applies to tensors with both major and minor symmetries (in order to have accurate solution). One thing we could try, is to run the small deformation example with Oliver’s algorithm, and see how they compare.</w:t>
      </w:r>
    </w:p>
    <w:p w14:paraId="11F29319" w14:textId="01A33217" w:rsidR="00706936" w:rsidRDefault="00706936" w:rsidP="00505A77">
      <w:pPr>
        <w:ind w:left="360"/>
        <w:jc w:val="both"/>
        <w:rPr>
          <w:i/>
          <w:color w:val="0000FF"/>
        </w:rPr>
      </w:pPr>
      <w:r>
        <w:rPr>
          <w:i/>
          <w:color w:val="0000FF"/>
        </w:rPr>
        <w:t>3. As the reviewer suggested, comment on the single/double stage approach, include it in the “Conclusions” section.</w:t>
      </w:r>
    </w:p>
    <w:p w14:paraId="6E73E48D" w14:textId="079B9B7E" w:rsidR="00505A77" w:rsidRPr="00103BE2" w:rsidRDefault="00FC7B1B" w:rsidP="00505A77">
      <w:pPr>
        <w:ind w:left="360"/>
        <w:jc w:val="both"/>
        <w:rPr>
          <w:i/>
          <w:color w:val="0000FF"/>
        </w:rPr>
      </w:pPr>
      <w:r>
        <w:rPr>
          <w:i/>
          <w:color w:val="0000FF"/>
        </w:rPr>
        <w:t>4</w:t>
      </w:r>
      <w:r w:rsidR="00505A77">
        <w:rPr>
          <w:i/>
          <w:color w:val="0000FF"/>
        </w:rPr>
        <w:t>. My student and I are investigating an alternative (a stochastic optimization) approach to this bifurcation problem. I could add some comment based on what we found so far. However, this work is not completed and published yet, so no reference can be referred to.]</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symmetric/unsymmetric models, the the considered tangent operators are symmetric (see eqs. 5.5 and 5.10) and, in addition, “in-plane” solutions are enforced (in all cases the z-component of the normals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48C2ACF0" w14:textId="77777777" w:rsidR="00BB7387" w:rsidRDefault="00BB7387" w:rsidP="001C552C">
      <w:pPr>
        <w:jc w:val="both"/>
      </w:pPr>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line 206 the intervals [-pi/2,pi/2] should be [-1,1].  </w:t>
      </w:r>
    </w:p>
    <w:p w14:paraId="48CADF96" w14:textId="77777777" w:rsidR="00FD3C0C" w:rsidRDefault="00FD3C0C" w:rsidP="001C552C">
      <w:pPr>
        <w:jc w:val="both"/>
      </w:pPr>
    </w:p>
    <w:p w14:paraId="243463E2" w14:textId="2539E994" w:rsidR="00E126C9" w:rsidRPr="00647181" w:rsidRDefault="00E126C9" w:rsidP="00647181">
      <w:pPr>
        <w:ind w:left="360"/>
        <w:jc w:val="both"/>
        <w:rPr>
          <w:i/>
          <w:color w:val="0000FF"/>
        </w:rPr>
      </w:pPr>
      <w:r>
        <w:rPr>
          <w:i/>
          <w:color w:val="0000FF"/>
        </w:rPr>
        <w:t>[I don’t think we need the restriction of x^2 + y^2 = 1</w:t>
      </w:r>
      <w:r w:rsidR="00DF2EE4">
        <w:rPr>
          <w:i/>
          <w:color w:val="0000FF"/>
        </w:rPr>
        <w:t xml:space="preserve">. Also, </w:t>
      </w:r>
      <w:r>
        <w:rPr>
          <w:i/>
          <w:color w:val="0000FF"/>
        </w:rPr>
        <w:t>the intervals [-pi/2, pi/2]</w:t>
      </w:r>
      <w:r w:rsidR="00DF2EE4">
        <w:rPr>
          <w:i/>
          <w:color w:val="0000FF"/>
        </w:rPr>
        <w:t xml:space="preserve"> is correct</w:t>
      </w:r>
      <w:r>
        <w:rPr>
          <w:i/>
          <w:color w:val="0000FF"/>
        </w:rPr>
        <w:t xml:space="preserve">. maybe the confusion is caused by the use of canonical basis x, y, which on the graph, seem to </w:t>
      </w:r>
      <w:r w:rsidR="00DF2EE4">
        <w:rPr>
          <w:i/>
          <w:color w:val="0000FF"/>
        </w:rPr>
        <w:t>be on the unit sphere?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1009E"/>
    <w:rsid w:val="00021877"/>
    <w:rsid w:val="00024EFC"/>
    <w:rsid w:val="000325BF"/>
    <w:rsid w:val="00034040"/>
    <w:rsid w:val="00034468"/>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D0E68"/>
    <w:rsid w:val="000D4C5F"/>
    <w:rsid w:val="000D7200"/>
    <w:rsid w:val="000E1DC9"/>
    <w:rsid w:val="000E5181"/>
    <w:rsid w:val="000F41A9"/>
    <w:rsid w:val="000F4D52"/>
    <w:rsid w:val="00103BE2"/>
    <w:rsid w:val="00110B8C"/>
    <w:rsid w:val="00132592"/>
    <w:rsid w:val="00143D83"/>
    <w:rsid w:val="00145531"/>
    <w:rsid w:val="001632D1"/>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F03B1"/>
    <w:rsid w:val="003F2B8A"/>
    <w:rsid w:val="003F76EA"/>
    <w:rsid w:val="003F7AAB"/>
    <w:rsid w:val="00401B7F"/>
    <w:rsid w:val="004020FB"/>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3576"/>
    <w:rsid w:val="004C1EA7"/>
    <w:rsid w:val="004D3438"/>
    <w:rsid w:val="004E0A1C"/>
    <w:rsid w:val="004E0CFA"/>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73E46"/>
    <w:rsid w:val="005740A5"/>
    <w:rsid w:val="0057621F"/>
    <w:rsid w:val="005803D1"/>
    <w:rsid w:val="00583C4B"/>
    <w:rsid w:val="00595B66"/>
    <w:rsid w:val="005A17E1"/>
    <w:rsid w:val="005A34A5"/>
    <w:rsid w:val="005A6911"/>
    <w:rsid w:val="005B0DBB"/>
    <w:rsid w:val="005B26A4"/>
    <w:rsid w:val="005B66E1"/>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B3143"/>
    <w:rsid w:val="006B7B76"/>
    <w:rsid w:val="006C28FC"/>
    <w:rsid w:val="006E0886"/>
    <w:rsid w:val="006E470F"/>
    <w:rsid w:val="006F5CF4"/>
    <w:rsid w:val="00703BC5"/>
    <w:rsid w:val="007044E9"/>
    <w:rsid w:val="00706936"/>
    <w:rsid w:val="00716276"/>
    <w:rsid w:val="0072265B"/>
    <w:rsid w:val="00723CE3"/>
    <w:rsid w:val="00737B9A"/>
    <w:rsid w:val="00743677"/>
    <w:rsid w:val="00745F29"/>
    <w:rsid w:val="007464E9"/>
    <w:rsid w:val="00747CB2"/>
    <w:rsid w:val="0075273A"/>
    <w:rsid w:val="007661EA"/>
    <w:rsid w:val="00776FA9"/>
    <w:rsid w:val="00781C5A"/>
    <w:rsid w:val="00785BBB"/>
    <w:rsid w:val="00785C23"/>
    <w:rsid w:val="00786520"/>
    <w:rsid w:val="00796DB9"/>
    <w:rsid w:val="007A19F2"/>
    <w:rsid w:val="007A1AE6"/>
    <w:rsid w:val="007A36AE"/>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30C8"/>
    <w:rsid w:val="00851BE4"/>
    <w:rsid w:val="00855C66"/>
    <w:rsid w:val="00863BB9"/>
    <w:rsid w:val="00865107"/>
    <w:rsid w:val="00874157"/>
    <w:rsid w:val="00875DB4"/>
    <w:rsid w:val="00877D9D"/>
    <w:rsid w:val="00881821"/>
    <w:rsid w:val="00884308"/>
    <w:rsid w:val="0088459C"/>
    <w:rsid w:val="00885929"/>
    <w:rsid w:val="00892D3F"/>
    <w:rsid w:val="008A4664"/>
    <w:rsid w:val="008A6823"/>
    <w:rsid w:val="008A6E12"/>
    <w:rsid w:val="008C7869"/>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3725C"/>
    <w:rsid w:val="00942682"/>
    <w:rsid w:val="00944EEE"/>
    <w:rsid w:val="00953367"/>
    <w:rsid w:val="0095523B"/>
    <w:rsid w:val="00956685"/>
    <w:rsid w:val="00967DEA"/>
    <w:rsid w:val="00971885"/>
    <w:rsid w:val="00984863"/>
    <w:rsid w:val="00990021"/>
    <w:rsid w:val="0099532E"/>
    <w:rsid w:val="009B1509"/>
    <w:rsid w:val="009B32F6"/>
    <w:rsid w:val="009B6247"/>
    <w:rsid w:val="009C3978"/>
    <w:rsid w:val="009E4614"/>
    <w:rsid w:val="009E7D61"/>
    <w:rsid w:val="009F04D3"/>
    <w:rsid w:val="009F105C"/>
    <w:rsid w:val="009F749D"/>
    <w:rsid w:val="00A07A15"/>
    <w:rsid w:val="00A177F8"/>
    <w:rsid w:val="00A2509D"/>
    <w:rsid w:val="00A264F0"/>
    <w:rsid w:val="00A30345"/>
    <w:rsid w:val="00A424C7"/>
    <w:rsid w:val="00A46063"/>
    <w:rsid w:val="00A50725"/>
    <w:rsid w:val="00A556B0"/>
    <w:rsid w:val="00A71476"/>
    <w:rsid w:val="00A75545"/>
    <w:rsid w:val="00A82CDB"/>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CBC"/>
    <w:rsid w:val="00AF095D"/>
    <w:rsid w:val="00B010AC"/>
    <w:rsid w:val="00B07F85"/>
    <w:rsid w:val="00B129D7"/>
    <w:rsid w:val="00B1350B"/>
    <w:rsid w:val="00B17A2E"/>
    <w:rsid w:val="00B34D7B"/>
    <w:rsid w:val="00B4080E"/>
    <w:rsid w:val="00B40C60"/>
    <w:rsid w:val="00B410B5"/>
    <w:rsid w:val="00B4402A"/>
    <w:rsid w:val="00B46227"/>
    <w:rsid w:val="00B506F6"/>
    <w:rsid w:val="00B522CE"/>
    <w:rsid w:val="00B637D9"/>
    <w:rsid w:val="00B63B7A"/>
    <w:rsid w:val="00B63BA9"/>
    <w:rsid w:val="00B7228D"/>
    <w:rsid w:val="00B74482"/>
    <w:rsid w:val="00B771F1"/>
    <w:rsid w:val="00B81AFC"/>
    <w:rsid w:val="00B848DA"/>
    <w:rsid w:val="00B87CA8"/>
    <w:rsid w:val="00B90AC4"/>
    <w:rsid w:val="00B91346"/>
    <w:rsid w:val="00B9190B"/>
    <w:rsid w:val="00B93293"/>
    <w:rsid w:val="00B95E48"/>
    <w:rsid w:val="00B979CB"/>
    <w:rsid w:val="00BA1968"/>
    <w:rsid w:val="00BB7387"/>
    <w:rsid w:val="00BC1909"/>
    <w:rsid w:val="00BC30AB"/>
    <w:rsid w:val="00BC608D"/>
    <w:rsid w:val="00BC6BBE"/>
    <w:rsid w:val="00BC7030"/>
    <w:rsid w:val="00BC785F"/>
    <w:rsid w:val="00BD1058"/>
    <w:rsid w:val="00BD296C"/>
    <w:rsid w:val="00BD6581"/>
    <w:rsid w:val="00BE1339"/>
    <w:rsid w:val="00BE1FF6"/>
    <w:rsid w:val="00BE363C"/>
    <w:rsid w:val="00BF4B19"/>
    <w:rsid w:val="00C023A7"/>
    <w:rsid w:val="00C13FD6"/>
    <w:rsid w:val="00C15538"/>
    <w:rsid w:val="00C15FBF"/>
    <w:rsid w:val="00C220C4"/>
    <w:rsid w:val="00C26A24"/>
    <w:rsid w:val="00C277AF"/>
    <w:rsid w:val="00C40BA1"/>
    <w:rsid w:val="00C44236"/>
    <w:rsid w:val="00C46F03"/>
    <w:rsid w:val="00C54C7A"/>
    <w:rsid w:val="00C60729"/>
    <w:rsid w:val="00C637B2"/>
    <w:rsid w:val="00C6505E"/>
    <w:rsid w:val="00C66BBC"/>
    <w:rsid w:val="00C9190B"/>
    <w:rsid w:val="00C940E3"/>
    <w:rsid w:val="00C96DF9"/>
    <w:rsid w:val="00C97EC5"/>
    <w:rsid w:val="00CA09D9"/>
    <w:rsid w:val="00CA0FAA"/>
    <w:rsid w:val="00CA6CA4"/>
    <w:rsid w:val="00CB153F"/>
    <w:rsid w:val="00CC0D9D"/>
    <w:rsid w:val="00CD1386"/>
    <w:rsid w:val="00CD35D4"/>
    <w:rsid w:val="00CD49E7"/>
    <w:rsid w:val="00CE1864"/>
    <w:rsid w:val="00CE1ABC"/>
    <w:rsid w:val="00CE2D8C"/>
    <w:rsid w:val="00CE50DE"/>
    <w:rsid w:val="00CF1075"/>
    <w:rsid w:val="00CF372E"/>
    <w:rsid w:val="00CF4089"/>
    <w:rsid w:val="00CF6551"/>
    <w:rsid w:val="00D01EEC"/>
    <w:rsid w:val="00D056D2"/>
    <w:rsid w:val="00D16BA2"/>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F2EE4"/>
    <w:rsid w:val="00DF5391"/>
    <w:rsid w:val="00DF5776"/>
    <w:rsid w:val="00E00000"/>
    <w:rsid w:val="00E01C13"/>
    <w:rsid w:val="00E0240F"/>
    <w:rsid w:val="00E0481E"/>
    <w:rsid w:val="00E107A1"/>
    <w:rsid w:val="00E114F0"/>
    <w:rsid w:val="00E126C9"/>
    <w:rsid w:val="00E15811"/>
    <w:rsid w:val="00E161B6"/>
    <w:rsid w:val="00E17A82"/>
    <w:rsid w:val="00E26233"/>
    <w:rsid w:val="00E266D9"/>
    <w:rsid w:val="00E3075F"/>
    <w:rsid w:val="00E31C9A"/>
    <w:rsid w:val="00E35511"/>
    <w:rsid w:val="00E44389"/>
    <w:rsid w:val="00E46DCF"/>
    <w:rsid w:val="00E567E9"/>
    <w:rsid w:val="00E6101F"/>
    <w:rsid w:val="00E666A0"/>
    <w:rsid w:val="00E67226"/>
    <w:rsid w:val="00E70B21"/>
    <w:rsid w:val="00E74DD9"/>
    <w:rsid w:val="00E807C7"/>
    <w:rsid w:val="00E82F0B"/>
    <w:rsid w:val="00E830FB"/>
    <w:rsid w:val="00E83D38"/>
    <w:rsid w:val="00E865BC"/>
    <w:rsid w:val="00E87EB0"/>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6002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1341</Words>
  <Characters>7648</Characters>
  <Application>Microsoft Macintosh Word</Application>
  <DocSecurity>0</DocSecurity>
  <Lines>63</Lines>
  <Paragraphs>17</Paragraphs>
  <ScaleCrop>false</ScaleCrop>
  <Company>Clemson University</Company>
  <LinksUpToDate>false</LinksUpToDate>
  <CharactersWithSpaces>8972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25</cp:revision>
  <dcterms:created xsi:type="dcterms:W3CDTF">2015-12-30T13:00:00Z</dcterms:created>
  <dcterms:modified xsi:type="dcterms:W3CDTF">2016-01-11T14:21:00Z</dcterms:modified>
</cp:coreProperties>
</file>