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8102E3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6C1EF8FC" w14:textId="77777777" w:rsidR="009250B4" w:rsidRPr="00103BE2" w:rsidRDefault="009250B4" w:rsidP="009250B4">
      <w:pPr>
        <w:ind w:left="360"/>
        <w:jc w:val="both"/>
        <w:rPr>
          <w:i/>
          <w:color w:val="0000FF"/>
        </w:rPr>
      </w:pPr>
      <w:r w:rsidRPr="00103BE2">
        <w:rPr>
          <w:i/>
          <w:color w:val="0000FF"/>
        </w:rPr>
        <w:t>T</w:t>
      </w:r>
      <w:r>
        <w:rPr>
          <w:i/>
          <w:color w:val="0000FF"/>
        </w:rPr>
        <w:t>h</w:t>
      </w:r>
      <w:r w:rsidRPr="00103BE2">
        <w:rPr>
          <w:i/>
          <w:color w:val="0000FF"/>
        </w:rPr>
        <w:t xml:space="preserve">e </w:t>
      </w:r>
      <w:r>
        <w:rPr>
          <w:i/>
          <w:color w:val="0000FF"/>
        </w:rPr>
        <w:t xml:space="preserve">motivation </w:t>
      </w:r>
      <w:r w:rsidRPr="00103BE2">
        <w:rPr>
          <w:i/>
          <w:color w:val="0000FF"/>
        </w:rPr>
        <w:t xml:space="preserve">on the choice of F </w:t>
      </w:r>
      <w:r>
        <w:rPr>
          <w:i/>
          <w:color w:val="0000FF"/>
        </w:rPr>
        <w:t>has been clarified and</w:t>
      </w:r>
      <w:r w:rsidRPr="00103BE2">
        <w:rPr>
          <w:i/>
          <w:color w:val="0000FF"/>
        </w:rPr>
        <w:t xml:space="preserve"> added after eq. (</w:t>
      </w:r>
      <w:r>
        <w:rPr>
          <w:i/>
          <w:color w:val="0000FF"/>
        </w:rPr>
        <w:t>A</w:t>
      </w:r>
      <w:r w:rsidRPr="00103BE2">
        <w:rPr>
          <w:i/>
          <w:color w:val="0000FF"/>
        </w:rPr>
        <w:t>.10)</w:t>
      </w:r>
      <w:r>
        <w:rPr>
          <w:i/>
          <w:color w:val="0000FF"/>
        </w:rPr>
        <w:t xml:space="preserve"> (previously (2.10)) in the appendix section</w:t>
      </w:r>
    </w:p>
    <w:p w14:paraId="7B42BF59" w14:textId="77777777" w:rsidR="009250B4" w:rsidRDefault="009250B4" w:rsidP="009250B4">
      <w:pPr>
        <w:ind w:left="360"/>
        <w:jc w:val="both"/>
        <w:rPr>
          <w:i/>
          <w:color w:val="0000FF"/>
        </w:rPr>
      </w:pPr>
    </w:p>
    <w:p w14:paraId="4AB3B770" w14:textId="77777777" w:rsidR="009250B4" w:rsidRDefault="009250B4" w:rsidP="009250B4">
      <w:pPr>
        <w:ind w:left="360"/>
        <w:jc w:val="both"/>
        <w:rPr>
          <w:i/>
          <w:color w:val="0000FF"/>
        </w:rPr>
      </w:pPr>
      <w:r>
        <w:rPr>
          <w:i/>
          <w:color w:val="0000FF"/>
        </w:rPr>
        <w:t>“</w:t>
      </w:r>
      <w:r w:rsidRPr="003B3D66">
        <w:rPr>
          <w:i/>
          <w:color w:val="0000FF"/>
        </w:rPr>
        <w:t>The implicit assumption in this interpolation is that the deformation gradient F belongs to a Lie group and thus requires the exponential and logarithmic maps for its proper interpolation, whereas the internal variables Z belong to a space that admits direct linear interpolation [40]. In order to obtain an explicit scheme, we choose α = 0.</w:t>
      </w:r>
      <w:r>
        <w:rPr>
          <w:i/>
          <w:color w:val="0000FF"/>
        </w:rPr>
        <w:t>”</w:t>
      </w:r>
    </w:p>
    <w:p w14:paraId="6B911223" w14:textId="77777777" w:rsidR="009250B4" w:rsidRPr="00103BE2" w:rsidRDefault="009250B4" w:rsidP="009250B4">
      <w:pPr>
        <w:ind w:left="360"/>
        <w:jc w:val="both"/>
        <w:rPr>
          <w:i/>
          <w:color w:val="0000FF"/>
        </w:rPr>
      </w:pPr>
    </w:p>
    <w:p w14:paraId="4BA4FB8B" w14:textId="1E7B87A4" w:rsidR="00DC6374" w:rsidRPr="009250B4" w:rsidRDefault="009250B4" w:rsidP="009250B4">
      <w:pPr>
        <w:ind w:left="360"/>
        <w:jc w:val="both"/>
        <w:rPr>
          <w:i/>
          <w:color w:val="0000FF"/>
        </w:rPr>
      </w:pPr>
      <w:r>
        <w:rPr>
          <w:i/>
          <w:color w:val="0000FF"/>
        </w:rPr>
        <w:t xml:space="preserve">[40] </w:t>
      </w:r>
      <w:r w:rsidRPr="003B3D66">
        <w:rPr>
          <w:i/>
          <w:color w:val="0000FF"/>
        </w:rPr>
        <w:t xml:space="preserve">A. Mota, W. Sun, J. T. Ostien, J. W. Foulk III, and K. N. Long. Lie-group interpolation and variational recovery for internal variables. Computational Mechanics, 52(6):1281– 1299, Dec 2013. ISSN 0178-7675. </w:t>
      </w: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287A89A5" w:rsidR="00401B7F" w:rsidRPr="00287933" w:rsidRDefault="00401B7F" w:rsidP="00C96DF9">
      <w:pPr>
        <w:ind w:left="360"/>
        <w:jc w:val="both"/>
        <w:rPr>
          <w:i/>
          <w:color w:val="0000FF"/>
        </w:rPr>
      </w:pPr>
      <w:r>
        <w:rPr>
          <w:i/>
          <w:color w:val="0000FF"/>
        </w:rPr>
        <w:t>“It should be pointed out that</w:t>
      </w:r>
      <w:r w:rsidR="00E20324">
        <w:rPr>
          <w:i/>
          <w:color w:val="0000FF"/>
        </w:rPr>
        <w:t>,</w:t>
      </w:r>
      <w:r>
        <w:rPr>
          <w:i/>
          <w:color w:val="0000FF"/>
        </w:rPr>
        <w:t xml:space="preserve"> </w:t>
      </w:r>
      <w:r w:rsidR="0008462D">
        <w:rPr>
          <w:i/>
          <w:color w:val="0000FF"/>
        </w:rPr>
        <w:t>for the Cartesian parametrization,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040F6829"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706559C" w14:textId="77777777" w:rsidR="009250B4" w:rsidRPr="00103BE2" w:rsidRDefault="009250B4" w:rsidP="009250B4">
      <w:pPr>
        <w:ind w:left="360"/>
        <w:jc w:val="both"/>
        <w:rPr>
          <w:i/>
          <w:color w:val="0000FF"/>
        </w:rPr>
      </w:pPr>
      <w:r>
        <w:rPr>
          <w:i/>
          <w:color w:val="0000FF"/>
        </w:rPr>
        <w:t xml:space="preserve">The “Variational constitutive updates” section has been moved to an Appendix. </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3EEE0A46" w14:textId="6A39E165"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al=0.05), most of the computation time is spent on the iterative Newton’s solve and that is where the proposed Cartesian parametrization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w:t>
      </w:r>
      <w:r w:rsidR="009250B4">
        <w:rPr>
          <w:i/>
          <w:color w:val="0000FF"/>
        </w:rPr>
        <w:t>.</w:t>
      </w:r>
      <w:bookmarkStart w:id="0" w:name="_GoBack"/>
      <w:bookmarkEnd w:id="0"/>
    </w:p>
    <w:p w14:paraId="01FAFC26" w14:textId="77777777" w:rsidR="008D2B87" w:rsidRDefault="008D2B87" w:rsidP="00505A77">
      <w:pPr>
        <w:ind w:left="360"/>
        <w:jc w:val="both"/>
        <w:rPr>
          <w:i/>
          <w:color w:val="0000FF"/>
        </w:rPr>
      </w:pPr>
    </w:p>
    <w:p w14:paraId="76A24705" w14:textId="15B17CFB" w:rsidR="00575C99" w:rsidRDefault="00575C99" w:rsidP="00505A77">
      <w:pPr>
        <w:ind w:left="360"/>
        <w:jc w:val="both"/>
        <w:rPr>
          <w:i/>
          <w:color w:val="0000FF"/>
        </w:rPr>
      </w:pPr>
      <w:r>
        <w:rPr>
          <w:i/>
          <w:color w:val="0000FF"/>
        </w:rPr>
        <w:t>As the reviewer pointed out all parametrizations, including the proposed Cartesian one, require a two-stage solution approach (i.e., initial sampling and iterative Newton’s solve). When the intial sampling stage is skipped, see results in Tables 2 and 5, the Cartesian parametrization remains the most efficient and robust (in terms of success rate). In addition, we have performed analysis using Oliver’s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bifurcation time nor 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09175335" w14:textId="77777777" w:rsidR="009250B4" w:rsidRDefault="009250B4" w:rsidP="009250B4">
      <w:pPr>
        <w:ind w:left="360"/>
        <w:jc w:val="both"/>
        <w:rPr>
          <w:i/>
          <w:color w:val="0000FF"/>
        </w:rPr>
      </w:pPr>
      <w:r>
        <w:rPr>
          <w:i/>
          <w:color w:val="0000FF"/>
        </w:rPr>
        <w:t>The following comments have been added at the end of Section 5.1 and Section 5.2</w:t>
      </w:r>
    </w:p>
    <w:p w14:paraId="5EDFCE47" w14:textId="77777777" w:rsidR="009250B4" w:rsidRDefault="009250B4" w:rsidP="009250B4">
      <w:pPr>
        <w:ind w:left="360"/>
        <w:jc w:val="both"/>
        <w:rPr>
          <w:i/>
          <w:color w:val="0000FF"/>
        </w:rPr>
      </w:pPr>
    </w:p>
    <w:p w14:paraId="4AF95235" w14:textId="77777777" w:rsidR="009250B4" w:rsidRDefault="009250B4" w:rsidP="009250B4">
      <w:pPr>
        <w:ind w:left="360"/>
        <w:jc w:val="both"/>
        <w:rPr>
          <w:i/>
          <w:color w:val="0000FF"/>
        </w:rPr>
      </w:pPr>
      <w:r>
        <w:rPr>
          <w:i/>
          <w:color w:val="0000FF"/>
        </w:rPr>
        <w:t>At the end of Section 5.1</w:t>
      </w:r>
    </w:p>
    <w:p w14:paraId="59D3A1FB" w14:textId="77777777" w:rsidR="009250B4" w:rsidRDefault="009250B4" w:rsidP="009250B4">
      <w:pPr>
        <w:ind w:left="360"/>
        <w:jc w:val="both"/>
        <w:rPr>
          <w:i/>
          <w:color w:val="0000FF"/>
        </w:rPr>
      </w:pPr>
      <w:r>
        <w:rPr>
          <w:i/>
          <w:color w:val="0000FF"/>
        </w:rPr>
        <w:t>“</w:t>
      </w:r>
      <w:r w:rsidRPr="00653528">
        <w:rPr>
          <w:i/>
          <w:color w:val="0000FF"/>
        </w:rPr>
        <w:t>This first example illustrates the performance of different parametrizations on a very simple small deformation material model with tangents possessing both major and minor symmetries. For such material models, an alternative single stage approach as in Oliver et al. [25] could also be applied, which is based on the solution of a coupled eigenvalue problem in terms of the acoustic tensor. A preliminary analysis shows that this approach is able to correctly detect bifurcation and is more computationally efficient than the two-stage approach advanced herein for this type of material models. Our focus, however, is in the full finite-deformation case and therefore more complex material tangents that do not posses minor symmetries will be investigated next.</w:t>
      </w:r>
      <w:r>
        <w:rPr>
          <w:i/>
          <w:color w:val="0000FF"/>
        </w:rPr>
        <w:t>”</w:t>
      </w:r>
    </w:p>
    <w:p w14:paraId="26F9F526" w14:textId="77777777" w:rsidR="009250B4" w:rsidRDefault="009250B4" w:rsidP="009250B4">
      <w:pPr>
        <w:ind w:left="360"/>
        <w:jc w:val="both"/>
        <w:rPr>
          <w:i/>
          <w:color w:val="0000FF"/>
        </w:rPr>
      </w:pPr>
    </w:p>
    <w:p w14:paraId="5E3E79E9" w14:textId="77777777" w:rsidR="009250B4" w:rsidRDefault="009250B4" w:rsidP="009250B4">
      <w:pPr>
        <w:ind w:left="360"/>
        <w:jc w:val="both"/>
        <w:rPr>
          <w:i/>
          <w:color w:val="0000FF"/>
        </w:rPr>
      </w:pPr>
      <w:r>
        <w:rPr>
          <w:i/>
          <w:color w:val="0000FF"/>
        </w:rPr>
        <w:t>Ate the end of Section 5.2</w:t>
      </w:r>
    </w:p>
    <w:p w14:paraId="1DD7C7F2" w14:textId="77777777" w:rsidR="009250B4" w:rsidRDefault="009250B4" w:rsidP="009250B4">
      <w:pPr>
        <w:ind w:left="360"/>
        <w:jc w:val="both"/>
        <w:rPr>
          <w:i/>
          <w:color w:val="0000FF"/>
        </w:rPr>
      </w:pPr>
      <w:r>
        <w:rPr>
          <w:i/>
          <w:color w:val="0000FF"/>
        </w:rPr>
        <w:t>“</w:t>
      </w:r>
      <w:r w:rsidRPr="00E2224F">
        <w:rPr>
          <w:i/>
          <w:color w:val="0000FF"/>
        </w:rPr>
        <w:t>We note that for this finite deformation example, the single-stage approach of Oliver et al. [25] cannot correctly detect the bifurcation time nor the bifurcation direction. The Cartesian parametrization thus provides a valuable tool in numerical bifurcation analysis.</w:t>
      </w:r>
      <w:r>
        <w:rPr>
          <w:i/>
          <w:color w:val="0000FF"/>
        </w:rPr>
        <w:t>”</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5B649FBA" w:rsidR="00DE4D56" w:rsidRPr="00103BE2" w:rsidRDefault="00CD29AF" w:rsidP="00DE4D56">
      <w:pPr>
        <w:ind w:left="360"/>
        <w:jc w:val="both"/>
        <w:rPr>
          <w:i/>
          <w:color w:val="0000FF"/>
        </w:rPr>
      </w:pPr>
      <w:r>
        <w:rPr>
          <w:i/>
          <w:color w:val="0000FF"/>
        </w:rPr>
        <w:t>…</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parametrization eq.(3.7),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x,y to parametrize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Note that though the normal vector $~n$ is a unit vector, the position vector on the tangent  plane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7817"/>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250B4"/>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C0D9D"/>
    <w:rsid w:val="00CD0199"/>
    <w:rsid w:val="00CD1386"/>
    <w:rsid w:val="00CD29AF"/>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1619</Words>
  <Characters>9234</Characters>
  <Application>Microsoft Macintosh Word</Application>
  <DocSecurity>0</DocSecurity>
  <Lines>76</Lines>
  <Paragraphs>21</Paragraphs>
  <ScaleCrop>false</ScaleCrop>
  <Company>Clemson University</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80</cp:revision>
  <dcterms:created xsi:type="dcterms:W3CDTF">2015-12-30T13:00:00Z</dcterms:created>
  <dcterms:modified xsi:type="dcterms:W3CDTF">2016-01-24T13:14:00Z</dcterms:modified>
</cp:coreProperties>
</file>