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59C8" w14:textId="4886C8A1" w:rsidR="008F4858" w:rsidRPr="00090A7F" w:rsidRDefault="008F4858">
      <w:pPr>
        <w:rPr>
          <w:b/>
          <w:bCs/>
        </w:rPr>
      </w:pPr>
      <w:proofErr w:type="gramStart"/>
      <w:r w:rsidRPr="00090A7F">
        <w:rPr>
          <w:b/>
          <w:bCs/>
        </w:rPr>
        <w:t>Author :</w:t>
      </w:r>
      <w:proofErr w:type="gramEnd"/>
      <w:r w:rsidRPr="00090A7F">
        <w:rPr>
          <w:b/>
          <w:bCs/>
        </w:rPr>
        <w:t xml:space="preserve"> Justin Chestang MD, MPH</w:t>
      </w:r>
    </w:p>
    <w:p w14:paraId="758D93E4" w14:textId="191E0585" w:rsidR="008F4858" w:rsidRPr="00090A7F" w:rsidRDefault="008F4858">
      <w:pPr>
        <w:rPr>
          <w:b/>
          <w:bCs/>
        </w:rPr>
      </w:pPr>
      <w:proofErr w:type="gramStart"/>
      <w:r w:rsidRPr="00090A7F">
        <w:rPr>
          <w:b/>
          <w:bCs/>
        </w:rPr>
        <w:t>Mentor :</w:t>
      </w:r>
      <w:proofErr w:type="gramEnd"/>
      <w:r w:rsidRPr="00090A7F">
        <w:rPr>
          <w:b/>
          <w:bCs/>
        </w:rPr>
        <w:t xml:space="preserve"> Jerard Hayek, MD, MS</w:t>
      </w:r>
    </w:p>
    <w:p w14:paraId="4C390DF5" w14:textId="2A335E29" w:rsidR="008F4858" w:rsidRPr="00090A7F" w:rsidRDefault="008F4858">
      <w:pPr>
        <w:rPr>
          <w:b/>
          <w:bCs/>
        </w:rPr>
      </w:pPr>
      <w:r w:rsidRPr="00090A7F">
        <w:rPr>
          <w:b/>
          <w:bCs/>
        </w:rPr>
        <w:t>AMIA FHIR Application Comp</w:t>
      </w:r>
      <w:r w:rsidR="00090A7F">
        <w:rPr>
          <w:b/>
          <w:bCs/>
        </w:rPr>
        <w:t>e</w:t>
      </w:r>
      <w:r w:rsidRPr="00090A7F">
        <w:rPr>
          <w:b/>
          <w:bCs/>
        </w:rPr>
        <w:t>tition</w:t>
      </w:r>
    </w:p>
    <w:p w14:paraId="29B38D53" w14:textId="621B4BD5" w:rsidR="00061B9B" w:rsidRPr="00090A7F" w:rsidRDefault="00061B9B">
      <w:pPr>
        <w:rPr>
          <w:b/>
          <w:bCs/>
        </w:rPr>
      </w:pPr>
      <w:r w:rsidRPr="00090A7F">
        <w:rPr>
          <w:b/>
          <w:bCs/>
        </w:rPr>
        <w:t>Abstract</w:t>
      </w:r>
    </w:p>
    <w:p w14:paraId="58301D39" w14:textId="7A3DA36D" w:rsidR="00E06430" w:rsidRDefault="00061B9B">
      <w:r w:rsidRPr="00061B9B">
        <w:t xml:space="preserve">Cancer raises venous thromboembolism (VTE) risk </w:t>
      </w:r>
      <w:proofErr w:type="gramStart"/>
      <w:r w:rsidRPr="00061B9B">
        <w:t>4-7 fold</w:t>
      </w:r>
      <w:proofErr w:type="gramEnd"/>
      <w:r w:rsidRPr="00061B9B">
        <w:t xml:space="preserve">, yet pharmacologic prophylaxis is underused and is complicated by interactions between direct oral anticoagulants (DOACs) and chemotherapy. </w:t>
      </w:r>
      <w:proofErr w:type="spellStart"/>
      <w:r w:rsidRPr="00061B9B">
        <w:t>OncoVTE</w:t>
      </w:r>
      <w:proofErr w:type="spellEnd"/>
      <w:r w:rsidRPr="00061B9B">
        <w:t xml:space="preserve"> Guard is a SMART on FHIR clinical decision support app that automates the NCCN-endorsed workflow. It computes the Khorana VTE risk score from the patient's diagnosis and labs, screens every active medication against a 52-agent DOAC interaction knowledge base, evaluates renal function (Cockcroft-Gault) and absolute/relative contraindications, then recommends a specific, guideline-concordant anticoagulant - or flags when none is safe. The identical reasoning engine is exposed two ways: an in-EHR dashboard for clinicians and a CDS Hooks service for passive, point-of-care alerts. A 121-test automated suite and a rule-to-source-to-code-to-test traceability matrix demonstrate guideline fidelity, and five synthetic patients exercise every decision pathway end to end.</w:t>
      </w:r>
    </w:p>
    <w:p w14:paraId="1AA1C5D4" w14:textId="079D6F9B" w:rsidR="00061B9B" w:rsidRDefault="00061B9B">
      <w:pPr>
        <w:rPr>
          <w:b/>
          <w:bCs/>
        </w:rPr>
      </w:pPr>
      <w:r>
        <w:rPr>
          <w:b/>
          <w:bCs/>
        </w:rPr>
        <w:t>Rationale</w:t>
      </w:r>
    </w:p>
    <w:p w14:paraId="3F966C39" w14:textId="57A14D32" w:rsidR="00061B9B" w:rsidRDefault="00061B9B" w:rsidP="00061B9B">
      <w:r>
        <w:t>Venous thromboembolism (VTE) is a leading cause of death in people with cancer and accounts for roughly one in five of all VTE events</w:t>
      </w:r>
      <w:r w:rsidR="008F4858">
        <w:t xml:space="preserve"> (cite)</w:t>
      </w:r>
      <w:r>
        <w:t xml:space="preserve">. Active malignancy raises VTE risk approximately </w:t>
      </w:r>
      <w:proofErr w:type="gramStart"/>
      <w:r>
        <w:t>4-7 fold</w:t>
      </w:r>
      <w:proofErr w:type="gramEnd"/>
      <w:r>
        <w:t>, and many systemic therapies raise it further</w:t>
      </w:r>
      <w:r w:rsidR="008F4858">
        <w:t xml:space="preserve"> (cite)</w:t>
      </w:r>
      <w:r>
        <w:t>. Ambulatory patients receiving chemotherapy are a high-yield target for prevention, but blanket prophylaxis is inappropriate: it must be reserved for those at sufficient risk to outweigh bleeding harm</w:t>
      </w:r>
      <w:r w:rsidR="008F4858">
        <w:t xml:space="preserve"> (cite)</w:t>
      </w:r>
      <w:r>
        <w:t xml:space="preserve">. NCCN guidance therefore recommends risk-stratified prophylaxis </w:t>
      </w:r>
      <w:r w:rsidR="008F4858">
        <w:t>(</w:t>
      </w:r>
      <w:r>
        <w:t>using the validated Khorana score</w:t>
      </w:r>
      <w:r w:rsidR="008F4858">
        <w:t>)</w:t>
      </w:r>
      <w:r>
        <w:t xml:space="preserve"> and endorses the DOACs apixaban and rivaroxaban as preferred oral options.</w:t>
      </w:r>
    </w:p>
    <w:p w14:paraId="2E4B0463" w14:textId="5082EDAF" w:rsidR="00061B9B" w:rsidRDefault="00061B9B" w:rsidP="00061B9B">
      <w:r>
        <w:t>The catch is that this decision is genuinely hard to make correctly at the point of care. The clinician must (a) compute a multi-variable risk score from the diagnosis and a current CBC and BMI; (b) know that DOACs are metabolized through CYP3A4 and transported by P-glycoprotein, and that numerous antineoplastic and supportive-care agents induce or inhibit these pathways - changing DOAC levels enough to cause bleeding or therapeutic failure</w:t>
      </w:r>
      <w:r w:rsidR="008F4858">
        <w:t xml:space="preserve"> (cite)</w:t>
      </w:r>
      <w:r>
        <w:t xml:space="preserve">; (c) account for renal function, thrombocytopenia, hepatic impairment, antiphospholipid syndrome, luminal GI/GU tumors, and heparin-induced thrombocytopenia; and (d) recognize the malignancies (myeloma, primary brain tumor, acute leukemia, myeloproliferative neoplasms) that fall outside the Khorana model entirely. </w:t>
      </w:r>
      <w:r>
        <w:lastRenderedPageBreak/>
        <w:t>Doing this reliably, for every patient, under time pressure, is exactly the kind of task that is offloaded poorly to human memory.</w:t>
      </w:r>
    </w:p>
    <w:p w14:paraId="42937B1C" w14:textId="2E2CB910" w:rsidR="00061B9B" w:rsidRDefault="00061B9B" w:rsidP="00061B9B">
      <w:r>
        <w:t xml:space="preserve">Who is affected: The patients are the roughly 1.9 </w:t>
      </w:r>
      <w:proofErr w:type="gramStart"/>
      <w:r>
        <w:t>million people</w:t>
      </w:r>
      <w:proofErr w:type="gramEnd"/>
      <w:r>
        <w:t xml:space="preserve"> newly diagnosed with cancer in the US each year, a large fraction of whom receive ambulatory systemic therapy. The clinicians are oncologists, hematologist-oncologists, oncology pharmacists, and advanced practice providers.</w:t>
      </w:r>
    </w:p>
    <w:p w14:paraId="63C3DDB8" w14:textId="04C47076" w:rsidR="00061B9B" w:rsidRDefault="00061B9B" w:rsidP="00061B9B">
      <w:r>
        <w:t>Impact: Cancer-associated VTE drives substantial morbidity, mortality, hospitalization, and cost, and it interrupts oncologic treatment. Randomized trials (AVERT, CASSINI) show that targeted DOAC prophylaxis in higher-risk ambulatory patients reduces VTE events. Conversely, anticoagulating the wrong patient - one with severe thrombocytopenia, an active bleed, or a major DOAC drug interaction - causes preventable hemorrhage. A tool that makes the guideline-concordant choice fast and explicit can both increase appropriate prophylaxis and prevent inappropriate or unsafe anticoagulation. Because the logic is reusable, even small per-encounter improvements scale across a very large population.</w:t>
      </w:r>
    </w:p>
    <w:p w14:paraId="5581B355" w14:textId="06DDE915" w:rsidR="00061B9B" w:rsidRDefault="00061B9B" w:rsidP="00061B9B">
      <w:r>
        <w:t xml:space="preserve">Innovation: </w:t>
      </w:r>
      <w:proofErr w:type="spellStart"/>
      <w:r>
        <w:t>OncoVTE</w:t>
      </w:r>
      <w:proofErr w:type="spellEnd"/>
      <w:r>
        <w:t xml:space="preserve"> Guard is distinguished by four things. First, it unifies Khorana risk scoring with a structured, individually sourced 52-agent DOAC-chemotherapy interaction knowledge base; most available tools do one or the other, not </w:t>
      </w:r>
      <w:proofErr w:type="gramStart"/>
      <w:r>
        <w:t>both in</w:t>
      </w:r>
      <w:proofErr w:type="gramEnd"/>
      <w:r>
        <w:t xml:space="preserve"> a single recommendation. Second, its contraindication logic is "</w:t>
      </w:r>
      <w:proofErr w:type="spellStart"/>
      <w:r>
        <w:t>appliesTo</w:t>
      </w:r>
      <w:proofErr w:type="spellEnd"/>
      <w:r>
        <w:t>"-aware: a condition such as HIT removes only the affected agents (LMWH) while leaving DOACs preferred, instead of bluntly aborting the assessment. Third, it is dual-surface - the exact same tested reasoning engine powers both an interactive SMART on FHIR dashboard (clinician pull) and a CDS Hooks service (EHR push) - so it meets clinicians where they already work. Fourth, it treats clinical accuracy as a testable property: every rule is backed by an automated test and an auditable rule-to-source-to-code-to-test traceability matrix.</w:t>
      </w:r>
    </w:p>
    <w:p w14:paraId="4693D1DC" w14:textId="77777777" w:rsidR="00061B9B" w:rsidRDefault="00061B9B" w:rsidP="00061B9B">
      <w:pPr>
        <w:rPr>
          <w:b/>
          <w:bCs/>
        </w:rPr>
      </w:pPr>
      <w:r>
        <w:rPr>
          <w:b/>
          <w:bCs/>
        </w:rPr>
        <w:t>Design</w:t>
      </w:r>
    </w:p>
    <w:p w14:paraId="7C394F98" w14:textId="2893BBAE" w:rsidR="00061B9B" w:rsidRPr="00061B9B" w:rsidRDefault="00061B9B" w:rsidP="00061B9B">
      <w:pPr>
        <w:rPr>
          <w:b/>
          <w:bCs/>
        </w:rPr>
      </w:pPr>
      <w:r>
        <w:t xml:space="preserve">The core design decision was to separate clinical reasoning from presentation and transport. All guideline logic lives in pure, framework-free TypeScript modules with no knowledge of React, HTTP, or FHIR wire formats. Those engines are consumed through a single, well-typed seam - </w:t>
      </w:r>
      <w:proofErr w:type="spellStart"/>
      <w:proofErr w:type="gramStart"/>
      <w:r>
        <w:t>assemblePatientData</w:t>
      </w:r>
      <w:proofErr w:type="spellEnd"/>
      <w:r>
        <w:t>(</w:t>
      </w:r>
      <w:proofErr w:type="gramEnd"/>
      <w:r>
        <w:t xml:space="preserve">) produces a normalized </w:t>
      </w:r>
      <w:proofErr w:type="spellStart"/>
      <w:r>
        <w:t>PatientData</w:t>
      </w:r>
      <w:proofErr w:type="spellEnd"/>
      <w:r>
        <w:t xml:space="preserve">, and </w:t>
      </w:r>
      <w:proofErr w:type="spellStart"/>
      <w:proofErr w:type="gramStart"/>
      <w:r>
        <w:t>generateRecommendation</w:t>
      </w:r>
      <w:proofErr w:type="spellEnd"/>
      <w:r>
        <w:t>(</w:t>
      </w:r>
      <w:proofErr w:type="gramEnd"/>
      <w:r>
        <w:t xml:space="preserve">) turns it into a </w:t>
      </w:r>
      <w:proofErr w:type="spellStart"/>
      <w:r>
        <w:t>ProphylaxisRecommendation</w:t>
      </w:r>
      <w:proofErr w:type="spellEnd"/>
      <w:r>
        <w:t xml:space="preserve">. Three surfaces feed that </w:t>
      </w:r>
      <w:proofErr w:type="gramStart"/>
      <w:r>
        <w:t>seam</w:t>
      </w:r>
      <w:proofErr w:type="gramEnd"/>
      <w:r>
        <w:t xml:space="preserve"> identically: a live SMART on FHIR client, a standalone synthetic-patient loader, and a CDS Hooks prefetch adapter. This guarantees that the dashboard, the demo, and the machine-to-machine service all produce the same clinical output, and it makes every rule unit-testable in isolation. Because the engine is pure and instant, the standalone </w:t>
      </w:r>
      <w:r>
        <w:lastRenderedPageBreak/>
        <w:t>demo wraps it in a live "what-if" editor: editing any input - labs, BMI, cancer site, clinical flags, or the active medication list - rebuilds the patient and re-runs the full recommendation in real time, making the reasoning engine directly inspectable by a reviewer.</w:t>
      </w:r>
    </w:p>
    <w:p w14:paraId="2313402D" w14:textId="19446FFB" w:rsidR="008F4858" w:rsidRPr="008F4858" w:rsidRDefault="008F4858" w:rsidP="00061B9B">
      <w:pPr>
        <w:rPr>
          <w:b/>
          <w:bCs/>
        </w:rPr>
      </w:pPr>
      <w:r>
        <w:rPr>
          <w:b/>
          <w:bCs/>
        </w:rPr>
        <w:t>Design Rationale</w:t>
      </w:r>
    </w:p>
    <w:p w14:paraId="0FFF6BB2" w14:textId="75CBB608" w:rsidR="00061B9B" w:rsidRDefault="00061B9B" w:rsidP="00061B9B">
      <w:r>
        <w:t>The pipeline mirrors the clinician's mental workflow, step by step:</w:t>
      </w:r>
    </w:p>
    <w:p w14:paraId="54D347E8" w14:textId="77777777" w:rsidR="00061B9B" w:rsidRDefault="00061B9B" w:rsidP="00061B9B">
      <w:r>
        <w:t xml:space="preserve">1. Cancer-site classification and exclusions. ICD-10-CM codes are matched by hierarchical </w:t>
      </w:r>
      <w:proofErr w:type="gramStart"/>
      <w:r>
        <w:t>prefix</w:t>
      </w:r>
      <w:proofErr w:type="gramEnd"/>
      <w:r>
        <w:t>. Disease-specific populations (multiple myeloma, primary/metastatic brain tumor, acute leukemia, myeloproliferative neoplasms) are detected and routed out of the Khorana model to their own pathway, rather than being mis-scored.</w:t>
      </w:r>
    </w:p>
    <w:p w14:paraId="487A6A9E" w14:textId="77777777" w:rsidR="00061B9B" w:rsidRDefault="00061B9B" w:rsidP="00061B9B">
      <w:r>
        <w:t>2. Khorana VTE risk score. Cancer site (0-2) plus four one-point criteria (platelets &gt;=350, hemoglobin &lt;10 or ESA use, WBC &gt;11, BMI &gt;=35), capped at 6. Tiers follow the original Khorana model / NCCN VTE-C (0 Low, 1-2 Intermediate, &gt;=3 High); pharmacologic prophylaxis is indicated at &gt;=2. Each criterion's boundary is explicit and tested.</w:t>
      </w:r>
    </w:p>
    <w:p w14:paraId="1B591959" w14:textId="77777777" w:rsidR="00061B9B" w:rsidRDefault="00061B9B" w:rsidP="00061B9B">
      <w:r>
        <w:t xml:space="preserve">3. DOAC-chemotherapy interaction screening. Every active medication is checked against a 52-agent knowledge base. For each, the engine returns the full per-DOAC profile (apixaban, rivaroxaban, dabigatran, </w:t>
      </w:r>
      <w:proofErr w:type="spellStart"/>
      <w:r>
        <w:t>edoxaban</w:t>
      </w:r>
      <w:proofErr w:type="spellEnd"/>
      <w:r>
        <w:t>) with mechanism, severity, and management, and aggregates a worst-case severity (major &gt; moderate &gt; pharmacodynamic &gt; minor &gt; none &gt; unknown).</w:t>
      </w:r>
    </w:p>
    <w:p w14:paraId="442E3F07" w14:textId="77777777" w:rsidR="00061B9B" w:rsidRDefault="00061B9B" w:rsidP="00061B9B">
      <w:r>
        <w:t>4. Renal dosing. Cockcroft-Gault CrCl drives per-anticoagulant standard/caution/avoid guidance, with warnings for low body weight and active nephrotoxic agents.</w:t>
      </w:r>
    </w:p>
    <w:p w14:paraId="3D34C543" w14:textId="77777777" w:rsidR="00061B9B" w:rsidRDefault="00061B9B" w:rsidP="00061B9B">
      <w:r>
        <w:t xml:space="preserve">5. Contraindications. Absolute (active bleeding, severe thrombocytopenia, antiphospholipid syndrome, severe hepatic impairment, HIT) and relative (GI/GU tumor, brain tumor, </w:t>
      </w:r>
      <w:proofErr w:type="spellStart"/>
      <w:r>
        <w:t>myeloma+IMiD</w:t>
      </w:r>
      <w:proofErr w:type="spellEnd"/>
      <w:r>
        <w:t xml:space="preserve">, concurrent antiplatelet, low weight) findings each carry </w:t>
      </w:r>
      <w:proofErr w:type="gramStart"/>
      <w:r>
        <w:t>an</w:t>
      </w:r>
      <w:proofErr w:type="gramEnd"/>
      <w:r>
        <w:t xml:space="preserve"> </w:t>
      </w:r>
      <w:proofErr w:type="spellStart"/>
      <w:r>
        <w:t>appliesTo</w:t>
      </w:r>
      <w:proofErr w:type="spellEnd"/>
      <w:r>
        <w:t xml:space="preserve"> scope.</w:t>
      </w:r>
    </w:p>
    <w:p w14:paraId="2C806D63" w14:textId="77777777" w:rsidR="00061B9B" w:rsidRDefault="00061B9B" w:rsidP="00061B9B">
      <w:r>
        <w:t xml:space="preserve">6. Synthesis. Only apixaban and rivaroxaban are ever presented as prophylaxis options (NCCN); dabigatran and </w:t>
      </w:r>
      <w:proofErr w:type="spellStart"/>
      <w:r>
        <w:t>edoxaban</w:t>
      </w:r>
      <w:proofErr w:type="spellEnd"/>
      <w:r>
        <w:t xml:space="preserve"> appear only as interaction references. If both preferred DOACs are blocked, the engine falls back to LMWH - never to dabigatran/</w:t>
      </w:r>
      <w:proofErr w:type="spellStart"/>
      <w:r>
        <w:t>edoxaban</w:t>
      </w:r>
      <w:proofErr w:type="spellEnd"/>
      <w:r>
        <w:t>. A universal absolute contraindication aborts pharmacologic prophylaxis; a targeted one only removes the affected agents.</w:t>
      </w:r>
    </w:p>
    <w:p w14:paraId="55F144D5" w14:textId="77777777" w:rsidR="00061B9B" w:rsidRDefault="00061B9B" w:rsidP="00061B9B">
      <w:r>
        <w:t>7. Stale data guarding. Labs older than 30 days are flagged before they drive a decision.</w:t>
      </w:r>
    </w:p>
    <w:p w14:paraId="23EA7F5D" w14:textId="77777777" w:rsidR="00061B9B" w:rsidRDefault="00061B9B" w:rsidP="00061B9B"/>
    <w:p w14:paraId="7FC1FCE0" w14:textId="1DC2CF78" w:rsidR="00061B9B" w:rsidRDefault="00061B9B" w:rsidP="00061B9B">
      <w:r>
        <w:lastRenderedPageBreak/>
        <w:t xml:space="preserve">Implementation: The stack is TypeScript, React 18, and Vite for the dashboard; an Express service for CDS Hooks; and </w:t>
      </w:r>
      <w:proofErr w:type="spellStart"/>
      <w:r>
        <w:t>Vitest</w:t>
      </w:r>
      <w:proofErr w:type="spellEnd"/>
      <w:r>
        <w:t xml:space="preserve"> for testing. </w:t>
      </w:r>
      <w:proofErr w:type="spellStart"/>
      <w:r>
        <w:t>fhirclient</w:t>
      </w:r>
      <w:proofErr w:type="spellEnd"/>
      <w:r>
        <w:t xml:space="preserve"> handles the SMART OAuth2 handshake. Knowledge is externalized into data files: the DDI knowledge base (JSON), the ICD-10 cancer map, LOINC codes, </w:t>
      </w:r>
      <w:proofErr w:type="spellStart"/>
      <w:r>
        <w:t>RxNorm</w:t>
      </w:r>
      <w:proofErr w:type="spellEnd"/>
      <w:r>
        <w:t xml:space="preserve"> code sets, and per-agent renal thresholds. A FHIR R4 client </w:t>
      </w:r>
      <w:proofErr w:type="spellStart"/>
      <w:r>
        <w:t>CapabilityStatement</w:t>
      </w:r>
      <w:proofErr w:type="spellEnd"/>
      <w:r>
        <w:t xml:space="preserve"> documents exactly which resources and interactions the app needs.</w:t>
      </w:r>
    </w:p>
    <w:p w14:paraId="6C0EA99E" w14:textId="559DF89F" w:rsidR="00061B9B" w:rsidRDefault="00061B9B" w:rsidP="00061B9B">
      <w:r>
        <w:t xml:space="preserve">Requirements to deploy: A SMART on FHIR-enabled EHR (or sandbox) supporting EHR launch with OAuth2 and read access to Patient, Condition, Observation, and </w:t>
      </w:r>
      <w:proofErr w:type="spellStart"/>
      <w:r>
        <w:t>MedicationRequest</w:t>
      </w:r>
      <w:proofErr w:type="spellEnd"/>
      <w:r>
        <w:t xml:space="preserve"> (scopes are declared); for the CDS Hooks service, a CDS Hooks-capable EHR that can call the discovery endpoint and deliver prefetch. The demo mode requires only a browser.</w:t>
      </w:r>
    </w:p>
    <w:p w14:paraId="444E44D5" w14:textId="0663767C" w:rsidR="00061B9B" w:rsidRDefault="00061B9B" w:rsidP="00061B9B">
      <w:r>
        <w:t xml:space="preserve">Challenges overcome: (1) Encoding "active major bleeding": FHIR has no single, reliable representation of active bleeding status, so rather than infer it unreliably we made a deliberate scope decision to model it as a clinician-confirmable </w:t>
      </w:r>
      <w:proofErr w:type="spellStart"/>
      <w:r>
        <w:t>boolean</w:t>
      </w:r>
      <w:proofErr w:type="spellEnd"/>
      <w:r>
        <w:t xml:space="preserve">, keeping the determination with the clinician while still gating the recommendation. (2) Drug identity precision: paclitaxel and albumin-bound nab-paclitaxel needed distinct </w:t>
      </w:r>
      <w:proofErr w:type="spellStart"/>
      <w:r>
        <w:t>RxNorm</w:t>
      </w:r>
      <w:proofErr w:type="spellEnd"/>
      <w:r>
        <w:t xml:space="preserve"> entries because their interaction profiles and codes differ. (3) </w:t>
      </w:r>
      <w:proofErr w:type="spellStart"/>
      <w:r>
        <w:t>RxNorm</w:t>
      </w:r>
      <w:proofErr w:type="spellEnd"/>
      <w:r>
        <w:t xml:space="preserve"> verification: resolving codes for newly added agents surfaced a latent defect - 10324 had been treated as thalidomide when it is in fact tamoxifen (thalidomide is 10400); we corrected the </w:t>
      </w:r>
      <w:proofErr w:type="spellStart"/>
      <w:r>
        <w:t>IMiD</w:t>
      </w:r>
      <w:proofErr w:type="spellEnd"/>
      <w:r>
        <w:t xml:space="preserve"> code set and locked it with a regression </w:t>
      </w:r>
      <w:proofErr w:type="gramStart"/>
      <w:r>
        <w:t>test</w:t>
      </w:r>
      <w:proofErr w:type="gramEnd"/>
      <w:r>
        <w:t xml:space="preserve"> so a tamoxifen patient is never mislabeled as on an immunomodulatory drug. (4) Contraindication semantics: early logic conflated "patient cannot be anticoagulated" with "this agent is unsuitable," which the </w:t>
      </w:r>
      <w:proofErr w:type="spellStart"/>
      <w:r>
        <w:t>appliesTo</w:t>
      </w:r>
      <w:proofErr w:type="spellEnd"/>
      <w:r>
        <w:t xml:space="preserve"> model resolved. (5) Authoritative-contract drift: a reconciliation document was made the single source of truth so that ten resolved guideline/contract decisions are enforced consistently in code and tests.</w:t>
      </w:r>
    </w:p>
    <w:p w14:paraId="192D97C1" w14:textId="77777777" w:rsidR="00061B9B" w:rsidRDefault="00061B9B" w:rsidP="00061B9B">
      <w:pPr>
        <w:rPr>
          <w:b/>
          <w:bCs/>
        </w:rPr>
      </w:pPr>
      <w:r>
        <w:rPr>
          <w:b/>
          <w:bCs/>
        </w:rPr>
        <w:t>Evaluation</w:t>
      </w:r>
    </w:p>
    <w:p w14:paraId="4E9A4A46" w14:textId="05237679" w:rsidR="00061B9B" w:rsidRPr="00061B9B" w:rsidRDefault="00061B9B" w:rsidP="00061B9B">
      <w:pPr>
        <w:rPr>
          <w:b/>
          <w:bCs/>
        </w:rPr>
      </w:pPr>
      <w:r>
        <w:t>Because the project's central claim is clinical accuracy, evaluation focused on verifiable guideline fidelity rather than on usage metrics (the app is a pre-deployment prototype). We gathered both quantitative and qualitative evidence.</w:t>
      </w:r>
    </w:p>
    <w:p w14:paraId="42D6D47C" w14:textId="7824ED55" w:rsidR="00061B9B" w:rsidRDefault="00061B9B" w:rsidP="00061B9B">
      <w:r>
        <w:t>Quantitative</w:t>
      </w:r>
      <w:r w:rsidR="008F4858">
        <w:t>:</w:t>
      </w:r>
      <w:r>
        <w:t xml:space="preserve"> (1) A 121-test automated suite (</w:t>
      </w:r>
      <w:proofErr w:type="spellStart"/>
      <w:r>
        <w:t>Vitest</w:t>
      </w:r>
      <w:proofErr w:type="spellEnd"/>
      <w:r>
        <w:t xml:space="preserve">) covers every clinical engine and the integration boundaries: Khorana scoring including each criterion's boundary value (e.g., platelets exactly 350 scores, hemoglobin exactly 10.0 does not), the 52-agent DOAC interaction checker, Cockcroft-Gault renal dosing, </w:t>
      </w:r>
      <w:proofErr w:type="spellStart"/>
      <w:r>
        <w:t>appliesTo</w:t>
      </w:r>
      <w:proofErr w:type="spellEnd"/>
      <w:r>
        <w:t xml:space="preserve">-aware contraindications, stale-lab detection, the recommendation orchestrator, </w:t>
      </w:r>
      <w:proofErr w:type="spellStart"/>
      <w:r>
        <w:t>RxNorm</w:t>
      </w:r>
      <w:proofErr w:type="spellEnd"/>
      <w:r>
        <w:t xml:space="preserve"> code integrity, and the CDS Hooks card builder. (2) Five synthetic FHIR R4 patients are run end to end, asserting the </w:t>
      </w:r>
      <w:r>
        <w:lastRenderedPageBreak/>
        <w:t>expected output of all five decision pathways - recommend, LMWH fallback (both DOACs blocked), contraindicated, not indicated, and excluded. (3) A rule-to-source-to-code-to-test traceability matrix links each clinical rule to its guideline citation, its implementing code, and the test that proves it, including the ten authoritative contract decisions. (4) Static gates: the TypeScript compiler runs clean under strict mode, and the production build succeeds.</w:t>
      </w:r>
    </w:p>
    <w:p w14:paraId="5F8332A1" w14:textId="2E46CE35" w:rsidR="00061B9B" w:rsidRDefault="00061B9B" w:rsidP="00061B9B">
      <w:r>
        <w:t>Qualitative</w:t>
      </w:r>
      <w:r w:rsidR="008F4858">
        <w:t>:</w:t>
      </w:r>
      <w:r>
        <w:t xml:space="preserve"> Each of the five decision states was visually verified in the running app and captured as a screenshot, confirming that the interface communicates severity (color-coded interaction matrix, ranked alerts, explicit "avoid / not an option" list) clearly and unambiguously.</w:t>
      </w:r>
    </w:p>
    <w:p w14:paraId="1E93050A" w14:textId="4B6E1BA6" w:rsidR="00061B9B" w:rsidRDefault="00061B9B" w:rsidP="00061B9B">
      <w:r>
        <w:t>Conclusions</w:t>
      </w:r>
      <w:r w:rsidR="008F4858">
        <w:t>:</w:t>
      </w:r>
      <w:r>
        <w:t xml:space="preserve"> The engine reproduces NCCN-concordant outputs deterministically across the tested space, and the dual-surface architecture delivers identical results through both the dashboard and the CDS Hooks service. The project met its goals for clinical accuracy and for standards-based EHR integration. It has not yet been evaluated with live EHR data or in a clinical setting, which is the next step.</w:t>
      </w:r>
    </w:p>
    <w:p w14:paraId="6C92FAD3" w14:textId="09D54ABE" w:rsidR="00061B9B" w:rsidRDefault="00061B9B" w:rsidP="00061B9B">
      <w:proofErr w:type="spellStart"/>
      <w:proofErr w:type="gramStart"/>
      <w:r>
        <w:t>Sustainability</w:t>
      </w:r>
      <w:r w:rsidR="008F4858">
        <w:t>:</w:t>
      </w:r>
      <w:r>
        <w:t>The</w:t>
      </w:r>
      <w:proofErr w:type="spellEnd"/>
      <w:proofErr w:type="gramEnd"/>
      <w:r>
        <w:t xml:space="preserve"> design is built to last and to be maintained. The DOAC interaction knowledge base is an external, versioned data file in which every agent carries explicit sources, so guideline and labeling updates are data edits, not code rewrites. Clinical engines are decoupled from UI and transport, so a guideline change is localized and immediately re-verified by the test suite that encodes it. The app is built entirely on open standards - FHIR R4, SMART App Launch, and CDS Hooks - which maximizes portability across EHRs and avoids vendor lock-in. The roadmap is to validate against public SMART/FHIR sandboxes, broaden the knowledge base under clinical review, and, contingent on review, publish in the SMART App Gallery for community adoption and contribution.</w:t>
      </w:r>
    </w:p>
    <w:p w14:paraId="41E91310" w14:textId="7B650B6D" w:rsidR="00061B9B" w:rsidRDefault="00061B9B" w:rsidP="00061B9B">
      <w:pPr>
        <w:rPr>
          <w:b/>
          <w:bCs/>
        </w:rPr>
      </w:pPr>
      <w:r>
        <w:rPr>
          <w:b/>
          <w:bCs/>
        </w:rPr>
        <w:t>Audience</w:t>
      </w:r>
    </w:p>
    <w:p w14:paraId="01925AE1" w14:textId="5F6DB2E1" w:rsidR="00061B9B" w:rsidRDefault="00061B9B" w:rsidP="00061B9B">
      <w:r w:rsidRPr="00061B9B">
        <w:t>Primary users are clinicians who manage ambulatory cancer patients: medical oncologists, hematologist-oncologists, oncology pharmacists, and advanced practice providers (NPs/PAs). The CDS Hooks service additionally targets EHR and informatics teams who want to embed guideline-concordant VTE prophylaxis prompts into existing order-entry and chart-review workflows without adopting a separate application. The ultimate beneficiary is the ambulatory cancer patient, for whom appropriate, interaction-aware thromboprophylaxis reduces both preventable VTE and avoidable anticoagulant-related bleeding.</w:t>
      </w:r>
    </w:p>
    <w:p w14:paraId="1C85E9C9" w14:textId="7DE1B3F2" w:rsidR="00061B9B" w:rsidRDefault="00061B9B" w:rsidP="00061B9B">
      <w:pPr>
        <w:rPr>
          <w:b/>
          <w:bCs/>
        </w:rPr>
      </w:pPr>
      <w:r>
        <w:rPr>
          <w:b/>
          <w:bCs/>
        </w:rPr>
        <w:t xml:space="preserve">140 Character Summary </w:t>
      </w:r>
    </w:p>
    <w:p w14:paraId="4F911979" w14:textId="6BCAB5E0" w:rsidR="00061B9B" w:rsidRDefault="00061B9B" w:rsidP="00061B9B">
      <w:r w:rsidRPr="00061B9B">
        <w:lastRenderedPageBreak/>
        <w:t>SMART on FHIR + CDS Hooks engine that scores cancer VTE risk and flags DOAC-chemo interactions, with 121 tests prov</w:t>
      </w:r>
      <w:r w:rsidR="00F2798F">
        <w:t>ing</w:t>
      </w:r>
      <w:r w:rsidRPr="00061B9B">
        <w:t xml:space="preserve"> guideline fidelity.</w:t>
      </w:r>
    </w:p>
    <w:p w14:paraId="38CD0FFB" w14:textId="12C375E3" w:rsidR="00F2798F" w:rsidRDefault="00F2798F" w:rsidP="00061B9B">
      <w:pPr>
        <w:rPr>
          <w:b/>
          <w:bCs/>
        </w:rPr>
      </w:pPr>
      <w:r>
        <w:rPr>
          <w:b/>
          <w:bCs/>
        </w:rPr>
        <w:t>FHIR Usage</w:t>
      </w:r>
    </w:p>
    <w:p w14:paraId="3FF452A9" w14:textId="011813F8" w:rsidR="00F2798F" w:rsidRDefault="00F2798F" w:rsidP="00061B9B">
      <w:r w:rsidRPr="00F2798F">
        <w:t>FHIR is used two ways</w:t>
      </w:r>
      <w:r w:rsidR="008F4858">
        <w:t xml:space="preserve">: </w:t>
      </w:r>
      <w:r w:rsidRPr="00F2798F">
        <w:t>(1) As an end-user-facing SMART on FHIR app: launched from the EHR, it reads the in-context patient's FHIR resources to drive an interactive VTE prophylaxis dashboard. (2) As a machine-to-machine interface via CDS Hooks: the same engine is served as a CDS service that consumes FHIR resources delivered in the hook prefetch and returns decision cards, enabling passive, point-of-care guidance inside native EHR workflows (patient-view and order-select).</w:t>
      </w:r>
    </w:p>
    <w:p w14:paraId="38E48CDD" w14:textId="7ED9D459" w:rsidR="00F2798F" w:rsidRDefault="00F2798F" w:rsidP="00061B9B">
      <w:pPr>
        <w:rPr>
          <w:b/>
          <w:bCs/>
        </w:rPr>
      </w:pPr>
      <w:r>
        <w:rPr>
          <w:b/>
          <w:bCs/>
        </w:rPr>
        <w:t>FHIR Release Resources</w:t>
      </w:r>
    </w:p>
    <w:p w14:paraId="70D7448C" w14:textId="3B22C4C2" w:rsidR="00F2798F" w:rsidRDefault="00F2798F" w:rsidP="00061B9B">
      <w:r w:rsidRPr="00F2798F">
        <w:t xml:space="preserve">FHIR release: R4 (4.0.1). Resources read: Patient (demographics, sex, </w:t>
      </w:r>
      <w:proofErr w:type="spellStart"/>
      <w:r w:rsidRPr="00F2798F">
        <w:t>birthDate</w:t>
      </w:r>
      <w:proofErr w:type="spellEnd"/>
      <w:r w:rsidRPr="00F2798F">
        <w:t xml:space="preserve">, US Core race/ethnicity); Condition (active malignancy by ICD-10-CM, for Khorana scoring and exclusions); Observation (labs - platelets, hemoglobin, WBC, creatinine, ALT, AST, bilirubin; vitals - weight, height, by LOINC); </w:t>
      </w:r>
      <w:proofErr w:type="spellStart"/>
      <w:r w:rsidRPr="00F2798F">
        <w:t>MedicationRequest</w:t>
      </w:r>
      <w:proofErr w:type="spellEnd"/>
      <w:r w:rsidRPr="00F2798F">
        <w:t xml:space="preserve"> (active meds by </w:t>
      </w:r>
      <w:proofErr w:type="spellStart"/>
      <w:r w:rsidRPr="00F2798F">
        <w:t>RxNorm</w:t>
      </w:r>
      <w:proofErr w:type="spellEnd"/>
      <w:r w:rsidRPr="00F2798F">
        <w:t xml:space="preserve">, for DOAC interaction, ESA, antiplatelet, </w:t>
      </w:r>
      <w:proofErr w:type="spellStart"/>
      <w:r w:rsidRPr="00F2798F">
        <w:t>IMiD</w:t>
      </w:r>
      <w:proofErr w:type="spellEnd"/>
      <w:r w:rsidRPr="00F2798F">
        <w:t xml:space="preserve">, and nephrotoxic detection). A client </w:t>
      </w:r>
      <w:proofErr w:type="spellStart"/>
      <w:r w:rsidRPr="00F2798F">
        <w:t>CapabilityStatement</w:t>
      </w:r>
      <w:proofErr w:type="spellEnd"/>
      <w:r w:rsidRPr="00F2798F">
        <w:t xml:space="preserve"> is provided.</w:t>
      </w:r>
    </w:p>
    <w:p w14:paraId="039B804C" w14:textId="658E4C09" w:rsidR="00F2798F" w:rsidRDefault="00F2798F" w:rsidP="00061B9B">
      <w:pPr>
        <w:rPr>
          <w:b/>
          <w:bCs/>
        </w:rPr>
      </w:pPr>
      <w:r>
        <w:rPr>
          <w:b/>
          <w:bCs/>
        </w:rPr>
        <w:t>Data Source</w:t>
      </w:r>
    </w:p>
    <w:p w14:paraId="44227CC4" w14:textId="4F6F7647" w:rsidR="00F2798F" w:rsidRDefault="00F2798F" w:rsidP="00061B9B">
      <w:r w:rsidRPr="00F2798F">
        <w:t xml:space="preserve">In production, resources are accessed live via the SMART on FHIR API (SMART App Launch, OAuth2) per the Argonaut/US Core ecosystem - the app reads Patient, Condition, Observation, and </w:t>
      </w:r>
      <w:proofErr w:type="spellStart"/>
      <w:r w:rsidRPr="00F2798F">
        <w:t>MedicationRequest</w:t>
      </w:r>
      <w:proofErr w:type="spellEnd"/>
      <w:r w:rsidRPr="00F2798F">
        <w:t xml:space="preserve"> for the launch patient. For CDS Hooks, resources arrive in the hook </w:t>
      </w:r>
      <w:proofErr w:type="gramStart"/>
      <w:r w:rsidRPr="00F2798F">
        <w:t>prefetch</w:t>
      </w:r>
      <w:proofErr w:type="gramEnd"/>
      <w:r w:rsidRPr="00F2798F">
        <w:t xml:space="preserve"> (or via the referenced FHIR server). For demo and automated testing, five synthetic FHIR R4 bundles (no PHI) run through the identical parsing pipeline, so demo and live modes behave the same.</w:t>
      </w:r>
    </w:p>
    <w:p w14:paraId="2577DE03" w14:textId="51321FC9" w:rsidR="00F2798F" w:rsidRDefault="00F2798F" w:rsidP="00061B9B">
      <w:pPr>
        <w:rPr>
          <w:b/>
          <w:bCs/>
        </w:rPr>
      </w:pPr>
      <w:r>
        <w:rPr>
          <w:b/>
          <w:bCs/>
        </w:rPr>
        <w:t xml:space="preserve">Other Info </w:t>
      </w:r>
    </w:p>
    <w:p w14:paraId="3B0E2D28" w14:textId="10B04B43" w:rsidR="00F2798F" w:rsidRPr="00F2798F" w:rsidRDefault="00F2798F" w:rsidP="00061B9B">
      <w:proofErr w:type="spellStart"/>
      <w:r w:rsidRPr="00F2798F">
        <w:t>OncoVTE</w:t>
      </w:r>
      <w:proofErr w:type="spellEnd"/>
      <w:r w:rsidRPr="00F2798F">
        <w:t xml:space="preserve"> Guard is decision support, not a substitute for clinical judgment; every recommendation is accompanied by disclaimers and source attributions, and all demonstration data is synthetic with no PHI. Two design points are worth highlighting for reviewers. First, the dual-surface architecture (one tested engine behind both a SMART dashboard and a CDS Hooks service) is what distinguishes this from a data-display dashboard: it is a clinical reasoning engine that can integrate passively into existing EHR workflows. Second, accuracy is treated as an auditable property - a companion VERIFICATION document provides a rule-to-source-to-code-to-test traceability matrix so reviewers can independently confirm guideline fidelity. Known, deliberate scope decisions are documented openly: active major bleeding is modeled as a clinician-confirmable flag </w:t>
      </w:r>
      <w:r w:rsidRPr="00F2798F">
        <w:lastRenderedPageBreak/>
        <w:t>(FHIR cannot reliably encode it); kidney cancer is scored high-risk with an explicit note that NCCN names only bladder/testicular; and the knowledge base, while curated and sourced, is scoped to its listed agents, with any unrecognized medication surfaced as "verify manually" rather than silently ignored.</w:t>
      </w:r>
    </w:p>
    <w:sectPr w:rsidR="00F2798F" w:rsidRPr="00F27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9B"/>
    <w:rsid w:val="00061B9B"/>
    <w:rsid w:val="00090A7F"/>
    <w:rsid w:val="0015422E"/>
    <w:rsid w:val="006630C3"/>
    <w:rsid w:val="006D2A9A"/>
    <w:rsid w:val="008F4858"/>
    <w:rsid w:val="009C7B50"/>
    <w:rsid w:val="00E06430"/>
    <w:rsid w:val="00F2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5A1E"/>
  <w15:chartTrackingRefBased/>
  <w15:docId w15:val="{EA17FACE-3AD4-4EAA-8958-CEFB21CC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B9B"/>
    <w:rPr>
      <w:rFonts w:eastAsiaTheme="majorEastAsia" w:cstheme="majorBidi"/>
      <w:color w:val="272727" w:themeColor="text1" w:themeTint="D8"/>
    </w:rPr>
  </w:style>
  <w:style w:type="paragraph" w:styleId="Title">
    <w:name w:val="Title"/>
    <w:basedOn w:val="Normal"/>
    <w:next w:val="Normal"/>
    <w:link w:val="TitleChar"/>
    <w:uiPriority w:val="10"/>
    <w:qFormat/>
    <w:rsid w:val="0006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B9B"/>
    <w:pPr>
      <w:spacing w:before="160"/>
      <w:jc w:val="center"/>
    </w:pPr>
    <w:rPr>
      <w:i/>
      <w:iCs/>
      <w:color w:val="404040" w:themeColor="text1" w:themeTint="BF"/>
    </w:rPr>
  </w:style>
  <w:style w:type="character" w:customStyle="1" w:styleId="QuoteChar">
    <w:name w:val="Quote Char"/>
    <w:basedOn w:val="DefaultParagraphFont"/>
    <w:link w:val="Quote"/>
    <w:uiPriority w:val="29"/>
    <w:rsid w:val="00061B9B"/>
    <w:rPr>
      <w:i/>
      <w:iCs/>
      <w:color w:val="404040" w:themeColor="text1" w:themeTint="BF"/>
    </w:rPr>
  </w:style>
  <w:style w:type="paragraph" w:styleId="ListParagraph">
    <w:name w:val="List Paragraph"/>
    <w:basedOn w:val="Normal"/>
    <w:uiPriority w:val="34"/>
    <w:qFormat/>
    <w:rsid w:val="00061B9B"/>
    <w:pPr>
      <w:ind w:left="720"/>
      <w:contextualSpacing/>
    </w:pPr>
  </w:style>
  <w:style w:type="character" w:styleId="IntenseEmphasis">
    <w:name w:val="Intense Emphasis"/>
    <w:basedOn w:val="DefaultParagraphFont"/>
    <w:uiPriority w:val="21"/>
    <w:qFormat/>
    <w:rsid w:val="00061B9B"/>
    <w:rPr>
      <w:i/>
      <w:iCs/>
      <w:color w:val="0F4761" w:themeColor="accent1" w:themeShade="BF"/>
    </w:rPr>
  </w:style>
  <w:style w:type="paragraph" w:styleId="IntenseQuote">
    <w:name w:val="Intense Quote"/>
    <w:basedOn w:val="Normal"/>
    <w:next w:val="Normal"/>
    <w:link w:val="IntenseQuoteChar"/>
    <w:uiPriority w:val="30"/>
    <w:qFormat/>
    <w:rsid w:val="00061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B9B"/>
    <w:rPr>
      <w:i/>
      <w:iCs/>
      <w:color w:val="0F4761" w:themeColor="accent1" w:themeShade="BF"/>
    </w:rPr>
  </w:style>
  <w:style w:type="character" w:styleId="IntenseReference">
    <w:name w:val="Intense Reference"/>
    <w:basedOn w:val="DefaultParagraphFont"/>
    <w:uiPriority w:val="32"/>
    <w:qFormat/>
    <w:rsid w:val="00061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2321</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Chestang, Justin A.</dc:creator>
  <cp:keywords/>
  <dc:description/>
  <cp:lastModifiedBy>Chestang, Justin A.</cp:lastModifiedBy>
  <cp:revision>4</cp:revision>
  <cp:lastPrinted>2026-06-13T15:54:00Z</cp:lastPrinted>
  <dcterms:created xsi:type="dcterms:W3CDTF">2026-06-13T15:32:00Z</dcterms:created>
  <dcterms:modified xsi:type="dcterms:W3CDTF">2026-06-13T15:54:00Z</dcterms:modified>
</cp:coreProperties>
</file>