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1BC5" w14:textId="32029469" w:rsidR="00D73714" w:rsidRDefault="00A23CD5" w:rsidP="00D73714">
      <w:pPr>
        <w:pStyle w:val="Head"/>
      </w:pPr>
      <w:r>
        <w:t>Title:</w:t>
      </w:r>
      <w:r w:rsidR="00D73714">
        <w:t xml:space="preserve"> </w:t>
      </w:r>
      <w:r w:rsidR="008B117E">
        <w:t xml:space="preserve">A Novel Algorithm for Quantifying Point-Pattern Disorder </w:t>
      </w:r>
      <w:r w:rsidR="009755D0">
        <w:t>w</w:t>
      </w:r>
      <w:r w:rsidR="008B117E">
        <w:t xml:space="preserve">ith </w:t>
      </w:r>
      <w:r w:rsidR="009755D0">
        <w:t>Applications to Geo</w:t>
      </w:r>
      <w:r w:rsidR="009C5289">
        <w:t>s</w:t>
      </w:r>
      <w:r w:rsidR="009755D0">
        <w:t>patial Analysis</w:t>
      </w:r>
    </w:p>
    <w:p w14:paraId="24D42617" w14:textId="568C7A87" w:rsidR="00D73714" w:rsidRDefault="00D73714" w:rsidP="00D73714">
      <w:pPr>
        <w:pStyle w:val="Authors"/>
        <w:rPr>
          <w:vertAlign w:val="superscript"/>
        </w:rPr>
      </w:pPr>
      <w:r w:rsidRPr="00987EE5">
        <w:rPr>
          <w:b/>
        </w:rPr>
        <w:t>Authors:</w:t>
      </w:r>
      <w:r w:rsidR="00A23CD5">
        <w:t xml:space="preserve"> </w:t>
      </w:r>
      <w:r w:rsidR="006237AB">
        <w:t>R</w:t>
      </w:r>
      <w:r>
        <w:t>. Jones</w:t>
      </w:r>
      <w:r w:rsidRPr="00A85A74">
        <w:rPr>
          <w:vertAlign w:val="superscript"/>
        </w:rPr>
        <w:t>1</w:t>
      </w:r>
      <w:r w:rsidR="006237AB">
        <w:t>, R. El Kadiri</w:t>
      </w:r>
      <w:r w:rsidR="000C3314">
        <w:rPr>
          <w:vertAlign w:val="superscript"/>
        </w:rPr>
        <w:t>1</w:t>
      </w:r>
      <w:r w:rsidR="006237AB">
        <w:t>, H. Momm</w:t>
      </w:r>
      <w:r w:rsidR="000C3314">
        <w:rPr>
          <w:vertAlign w:val="superscript"/>
        </w:rPr>
        <w:t>1*</w:t>
      </w:r>
      <w:r w:rsidR="00447EB3" w:rsidRPr="00755125">
        <w:t>.</w:t>
      </w:r>
    </w:p>
    <w:p w14:paraId="79C60BCE" w14:textId="5E68C816" w:rsidR="00D73714" w:rsidRPr="008E391A" w:rsidRDefault="00D73714" w:rsidP="00D73714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14:paraId="71826762" w14:textId="0B3CED84" w:rsidR="00D73714" w:rsidRDefault="00D73714" w:rsidP="000C3314">
      <w:pPr>
        <w:pStyle w:val="Paragraph"/>
        <w:ind w:firstLine="0"/>
      </w:pPr>
      <w:r w:rsidRPr="00B43FDE">
        <w:rPr>
          <w:vertAlign w:val="superscript"/>
        </w:rPr>
        <w:t>1</w:t>
      </w:r>
      <w:r w:rsidR="000C3314">
        <w:t>Department of Geosciences, Middle Tennessee State University, Murfreesboro, Tennessee</w:t>
      </w:r>
    </w:p>
    <w:p w14:paraId="4EE15FBD" w14:textId="6AA63CB6" w:rsidR="00D73714" w:rsidRDefault="00D73714" w:rsidP="000C3314">
      <w:pPr>
        <w:pStyle w:val="Paragraph"/>
        <w:ind w:firstLine="0"/>
      </w:pPr>
      <w:r>
        <w:t>*</w:t>
      </w:r>
      <w:r w:rsidR="000C3314">
        <w:t>E-mail: Henrique.Momm@mtsu.edu</w:t>
      </w:r>
    </w:p>
    <w:p w14:paraId="02722736" w14:textId="73506BD9" w:rsidR="009755D0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</w:p>
    <w:p w14:paraId="7137A5A2" w14:textId="6873271C" w:rsidR="005767A9" w:rsidRDefault="00CF76A4" w:rsidP="00F95328">
      <w:pPr>
        <w:pStyle w:val="AbstractSummary"/>
      </w:pPr>
      <w:r>
        <w:t>In</w:t>
      </w:r>
      <w:r w:rsidR="00510D15">
        <w:t xml:space="preserve"> any dataset the relationships between data points often contain information beyond the simple values associated with single data point. For geographic data this</w:t>
      </w:r>
      <w:r w:rsidR="0060306B">
        <w:t xml:space="preserve"> idea</w:t>
      </w:r>
      <w:r w:rsidR="00510D15">
        <w:t xml:space="preserve"> is most commonly demonstrated with the concept of spatial autocorrelation, but many other techniques have been developed to </w:t>
      </w:r>
      <w:r w:rsidR="0060306B">
        <w:t>quantify different conceptualizations of self-interaction and patterns within spatial data. We propose a new metric</w:t>
      </w:r>
      <w:r w:rsidR="00763B95">
        <w:t xml:space="preserve"> and related algorithm</w:t>
      </w:r>
      <w:r w:rsidR="0060306B">
        <w:t xml:space="preserve"> that describes the visual spatial disorder of </w:t>
      </w:r>
      <w:r w:rsidR="00763B95">
        <w:t>geographic</w:t>
      </w:r>
      <w:r w:rsidR="0060306B">
        <w:t xml:space="preserve"> point sets, the “</w:t>
      </w:r>
      <w:r w:rsidR="000424EC">
        <w:t>Index of Disorder</w:t>
      </w:r>
      <w:r w:rsidR="0060306B">
        <w:t>”</w:t>
      </w:r>
      <w:r w:rsidR="000424EC">
        <w:t xml:space="preserve">. The </w:t>
      </w:r>
      <w:proofErr w:type="spellStart"/>
      <w:r w:rsidR="000424EC">
        <w:t>IoD</w:t>
      </w:r>
      <w:proofErr w:type="spellEnd"/>
      <w:r w:rsidR="000424EC">
        <w:t xml:space="preserve"> was applied to multiple synthetic and </w:t>
      </w:r>
      <w:r w:rsidR="00C963E7">
        <w:t xml:space="preserve">two </w:t>
      </w:r>
      <w:r w:rsidR="000424EC">
        <w:t>natural datasets and was shown to</w:t>
      </w:r>
      <w:r w:rsidR="0076030E">
        <w:t xml:space="preserve"> be able to differentiate</w:t>
      </w:r>
      <w:r w:rsidR="000424EC">
        <w:t xml:space="preserve"> between areas of </w:t>
      </w:r>
      <w:r w:rsidR="00F95328">
        <w:t>high</w:t>
      </w:r>
      <w:r w:rsidR="000424EC">
        <w:t xml:space="preserve"> spatial </w:t>
      </w:r>
      <w:r w:rsidR="00F95328">
        <w:t>dis</w:t>
      </w:r>
      <w:r w:rsidR="000424EC">
        <w:t xml:space="preserve">order (randomly placed points) and </w:t>
      </w:r>
      <w:r w:rsidR="00F95328">
        <w:t>low</w:t>
      </w:r>
      <w:r w:rsidR="000424EC">
        <w:t xml:space="preserve"> spatial </w:t>
      </w:r>
      <w:r w:rsidR="00F95328">
        <w:t>dis</w:t>
      </w:r>
      <w:r w:rsidR="000424EC">
        <w:t xml:space="preserve">order (e.g., grids </w:t>
      </w:r>
      <w:r w:rsidR="000F522D">
        <w:t>and other</w:t>
      </w:r>
      <w:r w:rsidR="000424EC">
        <w:t xml:space="preserve"> repeating patterns).</w:t>
      </w:r>
      <w:r w:rsidR="00A1651E">
        <w:t xml:space="preserve"> </w:t>
      </w:r>
      <w:r w:rsidR="00C963E7">
        <w:t xml:space="preserve">Because the </w:t>
      </w:r>
      <w:proofErr w:type="spellStart"/>
      <w:r w:rsidR="00C963E7">
        <w:t>IoD</w:t>
      </w:r>
      <w:proofErr w:type="spellEnd"/>
      <w:r w:rsidR="00C963E7">
        <w:t xml:space="preserve"> is a quantitative value, it can be used either as an aid for identifying areas of unusually high or low spatial disorder, or as enrichment for</w:t>
      </w:r>
      <w:r w:rsidR="00F95328">
        <w:t xml:space="preserve"> </w:t>
      </w:r>
      <w:r w:rsidR="00C963E7">
        <w:t>machine learning classification algorithms.</w:t>
      </w:r>
    </w:p>
    <w:p w14:paraId="329D5EA5" w14:textId="77777777" w:rsidR="00635752" w:rsidRDefault="00D73714" w:rsidP="00C13940">
      <w:pPr>
        <w:pStyle w:val="Teaser"/>
        <w:rPr>
          <w:b/>
        </w:rPr>
      </w:pPr>
      <w:r w:rsidRPr="00D47899">
        <w:rPr>
          <w:b/>
        </w:rPr>
        <w:t>One Sentence Summary:</w:t>
      </w:r>
    </w:p>
    <w:p w14:paraId="4796FFFA" w14:textId="3984B194" w:rsidR="00C13940" w:rsidRDefault="00F95328" w:rsidP="00C13940">
      <w:pPr>
        <w:pStyle w:val="Teaser"/>
      </w:pPr>
      <w:r>
        <w:t xml:space="preserve">The spatial disorder of a </w:t>
      </w:r>
      <w:r w:rsidR="004E1CCD">
        <w:t xml:space="preserve">given </w:t>
      </w:r>
      <w:r>
        <w:t xml:space="preserve">point of data can be quantified by comparing </w:t>
      </w:r>
      <w:r w:rsidR="00761958">
        <w:t xml:space="preserve">the </w:t>
      </w:r>
      <w:r w:rsidR="004E1CCD">
        <w:t>relative positions of that point’s neighbors to the relative positions of its neighbors’ neighbors.</w:t>
      </w:r>
    </w:p>
    <w:p w14:paraId="6C3C39B7" w14:textId="1B68CE0B" w:rsidR="00635752" w:rsidRDefault="00D73714" w:rsidP="00DD225C">
      <w:pPr>
        <w:pStyle w:val="Teaser"/>
        <w:rPr>
          <w:b/>
        </w:rPr>
      </w:pPr>
      <w:r w:rsidRPr="00B13B3D">
        <w:rPr>
          <w:b/>
        </w:rPr>
        <w:t>Main Text:</w:t>
      </w:r>
    </w:p>
    <w:p w14:paraId="1EB53192" w14:textId="3E8AF48B" w:rsidR="00635752" w:rsidRDefault="00635752" w:rsidP="00DD225C">
      <w:pPr>
        <w:pStyle w:val="Teaser"/>
        <w:rPr>
          <w:b/>
        </w:rPr>
      </w:pPr>
      <w:r>
        <w:rPr>
          <w:b/>
        </w:rPr>
        <w:t>Introduction</w:t>
      </w:r>
    </w:p>
    <w:p w14:paraId="0B3049E8" w14:textId="54226830" w:rsidR="00560CF5" w:rsidRDefault="00635752" w:rsidP="00DD225C">
      <w:pPr>
        <w:pStyle w:val="Teaser"/>
      </w:pPr>
      <w:r>
        <w:t>XX</w:t>
      </w:r>
    </w:p>
    <w:p w14:paraId="0863F775" w14:textId="77777777" w:rsidR="00E93294" w:rsidRDefault="00E93294" w:rsidP="00E93294">
      <w:pPr>
        <w:pStyle w:val="Teaser"/>
      </w:pPr>
      <w:r>
        <w:rPr>
          <w:b/>
        </w:rPr>
        <w:t>Related Work</w:t>
      </w:r>
    </w:p>
    <w:p w14:paraId="7E18FDCB" w14:textId="77777777" w:rsidR="00E93294" w:rsidRDefault="00E93294" w:rsidP="00E93294">
      <w:pPr>
        <w:pStyle w:val="Teaser"/>
      </w:pPr>
      <w:r>
        <w:t>XX</w:t>
      </w:r>
    </w:p>
    <w:p w14:paraId="25126B13" w14:textId="09C4C24D" w:rsidR="00E93294" w:rsidRDefault="00E93294" w:rsidP="00E93294">
      <w:pPr>
        <w:pStyle w:val="Teaser"/>
      </w:pPr>
      <w:r>
        <w:rPr>
          <w:b/>
        </w:rPr>
        <w:t>Methods</w:t>
      </w:r>
    </w:p>
    <w:p w14:paraId="5B06D9C5" w14:textId="5C5EC229" w:rsidR="00E93294" w:rsidRDefault="00E93294" w:rsidP="00DD225C">
      <w:pPr>
        <w:pStyle w:val="Teaser"/>
      </w:pPr>
      <w:r>
        <w:t>XX</w:t>
      </w:r>
    </w:p>
    <w:p w14:paraId="757D11B3" w14:textId="424C9CD2" w:rsidR="00E93294" w:rsidRDefault="00E93294" w:rsidP="00DD225C">
      <w:pPr>
        <w:pStyle w:val="Teaser"/>
        <w:rPr>
          <w:b/>
        </w:rPr>
      </w:pPr>
      <w:r>
        <w:rPr>
          <w:b/>
        </w:rPr>
        <w:t>Results</w:t>
      </w:r>
    </w:p>
    <w:p w14:paraId="2572418C" w14:textId="77777777" w:rsidR="00E93294" w:rsidRDefault="00E93294" w:rsidP="00E93294">
      <w:pPr>
        <w:pStyle w:val="Teaser"/>
      </w:pPr>
      <w:r>
        <w:t>XX</w:t>
      </w:r>
    </w:p>
    <w:p w14:paraId="102900D4" w14:textId="34237A47" w:rsidR="00E93294" w:rsidRDefault="00E93294" w:rsidP="00DD225C">
      <w:pPr>
        <w:pStyle w:val="Teaser"/>
        <w:rPr>
          <w:b/>
        </w:rPr>
      </w:pPr>
      <w:r>
        <w:rPr>
          <w:b/>
        </w:rPr>
        <w:t>Discussion</w:t>
      </w:r>
    </w:p>
    <w:p w14:paraId="717B320A" w14:textId="417F0559" w:rsidR="00E93294" w:rsidRDefault="00E93294" w:rsidP="00E93294">
      <w:pPr>
        <w:pStyle w:val="Teaser"/>
      </w:pPr>
      <w:r>
        <w:t>XX</w:t>
      </w:r>
    </w:p>
    <w:p w14:paraId="40FCEFF0" w14:textId="2D1C7B2C" w:rsidR="00E93294" w:rsidRDefault="00E93294" w:rsidP="00E93294">
      <w:pPr>
        <w:pStyle w:val="Teaser"/>
        <w:rPr>
          <w:b/>
        </w:rPr>
      </w:pPr>
      <w:r>
        <w:rPr>
          <w:b/>
        </w:rPr>
        <w:t>Conclusion</w:t>
      </w:r>
    </w:p>
    <w:p w14:paraId="38AE2253" w14:textId="610D6531" w:rsidR="007C0484" w:rsidRPr="007C0484" w:rsidRDefault="007C0484" w:rsidP="00E93294">
      <w:pPr>
        <w:pStyle w:val="Teaser"/>
      </w:pPr>
      <w:r>
        <w:t>XX</w:t>
      </w:r>
    </w:p>
    <w:p w14:paraId="5016C6DD" w14:textId="77777777" w:rsidR="00E93294" w:rsidRPr="00E93294" w:rsidRDefault="00E93294" w:rsidP="00DD225C">
      <w:pPr>
        <w:pStyle w:val="Teaser"/>
        <w:rPr>
          <w:b/>
        </w:rPr>
      </w:pPr>
    </w:p>
    <w:p w14:paraId="62F3A506" w14:textId="0F00D6E7" w:rsidR="00D73714" w:rsidRDefault="00D73714" w:rsidP="00DD225C">
      <w:pPr>
        <w:pStyle w:val="Teaser"/>
        <w:ind w:firstLine="720"/>
      </w:pPr>
      <w:r>
        <w:lastRenderedPageBreak/>
        <w:t xml:space="preserve">All Figures and Tables should be cited in order, including those in the </w:t>
      </w:r>
      <w:r w:rsidR="00DD225C">
        <w:t>S</w:t>
      </w:r>
      <w:r>
        <w:t>upp</w:t>
      </w:r>
      <w:r w:rsidR="00B422F9">
        <w:t>lementary</w:t>
      </w:r>
      <w:r>
        <w:t xml:space="preserve"> </w:t>
      </w:r>
      <w:r w:rsidR="00DD225C">
        <w:t>M</w:t>
      </w:r>
      <w:r>
        <w:t xml:space="preserve">aterial (which should be cited as, for example, </w:t>
      </w:r>
      <w:r w:rsidR="00BD1667">
        <w:t>“</w:t>
      </w:r>
      <w:r w:rsidR="00DD225C">
        <w:t>Fig.</w:t>
      </w:r>
      <w:r>
        <w:t xml:space="preserve"> S1</w:t>
      </w:r>
      <w:r w:rsidR="00BD1667">
        <w:t>”</w:t>
      </w:r>
      <w:r>
        <w:t>, and</w:t>
      </w:r>
      <w:r w:rsidR="00DD225C">
        <w:t xml:space="preserve"> </w:t>
      </w:r>
      <w:r w:rsidR="00BD1667">
        <w:t>“</w:t>
      </w:r>
      <w:r w:rsidR="00DD225C">
        <w:t>T</w:t>
      </w:r>
      <w:r>
        <w:t>able S1</w:t>
      </w:r>
      <w:r w:rsidR="00BD1667">
        <w:t>”</w:t>
      </w:r>
      <w:r>
        <w:t xml:space="preserve">). You </w:t>
      </w:r>
      <w:r w:rsidR="00F26AF7">
        <w:t>may</w:t>
      </w:r>
      <w:r>
        <w:t xml:space="preserve"> include </w:t>
      </w:r>
      <w:r w:rsidR="00F26AF7">
        <w:t xml:space="preserve">line or </w:t>
      </w:r>
      <w:r>
        <w:t>page breaks if you would like to place the figures within the text</w:t>
      </w:r>
      <w:r w:rsidR="00F26AF7">
        <w:t xml:space="preserve"> near where they are referenced</w:t>
      </w:r>
      <w:r>
        <w:t>.</w:t>
      </w:r>
      <w:r w:rsidR="00F26AF7">
        <w:t xml:space="preserve"> Please do not place figures in text boxes.</w:t>
      </w:r>
    </w:p>
    <w:p w14:paraId="380ECCAB" w14:textId="13512C56" w:rsidR="00D73714" w:rsidRDefault="00D73714" w:rsidP="00D73714">
      <w:pPr>
        <w:pStyle w:val="Paragraph"/>
      </w:pPr>
      <w:r>
        <w:t>References should be cited in parentheses with an italic number (</w:t>
      </w:r>
      <w:r w:rsidRPr="007443BB">
        <w:rPr>
          <w:i/>
        </w:rPr>
        <w:t>1</w:t>
      </w:r>
      <w:r w:rsidR="00DD225C">
        <w:t>).</w:t>
      </w:r>
      <w:r>
        <w:t xml:space="preserve"> Multiple reference citations are separated by commas </w:t>
      </w:r>
      <w:r w:rsidRPr="000C7F0C">
        <w:rPr>
          <w:i/>
        </w:rPr>
        <w:t>(2, 3</w:t>
      </w:r>
      <w:r w:rsidR="00DD225C" w:rsidRPr="000C7F0C">
        <w:rPr>
          <w:i/>
        </w:rPr>
        <w:t>)</w:t>
      </w:r>
      <w:r w:rsidR="00DD225C">
        <w:t xml:space="preserve"> or if a series, dashes </w:t>
      </w:r>
      <w:r w:rsidR="00DD225C" w:rsidRPr="000C7F0C">
        <w:rPr>
          <w:i/>
        </w:rPr>
        <w:t>(4-6)</w:t>
      </w:r>
      <w:r w:rsidR="00DD225C">
        <w:t>.</w:t>
      </w:r>
      <w:r>
        <w:t xml:space="preserve"> References are cited in order by where they first are called out, through the text, captions, </w:t>
      </w:r>
      <w:r w:rsidR="00CC2657">
        <w:t xml:space="preserve">and </w:t>
      </w:r>
      <w:r>
        <w:t>then the supplementary material.</w:t>
      </w:r>
    </w:p>
    <w:p w14:paraId="2ACE8EC5" w14:textId="5D8FC05A" w:rsidR="00D73714" w:rsidRDefault="00DD225C" w:rsidP="00D73714">
      <w:pPr>
        <w:pStyle w:val="Paragraph"/>
      </w:pPr>
      <w:r>
        <w:t xml:space="preserve">Equations can be included. </w:t>
      </w:r>
      <w:r w:rsidR="00D73714">
        <w:t>We do not recommend using the native Word 2007, 2008</w:t>
      </w:r>
      <w:r>
        <w:t>, 2010</w:t>
      </w:r>
      <w:r w:rsidR="002E60B9">
        <w:t>,</w:t>
      </w:r>
      <w:r>
        <w:t xml:space="preserve"> or 2011 equation editor.</w:t>
      </w:r>
      <w:r w:rsidR="00D73714">
        <w:t xml:space="preserve"> This can in some cases produce less reliable MathML, the online markup language we use, which</w:t>
      </w:r>
      <w:r>
        <w:t xml:space="preserve"> may result in display errors. </w:t>
      </w:r>
      <w:r w:rsidR="00D73714">
        <w:t xml:space="preserve">Instead, use the legacy equation editor in </w:t>
      </w:r>
      <w:r w:rsidR="00CC2657">
        <w:t xml:space="preserve">Word </w:t>
      </w:r>
      <w:r w:rsidR="00D73714">
        <w:t>(</w:t>
      </w:r>
      <w:r w:rsidR="002E60B9">
        <w:t xml:space="preserve">Chose </w:t>
      </w:r>
      <w:r w:rsidR="00D73714">
        <w:t xml:space="preserve">Insert </w:t>
      </w:r>
      <w:r w:rsidR="002E60B9">
        <w:t>&gt; I</w:t>
      </w:r>
      <w:r w:rsidR="00D73714">
        <w:t xml:space="preserve">nsert </w:t>
      </w:r>
      <w:r w:rsidR="002E60B9">
        <w:t>Object &gt; W</w:t>
      </w:r>
      <w:r w:rsidR="00D73714">
        <w:t xml:space="preserve">ord </w:t>
      </w:r>
      <w:r w:rsidR="002E60B9">
        <w:t>E</w:t>
      </w:r>
      <w:r w:rsidR="00D73714">
        <w:t xml:space="preserve">quation) </w:t>
      </w:r>
      <w:r>
        <w:t xml:space="preserve">or use </w:t>
      </w:r>
      <w:proofErr w:type="spellStart"/>
      <w:r>
        <w:t>Mathtype</w:t>
      </w:r>
      <w:proofErr w:type="spellEnd"/>
      <w:r>
        <w:t xml:space="preserve"> (recommended). </w:t>
      </w:r>
      <w:r w:rsidR="00D73714">
        <w:t>If you enter equations in simple LaTeX, check that they will convert accurately (Word 2007 and higher can convert simple LaTeX equations).</w:t>
      </w:r>
    </w:p>
    <w:p w14:paraId="5147DC74" w14:textId="77777777" w:rsidR="00D73714" w:rsidRDefault="00D73714" w:rsidP="00D73714">
      <w:pPr>
        <w:pStyle w:val="Refhead"/>
      </w:pPr>
      <w:r>
        <w:t>References and Notes:</w:t>
      </w:r>
    </w:p>
    <w:p w14:paraId="63C41195" w14:textId="1AC5EDE8" w:rsidR="00D73714" w:rsidRPr="00616CA0" w:rsidRDefault="007562A4" w:rsidP="00D73714">
      <w:pPr>
        <w:pStyle w:val="Referencesandnotes"/>
        <w:numPr>
          <w:ilvl w:val="0"/>
          <w:numId w:val="1"/>
        </w:numPr>
      </w:pPr>
      <w:r w:rsidRPr="007562A4">
        <w:t xml:space="preserve">Jiang, Bin, and </w:t>
      </w:r>
      <w:proofErr w:type="spellStart"/>
      <w:r w:rsidRPr="007562A4">
        <w:t>Junjun</w:t>
      </w:r>
      <w:proofErr w:type="spellEnd"/>
      <w:r w:rsidRPr="007562A4">
        <w:t xml:space="preserve"> Yin. “</w:t>
      </w:r>
      <w:proofErr w:type="spellStart"/>
      <w:r w:rsidRPr="007562A4">
        <w:t>Ht</w:t>
      </w:r>
      <w:proofErr w:type="spellEnd"/>
      <w:r w:rsidRPr="007562A4">
        <w:t xml:space="preserve">-Index for Quantifying the Fractal or Scaling Structure of Geographic Features.” </w:t>
      </w:r>
      <w:r w:rsidRPr="007562A4">
        <w:rPr>
          <w:i/>
        </w:rPr>
        <w:t>Annals of the Association of American Geographers</w:t>
      </w:r>
      <w:r w:rsidRPr="007562A4">
        <w:t>, vol. 104, no. 3, Mar. 2013, pp. 530–540., doi:10.1080/00045608.2013.834239.</w:t>
      </w:r>
    </w:p>
    <w:p w14:paraId="73E3617C" w14:textId="74F13764" w:rsidR="00472103" w:rsidRDefault="00D73714" w:rsidP="00472103">
      <w:pPr>
        <w:pStyle w:val="Acknowledgement"/>
        <w:ind w:left="0" w:firstLine="0"/>
      </w:pPr>
      <w:r w:rsidRPr="0064261D">
        <w:rPr>
          <w:b/>
        </w:rPr>
        <w:t>Acknowledgments:</w:t>
      </w:r>
      <w:r>
        <w:t xml:space="preserve"> </w:t>
      </w:r>
      <w:r w:rsidR="00DD225C">
        <w:t xml:space="preserve">Acknowledgments follow the references and notes but are not numbered. </w:t>
      </w:r>
      <w:r w:rsidR="00DD225C" w:rsidRPr="00DD225C">
        <w:t>Acknowledgments should be gathered into a paragraph after the final numbered reference. This section should start by acknowl</w:t>
      </w:r>
      <w:r w:rsidR="00DD225C">
        <w:t>edging non-author contributions</w:t>
      </w:r>
      <w:r w:rsidR="00DD225C" w:rsidRPr="00DD225C">
        <w:t xml:space="preserve"> and then should provide information under the following headings</w:t>
      </w:r>
      <w:r w:rsidR="00DD225C">
        <w:t>:</w:t>
      </w:r>
      <w:r w:rsidR="00DD225C" w:rsidRPr="00DD225C">
        <w:t xml:space="preserve"> </w:t>
      </w:r>
      <w:r w:rsidR="00DD225C" w:rsidRPr="00DD225C">
        <w:rPr>
          <w:b/>
        </w:rPr>
        <w:t>Funding</w:t>
      </w:r>
      <w:r w:rsidR="00DD225C" w:rsidRPr="00755125">
        <w:rPr>
          <w:b/>
        </w:rPr>
        <w:t>:</w:t>
      </w:r>
      <w:r w:rsidR="00DD225C" w:rsidRPr="00DD225C">
        <w:t xml:space="preserve"> include complete funding information</w:t>
      </w:r>
      <w:r w:rsidR="00DD225C">
        <w:t>, including grant numbers</w:t>
      </w:r>
      <w:r w:rsidR="00DD225C" w:rsidRPr="00DD225C">
        <w:t xml:space="preserve">; </w:t>
      </w:r>
      <w:r w:rsidR="00DD225C">
        <w:rPr>
          <w:b/>
        </w:rPr>
        <w:t>Author</w:t>
      </w:r>
      <w:r w:rsidR="00DD225C" w:rsidRPr="00DD225C">
        <w:rPr>
          <w:b/>
        </w:rPr>
        <w:t xml:space="preserve"> contributions</w:t>
      </w:r>
      <w:r w:rsidR="00DD225C" w:rsidRPr="00755125">
        <w:rPr>
          <w:b/>
        </w:rPr>
        <w:t>:</w:t>
      </w:r>
      <w:r w:rsidR="00DD225C" w:rsidRPr="00DD225C">
        <w:t xml:space="preserve"> a complete list</w:t>
      </w:r>
      <w:r w:rsidR="00DD225C">
        <w:t xml:space="preserve"> of contributions to the paper [</w:t>
      </w:r>
      <w:r w:rsidR="00DD225C" w:rsidRPr="00DD225C">
        <w:t xml:space="preserve">we encourage you to follow the </w:t>
      </w:r>
      <w:hyperlink r:id="rId8" w:history="1">
        <w:proofErr w:type="spellStart"/>
        <w:r w:rsidR="00DD225C" w:rsidRPr="00CC2657">
          <w:rPr>
            <w:rStyle w:val="Hyperlink"/>
          </w:rPr>
          <w:t>CRediT</w:t>
        </w:r>
        <w:proofErr w:type="spellEnd"/>
      </w:hyperlink>
      <w:r w:rsidR="00DD225C" w:rsidRPr="00DD225C">
        <w:t xml:space="preserve"> model</w:t>
      </w:r>
      <w:r w:rsidR="00DD225C">
        <w:t>]</w:t>
      </w:r>
      <w:r w:rsidR="002E60B9">
        <w:t>;</w:t>
      </w:r>
      <w:r w:rsidR="00DD225C" w:rsidRPr="00DD225C">
        <w:t xml:space="preserve"> </w:t>
      </w:r>
      <w:r w:rsidR="00DD225C" w:rsidRPr="00DD225C">
        <w:rPr>
          <w:b/>
        </w:rPr>
        <w:t>Competing interests</w:t>
      </w:r>
      <w:r w:rsidR="00DD225C" w:rsidRPr="00755125">
        <w:rPr>
          <w:b/>
        </w:rPr>
        <w:t>:</w:t>
      </w:r>
      <w:r w:rsidR="00DD225C" w:rsidRPr="00DD225C">
        <w:t xml:space="preserve"> competing interests</w:t>
      </w:r>
      <w:r w:rsidR="00ED4D2D">
        <w:t xml:space="preserve"> (including but not limited to patents, financial holdings</w:t>
      </w:r>
      <w:r w:rsidR="005C7805">
        <w:t xml:space="preserve">, professional affiliations, advisory positions, </w:t>
      </w:r>
      <w:r w:rsidR="002E60B9">
        <w:t xml:space="preserve">and </w:t>
      </w:r>
      <w:r w:rsidR="005C7805">
        <w:t>board memberships</w:t>
      </w:r>
      <w:r w:rsidR="00ED4D2D">
        <w:t>)</w:t>
      </w:r>
      <w:r w:rsidR="00DD225C" w:rsidRPr="00DD225C">
        <w:t xml:space="preserve"> of any of the authors must be listed (all authors must also fill out </w:t>
      </w:r>
      <w:r w:rsidR="005C7805">
        <w:t>a separate, internal</w:t>
      </w:r>
      <w:r w:rsidR="00DD225C" w:rsidRPr="00DD225C">
        <w:t xml:space="preserve"> Conflict of Interest form). Where authors have no competing interests, this should also be declared</w:t>
      </w:r>
      <w:r w:rsidR="00ED4D2D">
        <w:t xml:space="preserve"> (e.g.</w:t>
      </w:r>
      <w:r w:rsidR="00CC2657">
        <w:t>,</w:t>
      </w:r>
      <w:r w:rsidR="00ED4D2D">
        <w:t xml:space="preserve"> “Authors declare no competing interests.”)</w:t>
      </w:r>
      <w:r w:rsidR="002E60B9">
        <w:t>; and</w:t>
      </w:r>
      <w:r w:rsidR="00DD225C" w:rsidRPr="00DD225C">
        <w:t xml:space="preserve"> </w:t>
      </w:r>
      <w:r w:rsidR="00DD225C" w:rsidRPr="00DD225C">
        <w:rPr>
          <w:b/>
        </w:rPr>
        <w:t>Data and materials availability</w:t>
      </w:r>
      <w:r w:rsidR="00DD225C" w:rsidRPr="00755125">
        <w:rPr>
          <w:b/>
        </w:rPr>
        <w:t>:</w:t>
      </w:r>
      <w:r w:rsidR="00DD225C" w:rsidRPr="00DD225C">
        <w:t xml:space="preserve"> </w:t>
      </w:r>
      <w:r w:rsidR="00DD225C">
        <w:t>Include a note explaining a</w:t>
      </w:r>
      <w:r w:rsidR="00DD225C" w:rsidRPr="00DD225C">
        <w:t>ny restrictions on materials</w:t>
      </w:r>
      <w:r w:rsidR="005C7805">
        <w:t>,</w:t>
      </w:r>
      <w:r w:rsidR="00DD225C" w:rsidRPr="00DD225C">
        <w:t xml:space="preserve"> such as</w:t>
      </w:r>
      <w:r w:rsidR="00DD225C">
        <w:t xml:space="preserve"> materials transfer agreements</w:t>
      </w:r>
      <w:r w:rsidR="00F26AF7">
        <w:t xml:space="preserve">. </w:t>
      </w:r>
      <w:r w:rsidR="005C7805">
        <w:t>Note</w:t>
      </w:r>
      <w:r w:rsidR="00DD225C" w:rsidRPr="00DD225C">
        <w:t xml:space="preserve"> </w:t>
      </w:r>
      <w:r w:rsidR="00DD225C">
        <w:t>a</w:t>
      </w:r>
      <w:r w:rsidR="00DD225C" w:rsidRPr="00DD225C">
        <w:t>ccession numbers to any data relating to the paper and deposited in a public database</w:t>
      </w:r>
      <w:r w:rsidR="005C7805">
        <w:t>; include a brief description of the data set or model with the number</w:t>
      </w:r>
      <w:r w:rsidR="00DD225C" w:rsidRPr="00DD225C">
        <w:t xml:space="preserve">. If all data </w:t>
      </w:r>
      <w:r w:rsidR="002E60B9">
        <w:t>are</w:t>
      </w:r>
      <w:r w:rsidR="00DD225C" w:rsidRPr="00DD225C">
        <w:t xml:space="preserve"> in the paper and supplementary materials include the sentence “</w:t>
      </w:r>
      <w:r w:rsidR="005C7805">
        <w:t>A</w:t>
      </w:r>
      <w:r w:rsidR="00DD225C" w:rsidRPr="00DD225C">
        <w:t xml:space="preserve">ll data is available in the </w:t>
      </w:r>
      <w:r w:rsidR="00F26AF7">
        <w:t>main text</w:t>
      </w:r>
      <w:r w:rsidR="00DD225C" w:rsidRPr="00DD225C">
        <w:t xml:space="preserve"> or the </w:t>
      </w:r>
      <w:r w:rsidR="002E60B9">
        <w:t>s</w:t>
      </w:r>
      <w:r w:rsidR="00DD225C" w:rsidRPr="00DD225C">
        <w:t xml:space="preserve">upplementary </w:t>
      </w:r>
      <w:r w:rsidR="002E60B9">
        <w:t>m</w:t>
      </w:r>
      <w:r w:rsidR="005C7805">
        <w:t xml:space="preserve">aterials.” </w:t>
      </w:r>
      <w:r w:rsidR="00DD225C" w:rsidRPr="00DD225C">
        <w:t>All data, code, and materials used in the analysis must be available</w:t>
      </w:r>
      <w:r w:rsidR="00572498">
        <w:t xml:space="preserve"> in some form</w:t>
      </w:r>
      <w:r w:rsidR="00DD225C" w:rsidRPr="00DD225C">
        <w:t xml:space="preserve"> to any researcher for purposes of reprodu</w:t>
      </w:r>
      <w:r w:rsidR="005C7805">
        <w:t>cing or extending the analysis.</w:t>
      </w:r>
      <w:bookmarkStart w:id="0" w:name="_GoBack"/>
      <w:bookmarkEnd w:id="0"/>
    </w:p>
    <w:p w14:paraId="31C76EE2" w14:textId="425A436D" w:rsidR="00FD48F1" w:rsidRDefault="00FD48F1" w:rsidP="00FD48F1">
      <w:pPr>
        <w:pStyle w:val="Legend"/>
      </w:pPr>
    </w:p>
    <w:sectPr w:rsidR="00FD48F1" w:rsidSect="0075512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3B78" w14:textId="77777777" w:rsidR="00B340FE" w:rsidRDefault="00B340FE" w:rsidP="00D73714">
      <w:r>
        <w:separator/>
      </w:r>
    </w:p>
  </w:endnote>
  <w:endnote w:type="continuationSeparator" w:id="0">
    <w:p w14:paraId="68EC366C" w14:textId="77777777" w:rsidR="00B340FE" w:rsidRDefault="00B340FE" w:rsidP="00D73714">
      <w:r>
        <w:continuationSeparator/>
      </w:r>
    </w:p>
  </w:endnote>
  <w:endnote w:type="continuationNotice" w:id="1">
    <w:p w14:paraId="5673D0F9" w14:textId="77777777" w:rsidR="00B340FE" w:rsidRDefault="00B34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2896" w14:textId="4CB2FEC0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E93294" w:rsidRDefault="00E93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2A9B8" w14:textId="4AEB110C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E93294" w:rsidRDefault="00E93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22F2" w14:textId="77777777" w:rsidR="00B340FE" w:rsidRDefault="00B340FE" w:rsidP="00D73714">
      <w:r>
        <w:separator/>
      </w:r>
    </w:p>
  </w:footnote>
  <w:footnote w:type="continuationSeparator" w:id="0">
    <w:p w14:paraId="7527952D" w14:textId="77777777" w:rsidR="00B340FE" w:rsidRDefault="00B340FE" w:rsidP="00D73714">
      <w:r>
        <w:continuationSeparator/>
      </w:r>
    </w:p>
  </w:footnote>
  <w:footnote w:type="continuationNotice" w:id="1">
    <w:p w14:paraId="407CEBA0" w14:textId="77777777" w:rsidR="00B340FE" w:rsidRDefault="00B340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22BD" w14:textId="2219BDCA" w:rsidR="00E93294" w:rsidRDefault="00E93294" w:rsidP="007D3880">
    <w:pPr>
      <w:pStyle w:val="Header"/>
      <w:tabs>
        <w:tab w:val="clear" w:pos="4320"/>
        <w:tab w:val="clear" w:pos="8640"/>
        <w:tab w:val="left" w:pos="3240"/>
      </w:tabs>
      <w:ind w:firstLine="2340"/>
      <w:jc w:val="right"/>
    </w:pP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F5B3" w14:textId="482E2676" w:rsidR="00E93294" w:rsidRPr="00204015" w:rsidRDefault="00E93294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E93294" w:rsidRDefault="00E93294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26FDD"/>
    <w:rsid w:val="00036F4E"/>
    <w:rsid w:val="000424EC"/>
    <w:rsid w:val="000562CC"/>
    <w:rsid w:val="0007341E"/>
    <w:rsid w:val="00077272"/>
    <w:rsid w:val="00095099"/>
    <w:rsid w:val="000C3314"/>
    <w:rsid w:val="000C460C"/>
    <w:rsid w:val="000C7F0C"/>
    <w:rsid w:val="000F522D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70F47"/>
    <w:rsid w:val="0029404C"/>
    <w:rsid w:val="002C33B8"/>
    <w:rsid w:val="002E5C7C"/>
    <w:rsid w:val="002E60B9"/>
    <w:rsid w:val="00307F53"/>
    <w:rsid w:val="003A77E5"/>
    <w:rsid w:val="003B0531"/>
    <w:rsid w:val="003C1C49"/>
    <w:rsid w:val="003E2BE6"/>
    <w:rsid w:val="00447EB3"/>
    <w:rsid w:val="00472103"/>
    <w:rsid w:val="004876B9"/>
    <w:rsid w:val="004B4F4B"/>
    <w:rsid w:val="004D10EA"/>
    <w:rsid w:val="004E1CCD"/>
    <w:rsid w:val="00510D15"/>
    <w:rsid w:val="00560CF5"/>
    <w:rsid w:val="00572498"/>
    <w:rsid w:val="00575375"/>
    <w:rsid w:val="005767A9"/>
    <w:rsid w:val="00576E95"/>
    <w:rsid w:val="00583CCA"/>
    <w:rsid w:val="005C7805"/>
    <w:rsid w:val="0060306B"/>
    <w:rsid w:val="006237AB"/>
    <w:rsid w:val="00635752"/>
    <w:rsid w:val="0064261D"/>
    <w:rsid w:val="006455DA"/>
    <w:rsid w:val="006A2645"/>
    <w:rsid w:val="006A7883"/>
    <w:rsid w:val="006E590E"/>
    <w:rsid w:val="00716059"/>
    <w:rsid w:val="007161A3"/>
    <w:rsid w:val="00742782"/>
    <w:rsid w:val="00755125"/>
    <w:rsid w:val="007562A4"/>
    <w:rsid w:val="0076030E"/>
    <w:rsid w:val="00761958"/>
    <w:rsid w:val="00763B95"/>
    <w:rsid w:val="007C0484"/>
    <w:rsid w:val="007C6679"/>
    <w:rsid w:val="007D14F3"/>
    <w:rsid w:val="007D3880"/>
    <w:rsid w:val="007D733F"/>
    <w:rsid w:val="007F20A8"/>
    <w:rsid w:val="008355F1"/>
    <w:rsid w:val="0086656C"/>
    <w:rsid w:val="008B117E"/>
    <w:rsid w:val="00942EB0"/>
    <w:rsid w:val="009719B2"/>
    <w:rsid w:val="009755D0"/>
    <w:rsid w:val="009C5289"/>
    <w:rsid w:val="009F2B56"/>
    <w:rsid w:val="00A1651E"/>
    <w:rsid w:val="00A1748D"/>
    <w:rsid w:val="00A23CD5"/>
    <w:rsid w:val="00A51678"/>
    <w:rsid w:val="00B340FE"/>
    <w:rsid w:val="00B40F6D"/>
    <w:rsid w:val="00B422F9"/>
    <w:rsid w:val="00BD1667"/>
    <w:rsid w:val="00C13940"/>
    <w:rsid w:val="00C62125"/>
    <w:rsid w:val="00C86E03"/>
    <w:rsid w:val="00C963E7"/>
    <w:rsid w:val="00CC2657"/>
    <w:rsid w:val="00CF76A4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93294"/>
    <w:rsid w:val="00ED4D2D"/>
    <w:rsid w:val="00EE1D99"/>
    <w:rsid w:val="00EE6929"/>
    <w:rsid w:val="00EF69D9"/>
    <w:rsid w:val="00F15B30"/>
    <w:rsid w:val="00F26AF7"/>
    <w:rsid w:val="00F44B6F"/>
    <w:rsid w:val="00F739FD"/>
    <w:rsid w:val="00F95328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asrai.org/CR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DE80-51B9-4B0F-BC3D-B15CC0D6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Randall  Jones</cp:lastModifiedBy>
  <cp:revision>14</cp:revision>
  <cp:lastPrinted>2018-01-11T18:39:00Z</cp:lastPrinted>
  <dcterms:created xsi:type="dcterms:W3CDTF">2019-12-25T05:23:00Z</dcterms:created>
  <dcterms:modified xsi:type="dcterms:W3CDTF">2019-12-31T03:30:00Z</dcterms:modified>
</cp:coreProperties>
</file>