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AF8" w:rsidRDefault="001C0AF8" w:rsidP="001C0AF8">
      <w:pPr>
        <w:jc w:val="right"/>
      </w:pPr>
      <w:r>
        <w:t xml:space="preserve">Jake </w:t>
      </w:r>
      <w:proofErr w:type="spellStart"/>
      <w:r>
        <w:t>Traut</w:t>
      </w:r>
      <w:proofErr w:type="spellEnd"/>
    </w:p>
    <w:p w:rsidR="001C0AF8" w:rsidRDefault="001C0AF8" w:rsidP="001C0AF8">
      <w:pPr>
        <w:jc w:val="center"/>
      </w:pPr>
      <w:r>
        <w:t>CSCI 3656 Problem Set 6</w:t>
      </w:r>
    </w:p>
    <w:p w:rsidR="007518AE" w:rsidRDefault="001C0AF8" w:rsidP="007518AE">
      <w:pPr>
        <w:pStyle w:val="ListParagraph"/>
        <w:numPr>
          <w:ilvl w:val="0"/>
          <w:numId w:val="2"/>
        </w:numPr>
      </w:pPr>
      <w:r>
        <w:t>Linear interpolation</w:t>
      </w:r>
    </w:p>
    <w:p w:rsidR="00A02034" w:rsidRDefault="00A02034" w:rsidP="00D040A4">
      <w:pPr>
        <w:pStyle w:val="ListParagraph"/>
        <w:numPr>
          <w:ilvl w:val="1"/>
          <w:numId w:val="2"/>
        </w:numPr>
      </w:pPr>
    </w:p>
    <w:p w:rsidR="007518AE" w:rsidRDefault="007518AE" w:rsidP="007518AE">
      <w:pPr>
        <w:ind w:firstLine="360"/>
      </w:pPr>
      <w:r>
        <w:rPr>
          <w:noProof/>
        </w:rPr>
        <w:drawing>
          <wp:inline distT="0" distB="0" distL="0" distR="0">
            <wp:extent cx="5372100" cy="3393831"/>
            <wp:effectExtent l="0" t="0" r="19050" b="165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Start w:id="0" w:name="_GoBack"/>
      <w:bookmarkEnd w:id="0"/>
    </w:p>
    <w:p w:rsidR="00D040A4" w:rsidRDefault="00D040A4" w:rsidP="00CF2F85">
      <w:pPr>
        <w:ind w:firstLine="360"/>
      </w:pPr>
      <w:r>
        <w:t xml:space="preserve">Source: </w:t>
      </w:r>
      <w:hyperlink r:id="rId7" w:history="1">
        <w:r w:rsidR="00CF2F85" w:rsidRPr="00DD3A32">
          <w:rPr>
            <w:rStyle w:val="Hyperlink"/>
          </w:rPr>
          <w:t>https://en.wikipedia.org/wiki/History_of_California_1900_to_present#cite_note-2</w:t>
        </w:r>
      </w:hyperlink>
    </w:p>
    <w:p w:rsidR="001C0AF8" w:rsidRDefault="00D040A4" w:rsidP="001C0AF8">
      <w:pPr>
        <w:pStyle w:val="ListParagraph"/>
        <w:numPr>
          <w:ilvl w:val="1"/>
          <w:numId w:val="2"/>
        </w:numPr>
      </w:pPr>
      <w:r>
        <w:t xml:space="preserve">Interpolation for </w:t>
      </w:r>
      <w:r w:rsidR="00CF2F85">
        <w:t>California population numbers for (x1, y1) = (2000, 33871648), (x2, y2) = (2010, 37253956</w:t>
      </w:r>
      <w:r>
        <w:t>) a</w:t>
      </w:r>
      <w:r w:rsidR="00CF2F85">
        <w:t xml:space="preserve">nd x = 2005. Program computes that the population of California in 2005 was roughly 35562802 people. A quick google search for California’s population in 2005 gives 35.83 million, so this is a fairly accurate estimate. </w:t>
      </w:r>
      <w:r>
        <w:t xml:space="preserve"> </w:t>
      </w:r>
    </w:p>
    <w:p w:rsidR="00D040A4" w:rsidRDefault="00EC0169" w:rsidP="00D040A4">
      <w:pPr>
        <w:pStyle w:val="ListParagraph"/>
        <w:numPr>
          <w:ilvl w:val="0"/>
          <w:numId w:val="2"/>
        </w:numPr>
      </w:pPr>
      <w:r>
        <w:t xml:space="preserve">Extrapolation – using the same data but for 2050 rather than 2005 gives the prediction that California’s population will reach 50783188 at its current rate of growth. The source also states that the population is projected to reach 50 million people by 2050. </w:t>
      </w:r>
    </w:p>
    <w:p w:rsidR="00E9137F" w:rsidRDefault="00E9137F" w:rsidP="00D040A4">
      <w:pPr>
        <w:pStyle w:val="ListParagraph"/>
        <w:numPr>
          <w:ilvl w:val="0"/>
          <w:numId w:val="2"/>
        </w:numPr>
      </w:pPr>
      <w:proofErr w:type="spellStart"/>
      <w:r>
        <w:t>Lagrangian</w:t>
      </w:r>
      <w:proofErr w:type="spellEnd"/>
      <w:r>
        <w:t xml:space="preserve"> interpolating polynomial</w:t>
      </w:r>
    </w:p>
    <w:sectPr w:rsidR="00E9137F" w:rsidSect="00750C1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865572"/>
    <w:multiLevelType w:val="hybridMultilevel"/>
    <w:tmpl w:val="5BBA6E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A7F55D5"/>
    <w:multiLevelType w:val="hybridMultilevel"/>
    <w:tmpl w:val="3E4C4AD0"/>
    <w:lvl w:ilvl="0" w:tplc="5A480B78">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AF8"/>
    <w:rsid w:val="00075352"/>
    <w:rsid w:val="001C0AF8"/>
    <w:rsid w:val="003E3D26"/>
    <w:rsid w:val="00750C1C"/>
    <w:rsid w:val="007518AE"/>
    <w:rsid w:val="00A02034"/>
    <w:rsid w:val="00CC4387"/>
    <w:rsid w:val="00CF2F85"/>
    <w:rsid w:val="00D040A4"/>
    <w:rsid w:val="00DB7EFB"/>
    <w:rsid w:val="00E51B0F"/>
    <w:rsid w:val="00E9137F"/>
    <w:rsid w:val="00EC0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0A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AF8"/>
    <w:rPr>
      <w:rFonts w:ascii="Tahoma" w:hAnsi="Tahoma" w:cs="Tahoma"/>
      <w:sz w:val="16"/>
      <w:szCs w:val="16"/>
    </w:rPr>
  </w:style>
  <w:style w:type="character" w:styleId="Hyperlink">
    <w:name w:val="Hyperlink"/>
    <w:basedOn w:val="DefaultParagraphFont"/>
    <w:uiPriority w:val="99"/>
    <w:unhideWhenUsed/>
    <w:rsid w:val="001C0AF8"/>
    <w:rPr>
      <w:color w:val="0000FF" w:themeColor="hyperlink"/>
      <w:u w:val="single"/>
    </w:rPr>
  </w:style>
  <w:style w:type="paragraph" w:styleId="ListParagraph">
    <w:name w:val="List Paragraph"/>
    <w:basedOn w:val="Normal"/>
    <w:uiPriority w:val="34"/>
    <w:qFormat/>
    <w:rsid w:val="001C0A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0A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AF8"/>
    <w:rPr>
      <w:rFonts w:ascii="Tahoma" w:hAnsi="Tahoma" w:cs="Tahoma"/>
      <w:sz w:val="16"/>
      <w:szCs w:val="16"/>
    </w:rPr>
  </w:style>
  <w:style w:type="character" w:styleId="Hyperlink">
    <w:name w:val="Hyperlink"/>
    <w:basedOn w:val="DefaultParagraphFont"/>
    <w:uiPriority w:val="99"/>
    <w:unhideWhenUsed/>
    <w:rsid w:val="001C0AF8"/>
    <w:rPr>
      <w:color w:val="0000FF" w:themeColor="hyperlink"/>
      <w:u w:val="single"/>
    </w:rPr>
  </w:style>
  <w:style w:type="paragraph" w:styleId="ListParagraph">
    <w:name w:val="List Paragraph"/>
    <w:basedOn w:val="Normal"/>
    <w:uiPriority w:val="34"/>
    <w:qFormat/>
    <w:rsid w:val="001C0A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History_of_California_1900_to_present#cite_note-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Decadal population of California</a:t>
            </a:r>
          </a:p>
        </c:rich>
      </c:tx>
      <c:overlay val="0"/>
    </c:title>
    <c:autoTitleDeleted val="0"/>
    <c:plotArea>
      <c:layout>
        <c:manualLayout>
          <c:layoutTarget val="inner"/>
          <c:xMode val="edge"/>
          <c:yMode val="edge"/>
          <c:x val="0.17037939969042332"/>
          <c:y val="0.16071361604953141"/>
          <c:w val="0.7254805417841288"/>
          <c:h val="0.73864036988963033"/>
        </c:manualLayout>
      </c:layout>
      <c:lineChart>
        <c:grouping val="standard"/>
        <c:varyColors val="0"/>
        <c:ser>
          <c:idx val="0"/>
          <c:order val="0"/>
          <c:tx>
            <c:strRef>
              <c:f>Sheet1!$B$1</c:f>
              <c:strCache>
                <c:ptCount val="1"/>
                <c:pt idx="0">
                  <c:v>Column1</c:v>
                </c:pt>
              </c:strCache>
            </c:strRef>
          </c:tx>
          <c:marker>
            <c:symbol val="none"/>
          </c:marker>
          <c:cat>
            <c:numRef>
              <c:f>Sheet1!$A$2:$A$13</c:f>
              <c:numCache>
                <c:formatCode>General</c:formatCode>
                <c:ptCount val="12"/>
                <c:pt idx="0">
                  <c:v>1900</c:v>
                </c:pt>
                <c:pt idx="1">
                  <c:v>1910</c:v>
                </c:pt>
                <c:pt idx="2">
                  <c:v>1920</c:v>
                </c:pt>
                <c:pt idx="3">
                  <c:v>1930</c:v>
                </c:pt>
                <c:pt idx="4">
                  <c:v>1940</c:v>
                </c:pt>
                <c:pt idx="5">
                  <c:v>1950</c:v>
                </c:pt>
                <c:pt idx="6">
                  <c:v>1960</c:v>
                </c:pt>
                <c:pt idx="7">
                  <c:v>1970</c:v>
                </c:pt>
                <c:pt idx="8">
                  <c:v>1980</c:v>
                </c:pt>
                <c:pt idx="9">
                  <c:v>1990</c:v>
                </c:pt>
                <c:pt idx="10">
                  <c:v>2000</c:v>
                </c:pt>
                <c:pt idx="11">
                  <c:v>2010</c:v>
                </c:pt>
              </c:numCache>
            </c:numRef>
          </c:cat>
          <c:val>
            <c:numRef>
              <c:f>Sheet1!$B$2:$B$13</c:f>
              <c:numCache>
                <c:formatCode>General</c:formatCode>
                <c:ptCount val="12"/>
                <c:pt idx="0">
                  <c:v>1485053</c:v>
                </c:pt>
                <c:pt idx="1">
                  <c:v>2377549</c:v>
                </c:pt>
                <c:pt idx="2">
                  <c:v>3426861</c:v>
                </c:pt>
                <c:pt idx="3">
                  <c:v>5677251</c:v>
                </c:pt>
                <c:pt idx="4">
                  <c:v>6907387</c:v>
                </c:pt>
                <c:pt idx="5">
                  <c:v>10586223</c:v>
                </c:pt>
                <c:pt idx="6">
                  <c:v>15717204</c:v>
                </c:pt>
                <c:pt idx="7">
                  <c:v>19953134</c:v>
                </c:pt>
                <c:pt idx="8">
                  <c:v>23667902</c:v>
                </c:pt>
                <c:pt idx="9">
                  <c:v>29760021</c:v>
                </c:pt>
                <c:pt idx="10">
                  <c:v>33871648</c:v>
                </c:pt>
                <c:pt idx="11">
                  <c:v>37253956</c:v>
                </c:pt>
              </c:numCache>
            </c:numRef>
          </c:val>
          <c:smooth val="0"/>
        </c:ser>
        <c:dLbls>
          <c:showLegendKey val="0"/>
          <c:showVal val="0"/>
          <c:showCatName val="0"/>
          <c:showSerName val="0"/>
          <c:showPercent val="0"/>
          <c:showBubbleSize val="0"/>
        </c:dLbls>
        <c:marker val="1"/>
        <c:smooth val="0"/>
        <c:axId val="197925504"/>
        <c:axId val="204122752"/>
      </c:lineChart>
      <c:catAx>
        <c:axId val="197925504"/>
        <c:scaling>
          <c:orientation val="minMax"/>
        </c:scaling>
        <c:delete val="0"/>
        <c:axPos val="b"/>
        <c:title>
          <c:tx>
            <c:rich>
              <a:bodyPr/>
              <a:lstStyle/>
              <a:p>
                <a:pPr>
                  <a:defRPr/>
                </a:pPr>
                <a:r>
                  <a:rPr lang="en-US"/>
                  <a:t>Year</a:t>
                </a:r>
              </a:p>
            </c:rich>
          </c:tx>
          <c:overlay val="0"/>
        </c:title>
        <c:numFmt formatCode="General" sourceLinked="1"/>
        <c:majorTickMark val="cross"/>
        <c:minorTickMark val="none"/>
        <c:tickLblPos val="low"/>
        <c:crossAx val="204122752"/>
        <c:crosses val="autoZero"/>
        <c:auto val="1"/>
        <c:lblAlgn val="ctr"/>
        <c:lblOffset val="100"/>
        <c:noMultiLvlLbl val="0"/>
      </c:catAx>
      <c:valAx>
        <c:axId val="204122752"/>
        <c:scaling>
          <c:orientation val="minMax"/>
        </c:scaling>
        <c:delete val="0"/>
        <c:axPos val="l"/>
        <c:majorGridlines/>
        <c:title>
          <c:tx>
            <c:rich>
              <a:bodyPr rot="-5400000" vert="horz"/>
              <a:lstStyle/>
              <a:p>
                <a:pPr>
                  <a:defRPr/>
                </a:pPr>
                <a:r>
                  <a:rPr lang="en-US"/>
                  <a:t>Population numbers in millions</a:t>
                </a:r>
              </a:p>
            </c:rich>
          </c:tx>
          <c:overlay val="0"/>
        </c:title>
        <c:numFmt formatCode="General" sourceLinked="1"/>
        <c:majorTickMark val="out"/>
        <c:minorTickMark val="none"/>
        <c:tickLblPos val="nextTo"/>
        <c:crossAx val="197925504"/>
        <c:crosses val="autoZero"/>
        <c:crossBetween val="between"/>
        <c:dispUnits>
          <c:builtInUnit val="millions"/>
        </c:dispUnits>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1281</TotalTime>
  <Pages>1</Pages>
  <Words>129</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Traut</dc:creator>
  <cp:lastModifiedBy>Jake Traut</cp:lastModifiedBy>
  <cp:revision>8</cp:revision>
  <cp:lastPrinted>2016-02-29T23:22:00Z</cp:lastPrinted>
  <dcterms:created xsi:type="dcterms:W3CDTF">2016-02-29T02:30:00Z</dcterms:created>
  <dcterms:modified xsi:type="dcterms:W3CDTF">2016-02-29T23:51:00Z</dcterms:modified>
</cp:coreProperties>
</file>