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Fusions horizontales et verticales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Trimestre</w:t>
            </w:r>
          </w:p>
        </w:tc>
        <w:tc>
          <w:p>
            <w:r>
              <w:rPr>
                <w:b/>
                <w:bCs/>
              </w:rPr>
              <w:t xml:space="preserve">Produit</w:t>
            </w:r>
          </w:p>
        </w:tc>
        <w:tc>
          <w:p>
            <w:r>
              <w:rPr>
                <w:b/>
                <w:bCs/>
              </w:rPr>
              <w:t xml:space="preserve">Ventes</w:t>
            </w:r>
          </w:p>
        </w:tc>
        <w:tc>
          <w:p>
            <w:r>
              <w:rPr>
                <w:b/>
                <w:bCs/>
              </w:rPr>
              <w:t xml:space="preserve">Marge</w:t>
            </w:r>
          </w:p>
        </w:tc>
      </w:tr>
      <w:tr>
        <w:tc>
          <w:tcPr>
            <w:vMerge w:val="restart"/>
          </w:tcPr>
          <w:p>
            <w:r>
              <w:t xml:space="preserve">T1</w:t>
            </w:r>
          </w:p>
        </w:tc>
        <w:tc>
          <w:p>
            <w:r>
              <w:t xml:space="preserve">Alpha</w:t>
            </w:r>
          </w:p>
        </w:tc>
        <w:tc>
          <w:p>
            <w:r>
              <w:t xml:space="preserve">120</w:t>
            </w:r>
          </w:p>
        </w:tc>
        <w:tc>
          <w:p>
            <w:r>
              <w:t xml:space="preserve">18 %</w:t>
            </w:r>
          </w:p>
        </w:tc>
      </w:tr>
      <w:tr>
        <w:tc>
          <w:tcPr>
            <w:vMerge w:val="continue"/>
          </w:tcPr>
          <w:p>
            <w:r>
              <w:t xml:space="preserve"/>
            </w:r>
          </w:p>
        </w:tc>
        <w:tc>
          <w:p>
            <w:r>
              <w:t xml:space="preserve">Beta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22 %</w:t>
            </w:r>
          </w:p>
        </w:tc>
      </w:tr>
      <w:tr>
        <w:tc>
          <w:tcPr>
            <w:vMerge w:val="restart"/>
          </w:tcPr>
          <w:p>
            <w:r>
              <w:t xml:space="preserve">T2</w:t>
            </w:r>
          </w:p>
        </w:tc>
        <w:tc>
          <w:p>
            <w:r>
              <w:t xml:space="preserve">Alpha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19 %</w:t>
            </w:r>
          </w:p>
        </w:tc>
      </w:tr>
      <w:tr>
        <w:tc>
          <w:tcPr>
            <w:vMerge w:val="continue"/>
          </w:tcPr>
          <w:p>
            <w:r>
              <w:t xml:space="preserve"/>
            </w:r>
          </w:p>
        </w:tc>
        <w:tc>
          <w:p>
            <w:r>
              <w:t xml:space="preserve">Beta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—</w:t>
            </w:r>
          </w:p>
        </w:tc>
      </w:tr>
      <w:tr>
        <w:tc>
          <w:tcPr>
            <w:gridSpan w:val="2"/>
          </w:tcPr>
          <w:p>
            <w:r>
              <w:rPr>
                <w:b/>
                <w:bCs/>
              </w:rPr>
              <w:t xml:space="preserve">Total semestre</w:t>
            </w:r>
          </w:p>
        </w:tc>
        <w:tc>
          <w:p>
            <w:r>
              <w:rPr>
                <w:b/>
                <w:bCs/>
              </w:rPr>
              <w:t xml:space="preserve">340</w:t>
            </w:r>
          </w:p>
        </w:tc>
        <w:tc>
          <w:p>
            <w:r>
              <w:rPr>
                <w:b/>
                <w:bCs/>
              </w:rPr>
              <w:t xml:space="preserve">19,5 %</w:t>
            </w:r>
          </w:p>
        </w:tc>
      </w:tr>
    </w:tbl>
    <w:p>
      <w:pPr>
        <w:pStyle w:val="Heading1"/>
      </w:pPr>
      <w:r>
        <w:t xml:space="preserve">Contenu riche dans les cellules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Liste</w:t>
            </w:r>
          </w:p>
        </w:tc>
        <w:tc>
          <w:p>
            <w:r>
              <w:rPr>
                <w:b/>
                <w:bCs/>
              </w:rPr>
              <w:t xml:space="preserve">Image</w:t>
            </w:r>
          </w:p>
        </w:tc>
        <w:tc>
          <w:p>
            <w:r>
              <w:rPr>
                <w:b/>
                <w:bCs/>
              </w:rPr>
              <w:t xml:space="preserve">Imbriquée</w:t>
            </w:r>
          </w:p>
        </w:tc>
      </w:tr>
      <w:tr>
        <w:tc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Deux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t xml:space="preserve">Trois</w:t>
            </w:r>
          </w:p>
        </w:tc>
        <w:tc>
          <w:p>
            <w:r>
              <w:drawing>
                <wp:inline distT="0" distB="0" distL="0" distR="0">
                  <wp:extent cx="381000" cy="381000"/>
                  <wp:effectExtent t="0" r="0" b="0" l="0"/>
                  <wp:docPr id="2" name="bleu" descr="Carré bleu" title="Carr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t xml:space="preserve">Avant</w:t>
            </w:r>
          </w:p>
          <w:tbl>
            <w:tblPr>
              <w:tblW w:type="pct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5"/>
              <w:gridCol w:w="1505"/>
            </w:tblGrid>
            <w:tr>
              <w:tc>
                <w:p>
                  <w:r>
                    <w:t xml:space="preserve">Table</w:t>
                  </w:r>
                </w:p>
              </w:tc>
              <w:tc>
                <w:p>
                  <w:r>
                    <w:t xml:space="preserve">imbriquée</w:t>
                  </w:r>
                </w:p>
              </w:tc>
            </w:tr>
            <w:tr>
              <w:tc>
                <w:p>
                  <w:r>
                    <w:t xml:space="preserve">1</w:t>
                  </w:r>
                </w:p>
              </w:tc>
              <w:tc>
                <w:p>
                  <w:r>
                    <w:t xml:space="preserve">2</w:t>
                  </w:r>
                </w:p>
              </w:tc>
            </w:tr>
          </w:tbl>
          <w:p>
            <w:r>
              <w:t xml:space="preserve">Après</w:t>
            </w:r>
          </w:p>
        </w:tc>
      </w:tr>
    </w:tbl>
    <w:p>
      <w:pPr>
        <w:pStyle w:val="Heading1"/>
      </w:pPr>
      <w:r>
        <w:t xml:space="preserve">Table sans en-tête, sans bordures</w:t>
      </w:r>
    </w:p>
    <w:tbl>
      <w:tblPr>
        <w:tblW w:type="pct" w:w="3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8"/>
        <w:gridCol w:w="2708"/>
      </w:tblGrid>
      <w:tr>
        <w:tc>
          <w:p>
            <w:r>
              <w:t xml:space="preserve">Clé</w:t>
            </w:r>
          </w:p>
        </w:tc>
        <w:tc>
          <w:p>
            <w:r>
              <w:t xml:space="preserve">Valeur</w:t>
            </w:r>
          </w:p>
        </w:tc>
      </w:tr>
      <w:tr>
        <w:tc>
          <w:p>
            <w:r>
              <w:t xml:space="preserve">Version</w:t>
            </w:r>
          </w:p>
        </w:tc>
        <w:tc>
          <w:p>
            <w:r>
              <w:t xml:space="preserve">2.4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ff57b5c78e09844107925adbd5cdebc90560c7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2026-10-13T06:39:55.007Z</dcterms:created>
  <dcterms:modified xsi:type="dcterms:W3CDTF">2026-10-13T06:39:55.007Z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