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d’audit technique</w:t>
      </w:r>
    </w:p>
    <w:p>
      <w:pPr>
        <w:jc w:val="center"/>
      </w:pPr>
      <w:r>
        <w:rPr>
          <w:i/>
          <w:iCs/>
        </w:rPr>
        <w:t xml:space="preserve">Application de gestion des adhérents — version 2.4</w:t>
      </w:r>
    </w:p>
    <w:p>
      <w:pPr>
        <w:pStyle w:val="Heading1"/>
      </w:pPr>
      <w:r>
        <w:t xml:space="preserve">1. Contexte</w:t>
      </w:r>
    </w:p>
    <w:p>
      <w:r>
        <w:t xml:space="preserve">Ce document présente les résultats de l’audit réalisé du </w:t>
      </w:r>
      <w:r>
        <w:rPr>
          <w:b/>
          <w:bCs/>
        </w:rPr>
        <w:t xml:space="preserve">3 au 14 mars 2026</w:t>
      </w:r>
      <w:r>
        <w:t xml:space="preserve">. Il couvre le code, l’infrastructure et les pratiques de l’équipe</w:t>
      </w:r>
      <w:r>
        <w:rPr>
          <w:rStyle w:val="FootnoteReference"/>
        </w:rPr>
        <w:footnoteReference w:id="1"/>
      </w:r>
      <w:r>
        <w:t xml:space="preserve">. Les références sont disponibles sur </w:t>
      </w:r>
      <w:hyperlink w:history="1" r:id="rIdrie8xrkfa5tocbvvgybej">
        <w:r>
          <w:rPr>
            <w:rStyle w:val="Hyperlink"/>
          </w:rPr>
          <w:t xml:space="preserve">l’espace projet</w:t>
        </w:r>
      </w:hyperlink>
      <w:r>
        <w:t xml:space="preserve">.</w:t>
      </w:r>
    </w:p>
    <w:p>
      <w:pPr>
        <w:pStyle w:val="Heading2"/>
      </w:pPr>
      <w:r>
        <w:t xml:space="preserve">1.1 Périmètre</w:t>
      </w:r>
    </w:p>
    <w:p>
      <w:pPr>
        <w:pStyle w:val="ListParagraph"/>
        <w:numPr>
          <w:ilvl w:val="0"/>
          <w:numId w:val="2"/>
        </w:numPr>
      </w:pPr>
      <w:r>
        <w:t xml:space="preserve">Front Angular 19, 42 composants</w:t>
      </w:r>
    </w:p>
    <w:p>
      <w:pPr>
        <w:pStyle w:val="ListParagraph"/>
        <w:numPr>
          <w:ilvl w:val="1"/>
          <w:numId w:val="2"/>
        </w:numPr>
      </w:pPr>
      <w:r>
        <w:t xml:space="preserve">Formulaires réactifs</w:t>
      </w:r>
    </w:p>
    <w:p>
      <w:pPr>
        <w:pStyle w:val="ListParagraph"/>
        <w:numPr>
          <w:ilvl w:val="2"/>
          <w:numId w:val="2"/>
        </w:numPr>
      </w:pPr>
      <w:r>
        <w:t xml:space="preserve">Validation côté client uniquement</w:t>
      </w:r>
    </w:p>
    <w:p>
      <w:pPr>
        <w:pStyle w:val="ListParagraph"/>
        <w:numPr>
          <w:ilvl w:val="1"/>
          <w:numId w:val="2"/>
        </w:numPr>
      </w:pPr>
      <w:r>
        <w:t xml:space="preserve">Internationalisation partielle</w:t>
      </w:r>
    </w:p>
    <w:p>
      <w:pPr>
        <w:pStyle w:val="ListParagraph"/>
        <w:numPr>
          <w:ilvl w:val="0"/>
          <w:numId w:val="2"/>
        </w:numPr>
      </w:pPr>
      <w:r>
        <w:t xml:space="preserve">API NestJS, 18 modules</w:t>
      </w:r>
    </w:p>
    <w:p>
      <w:pPr>
        <w:pStyle w:val="ListParagraph"/>
        <w:numPr>
          <w:ilvl w:val="0"/>
          <w:numId w:val="2"/>
        </w:numPr>
      </w:pPr>
      <w:r>
        <w:t xml:space="preserve">Base PostgreSQL 16</w:t>
      </w:r>
    </w:p>
    <w:p>
      <w:pPr>
        <w:pStyle w:val="Heading2"/>
      </w:pPr>
      <w:r>
        <w:t xml:space="preserve">1.2 Méthode</w:t>
      </w:r>
    </w:p>
    <w:p>
      <w:pPr>
        <w:pStyle w:val="ListParagraph"/>
        <w:numPr>
          <w:ilvl w:val="0"/>
          <w:numId w:val="3"/>
        </w:numPr>
      </w:pPr>
      <w:r>
        <w:t xml:space="preserve">Revue de code statique</w:t>
      </w:r>
    </w:p>
    <w:p>
      <w:pPr>
        <w:pStyle w:val="ListParagraph"/>
        <w:numPr>
          <w:ilvl w:val="1"/>
          <w:numId w:val="3"/>
        </w:numPr>
      </w:pPr>
      <w:r>
        <w:t xml:space="preserve">Analyse des dépendances</w:t>
      </w:r>
    </w:p>
    <w:p>
      <w:pPr>
        <w:pStyle w:val="ListParagraph"/>
        <w:numPr>
          <w:ilvl w:val="2"/>
          <w:numId w:val="3"/>
        </w:numPr>
      </w:pPr>
      <w:r>
        <w:t xml:space="preserve">Recherche de vulnérabilités connues</w:t>
      </w:r>
    </w:p>
    <w:p>
      <w:pPr>
        <w:pStyle w:val="ListParagraph"/>
        <w:numPr>
          <w:ilvl w:val="2"/>
          <w:numId w:val="3"/>
        </w:numPr>
      </w:pPr>
      <w:r>
        <w:t xml:space="preserve">Vérification des licences</w:t>
      </w:r>
    </w:p>
    <w:p>
      <w:pPr>
        <w:pStyle w:val="ListParagraph"/>
        <w:numPr>
          <w:ilvl w:val="1"/>
          <w:numId w:val="3"/>
        </w:numPr>
      </w:pPr>
      <w:r>
        <w:t xml:space="preserve">Lecture des modules critiques</w:t>
      </w:r>
    </w:p>
    <w:p>
      <w:pPr>
        <w:pStyle w:val="ListParagraph"/>
        <w:numPr>
          <w:ilvl w:val="0"/>
          <w:numId w:val="3"/>
        </w:numPr>
      </w:pPr>
      <w:r>
        <w:t xml:space="preserve">Tests de charge</w:t>
      </w:r>
    </w:p>
    <w:p>
      <w:pPr>
        <w:pStyle w:val="ListParagraph"/>
        <w:numPr>
          <w:ilvl w:val="0"/>
          <w:numId w:val="3"/>
        </w:numPr>
      </w:pPr>
      <w:r>
        <w:t xml:space="preserve">Entretiens avec l’équipe</w:t>
      </w:r>
    </w:p>
    <w:p>
      <w:pPr>
        <w:pStyle w:val="Heading1"/>
      </w:pPr>
      <w:r>
        <w:t xml:space="preserve">2. Constats</w:t>
      </w:r>
    </w:p>
    <w:p>
      <w:r>
        <w:t xml:space="preserve">Le niveau général est </w:t>
      </w:r>
      <w:r>
        <w:rPr>
          <w:highlight w:val="yellow"/>
        </w:rPr>
        <w:t xml:space="preserve">satisfaisant</w:t>
      </w:r>
      <w:r>
        <w:t xml:space="preserve">, avec trois points </w:t>
      </w:r>
      <w:r>
        <w:rPr>
          <w:b/>
          <w:bCs/>
          <w:color w:val="C00000"/>
        </w:rPr>
        <w:t xml:space="preserve">bloquants</w:t>
      </w:r>
      <w:r>
        <w:t xml:space="preserve"> et une dette </w:t>
      </w:r>
      <w:r>
        <w:rPr>
          <w:strike/>
        </w:rPr>
        <w:t xml:space="preserve">modérée</w:t>
      </w:r>
      <w:r>
        <w:rPr>
          <w:u w:val="single"/>
        </w:rPr>
        <w:t xml:space="preserve"> importante</w:t>
      </w:r>
      <w:r>
        <w:t xml:space="preserve"> sur les tests. Taux de couverture : 41 %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Heading2"/>
      </w:pPr>
      <w:r>
        <w:t xml:space="preserve">2.1 Synthèse par domaine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</w:tcPr>
          <w:p>
            <w:r>
              <w:rPr>
                <w:b/>
                <w:bCs/>
              </w:rPr>
              <w:t xml:space="preserve">Domaine</w:t>
            </w:r>
          </w:p>
        </w:tc>
        <w:tc>
          <w:tcPr>
            <w:shd w:fill="E7E6E6" w:val="clear"/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shd w:fill="E7E6E6" w:val="clear"/>
          </w:tcPr>
          <w:p>
            <w:r>
              <w:rPr>
                <w:b/>
                <w:bCs/>
              </w:rPr>
              <w:t xml:space="preserve">Priorité</w:t>
            </w:r>
          </w:p>
        </w:tc>
        <w:tc>
          <w:tcPr>
            <w:shd w:fill="E7E6E6" w:val="clear"/>
          </w:tcPr>
          <w:p>
            <w:r>
              <w:rPr>
                <w:b/>
                <w:bCs/>
              </w:rPr>
              <w:t xml:space="preserve">Commentaire</w:t>
            </w:r>
          </w:p>
        </w:tc>
      </w:tr>
      <w:tr>
        <w:tc>
          <w:p>
            <w:r>
              <w:t xml:space="preserve">Sécurité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Haute</w:t>
            </w:r>
          </w:p>
        </w:tc>
        <w:tc>
          <w:p>
            <w:r>
              <w:t xml:space="preserve">Secrets en clair dans deux fichiers de configuration.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Moyenne</w:t>
            </w:r>
          </w:p>
        </w:tc>
        <w:tc>
          <w:p>
            <w:r>
              <w:t xml:space="preserve">Requêtes N+1 sur la liste des adhérents.</w:t>
            </w:r>
          </w:p>
        </w:tc>
      </w:tr>
      <w:tr>
        <w:tc>
          <w:p>
            <w:r>
              <w:t xml:space="preserve">Qualité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Moyenne</w:t>
            </w:r>
          </w:p>
        </w:tc>
        <w:tc>
          <w:p>
            <w:r>
              <w:t xml:space="preserve">Pas de lint en CI, tests inégaux.</w:t>
            </w:r>
          </w:p>
        </w:tc>
      </w:tr>
      <w:tr>
        <w:tc>
          <w:tcPr>
            <w:gridSpan w:val="3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>3 bloquants, 12 majeurs, 27 mineurs</w:t>
            </w:r>
          </w:p>
        </w:tc>
      </w:tr>
    </w:tbl>
    <w:p>
      <w:pPr>
        <w:pStyle w:val="Heading2"/>
      </w:pPr>
      <w:r>
        <w:t xml:space="preserve">2.2 Illustration</w:t>
      </w:r>
    </w:p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schema" descr="Schéma d’architecture simplifié" title="Sché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 — Schéma d’architecture simplifié</w:t>
      </w:r>
    </w:p>
    <w:p>
      <w:pPr>
        <w:pStyle w:val="Heading2"/>
      </w:pPr>
      <w:r>
        <w:t xml:space="preserve">2.3 Citation du responsable technique</w:t>
      </w:r>
    </w:p>
    <w:p>
      <w:pPr>
        <w:ind w:left="720"/>
      </w:pPr>
      <w:r>
        <w:rPr>
          <w:i/>
          <w:iCs/>
        </w:rPr>
        <w:t xml:space="preserve">« On sait que la dette est là, on n’a jamais eu le temps de la rembourser. »</w:t>
      </w:r>
    </w:p>
    <w:p>
      <w:r>
        <w:br w:type="page"/>
      </w:r>
    </w:p>
    <w:p>
      <w:pPr>
        <w:pStyle w:val="Heading1"/>
      </w:pPr>
      <w:r>
        <w:t xml:space="preserve">3. Recommandations</w:t>
      </w:r>
    </w:p>
    <w:p>
      <w:pPr>
        <w:pStyle w:val="ListParagraph"/>
        <w:numPr>
          <w:ilvl w:val="0"/>
          <w:numId w:val="4"/>
        </w:numPr>
      </w:pPr>
      <w:r>
        <w:t xml:space="preserve">Sortir les secrets dans un coffre</w:t>
      </w:r>
    </w:p>
    <w:p>
      <w:pPr>
        <w:pStyle w:val="ListParagraph"/>
        <w:numPr>
          <w:ilvl w:val="0"/>
          <w:numId w:val="4"/>
        </w:numPr>
      </w:pPr>
      <w:r>
        <w:t xml:space="preserve">Ajouter un lint bloquant en CI</w:t>
      </w:r>
    </w:p>
    <w:p>
      <w:pPr>
        <w:pStyle w:val="ListParagraph"/>
        <w:numPr>
          <w:ilvl w:val="0"/>
          <w:numId w:val="4"/>
        </w:numPr>
      </w:pPr>
      <w:r>
        <w:t xml:space="preserve">Couvrir les modules critiques à 80 %</w:t>
      </w:r>
    </w:p>
    <w:p>
      <w:pPr>
        <w:pStyle w:val="Heading2"/>
      </w:pPr>
      <w:r>
        <w:t xml:space="preserve">3.1 Planning proposé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Semaine</w:t>
            </w:r>
          </w:p>
        </w:tc>
        <w:tc>
          <w:p>
            <w:r>
              <w:rPr>
                <w:b/>
                <w:bCs/>
              </w:rPr>
              <w:t xml:space="preserve">Action</w:t>
            </w:r>
          </w:p>
        </w:tc>
        <w:tc>
          <w:p>
            <w:r>
              <w:rPr>
                <w:b/>
                <w:bCs/>
              </w:rPr>
              <w:t xml:space="preserve">Responsable</w:t>
            </w:r>
          </w:p>
        </w:tc>
      </w:tr>
      <w:tr>
        <w:tc>
          <w:p>
            <w:r>
              <w:t xml:space="preserve">S1</w:t>
            </w:r>
          </w:p>
        </w:tc>
        <w:tc>
          <w:p>
            <w:r>
              <w:t xml:space="preserve">Coffre de secrets</w:t>
            </w:r>
          </w:p>
        </w:tc>
        <w:tc>
          <w:p>
            <w:r>
              <w:t xml:space="preserve">Ops</w:t>
            </w:r>
          </w:p>
        </w:tc>
      </w:tr>
      <w:tr>
        <w:tc>
          <w:p>
            <w:r>
              <w:t xml:space="preserve">S2–S3</w:t>
            </w:r>
          </w:p>
        </w:tc>
        <w:tc>
          <w:p>
            <w:r>
              <w:t xml:space="preserve">Lint + tests</w:t>
            </w:r>
          </w:p>
        </w:tc>
        <w:tc>
          <w:p>
            <w:r>
              <w:t xml:space="preserve">Dev</w:t>
            </w:r>
          </w:p>
        </w:tc>
      </w:tr>
      <w:tr>
        <w:tc>
          <w:p>
            <w:r>
              <w:t xml:space="preserve">S4</w:t>
            </w:r>
          </w:p>
        </w:tc>
        <w:tc>
          <w:p>
            <w:r>
              <w:t xml:space="preserve">Recette</w:t>
            </w:r>
          </w:p>
        </w:tc>
        <w:tc>
          <w:p>
            <w:r>
              <w:t xml:space="preserve">PO</w:t>
            </w:r>
          </w:p>
        </w:tc>
      </w:tr>
    </w:tbl>
    <w:p>
      <w:pPr>
        <w:pStyle w:val="Heading1"/>
      </w:pPr>
      <w:r>
        <w:t xml:space="preserve">Annexe A — Glossaire</w:t>
      </w:r>
    </w:p>
    <w:p>
      <w:r>
        <w:rPr>
          <w:b/>
          <w:bCs/>
        </w:rPr>
        <w:t xml:space="preserve">N+1</w:t>
      </w:r>
      <w:r>
        <w:t xml:space="preserve"> : une requête par ligne au lieu d’une requête groupée. Formule : O(n)</w:t>
      </w:r>
      <w:r>
        <w:rPr>
          <w:vertAlign w:val="superscript"/>
        </w:rPr>
        <w:t xml:space="preserve">2</w:t>
      </w:r>
      <w:r>
        <w:t xml:space="preserve"> dans le pire cas, H</w:t>
      </w:r>
      <w:r>
        <w:rPr>
          <w:vertAlign w:val="subscript"/>
        </w:rPr>
        <w:t xml:space="preserve">2</w:t>
      </w:r>
      <w:r>
        <w:t xml:space="preserve">O pour l’exemple d’indice.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Mesuré sur 30 jours glissants, hors week-ends.</w:t>
      </w:r>
    </w:p>
  </w:footnote>
  <w:footnote w:id="2">
    <w:p>
      <w:r>
        <w:rPr>
          <w:rStyle w:val="FootnoteReference"/>
        </w:rPr>
        <w:footnoteRef/>
      </w:r>
      <w:r>
        <w:t xml:space="preserve">Voir l’annexe technique pour le détail des endpoints.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Nebula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ie8xrkfa5tocbvvgybej" Type="http://schemas.openxmlformats.org/officeDocument/2006/relationships/hyperlink" Target="https://example.com/audit/2026" TargetMode="External"/><Relationship Id="rId10" Type="http://schemas.openxmlformats.org/officeDocument/2006/relationships/image" Target="media/bff57b5c78e09844107925adbd5cdebc90560c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d’audit — fixture</dc:title>
  <dc:creator>Nebula</dc:creator>
  <cp:lastModifiedBy>Un-named</cp:lastModifiedBy>
  <cp:revision>1</cp:revision>
  <dcterms:created xsi:type="dcterms:W3CDTF">2026-10-13T06:39:55.002Z</dcterms:created>
  <dcterms:modified xsi:type="dcterms:W3CDTF">2026-10-13T06:39:55.003Z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