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787878"/>
          <w:sz w:val="20"/>
        </w:rPr>
        <w:t>TECHNICAL CASE STUDY</w:t>
      </w:r>
    </w:p>
    <w:p>
      <w:pPr>
        <w:spacing w:before="0" w:after="360"/>
      </w:pPr>
      <w:r>
        <w:rPr>
          <w:b/>
          <w:color w:val="102C57"/>
          <w:sz w:val="48"/>
        </w:rPr>
        <w:t>DWP CMG Policy RAG Migration &amp; Fine-Tuning POC</w:t>
      </w:r>
    </w:p>
    <w:p>
      <w:pPr>
        <w:keepNext/>
        <w:spacing w:after="360"/>
        <w:pBdr>
          <w:bottom w:val="single" w:sz="18" w:space="1" w:color="A0A0A0"/>
        </w:pBdr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1. Executive Summary</w:t>
      </w:r>
    </w:p>
    <w:p>
      <w:pPr>
        <w:spacing w:after="240" w:line="276" w:lineRule="auto"/>
      </w:pPr>
      <w:r>
        <w:t>The objective of this Proof of Concept (POC) was to upgrade the DWP (Department for Work and Pensions) Child Maintenance Group (CMG) Decision Maker helper system from a CPU-based retriever model to a state-of-the-art, GPU-accelerated RAG (Retrieval-Augmented Generation) system. This migration enables decision makers to obtain precise, high-speed, and contextually grounded answers to complex policy queries.</w:t>
      </w:r>
    </w:p>
    <w:p>
      <w:pPr>
        <w:spacing w:after="120"/>
      </w:pPr>
      <w:r>
        <w:t>Key milestones achieved during this POC include:</w:t>
      </w:r>
    </w:p>
    <w:p>
      <w:pPr>
        <w:pStyle w:val="ListBullet"/>
        <w:spacing w:after="80" w:line="276" w:lineRule="auto"/>
      </w:pPr>
      <w:r>
        <w:t>Infrastructure Provisioning: Standardized Python 3.13, PyTorch 2.10, and Unsloth environment on an AWS EC2 A10G GPU instance.</w:t>
      </w:r>
    </w:p>
    <w:p>
      <w:pPr>
        <w:pStyle w:val="ListBullet"/>
        <w:spacing w:after="80" w:line="276" w:lineRule="auto"/>
      </w:pPr>
      <w:r>
        <w:t>Data Engineering &amp; Chunking: Extracted and pre-processed 12 official policy guides and volumes into 3,174 chunks structured by DMG paragraph identifiers.</w:t>
      </w:r>
    </w:p>
    <w:p>
      <w:pPr>
        <w:pStyle w:val="ListBullet"/>
        <w:spacing w:after="80" w:line="276" w:lineRule="auto"/>
      </w:pPr>
      <w:r>
        <w:t>Synthetic Dataset Synthesis: Generated a 1,469 QA pair tuning dataset mapped from policy contexts using a local Qwen-2.5-7B-Instruct model.</w:t>
      </w:r>
    </w:p>
    <w:p>
      <w:pPr>
        <w:pStyle w:val="ListBullet"/>
        <w:spacing w:after="80" w:line="276" w:lineRule="auto"/>
      </w:pPr>
      <w:r>
        <w:t>QLoRA Fine-Tuning: Trained and merged adapter weights for Mistral-7B-Instruct-v0.3 and Qwen-2.5-7B-Instruct models on the GPU in ~8 minutes.</w:t>
      </w:r>
    </w:p>
    <w:p>
      <w:pPr>
        <w:pStyle w:val="ListBullet"/>
        <w:spacing w:after="80" w:line="276" w:lineRule="auto"/>
      </w:pPr>
      <w:r>
        <w:t>Two-Stage Hybrid RAG: Implemented a robust FAISS vector search + BM25 keyword matching + Cross-Encoder reranking pipeline.</w:t>
      </w:r>
    </w:p>
    <w:p>
      <w:pPr>
        <w:pStyle w:val="ListBullet"/>
        <w:spacing w:after="80" w:line="276" w:lineRule="auto"/>
      </w:pPr>
      <w:r>
        <w:t>Side-by-Side Evaluation: Evaluated and compared the baseline Mistral model against the fine-tuned variants over the full 147 validation split questions.</w:t>
      </w:r>
    </w:p>
    <w:p>
      <w:pPr>
        <w:pStyle w:val="ListBullet"/>
        <w:spacing w:after="80" w:line="276" w:lineRule="auto"/>
      </w:pPr>
      <w:r>
        <w:t>Quantized serving: Co-hosted all three 7B models concurrently on the single A10G GPU using NF4 4-bit quantization.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2. Infrastructure &amp; Secure Connectivity</w:t>
      </w:r>
    </w:p>
    <w:p>
      <w:pPr>
        <w:spacing w:after="120"/>
      </w:pPr>
      <w:r>
        <w:t>To comply with DWP's data governance standards, all data operations were hosted locally on-instance, relying solely on open-source weights. The physical specifications were:</w:t>
      </w:r>
    </w:p>
    <w:p>
      <w:pPr>
        <w:pStyle w:val="ListBullet"/>
        <w:spacing w:after="80"/>
      </w:pPr>
      <w:r>
        <w:t>EC2 Instance Class: g5.xlarge (eu-west-2, London region)</w:t>
      </w:r>
    </w:p>
    <w:p>
      <w:pPr>
        <w:pStyle w:val="ListBullet"/>
        <w:spacing w:after="80"/>
      </w:pPr>
      <w:r>
        <w:t>Accelerator: NVIDIA A10G Tensor Core GPU (24 GB VRAM, Ampere)</w:t>
      </w:r>
    </w:p>
    <w:p>
      <w:pPr>
        <w:pStyle w:val="ListBullet"/>
        <w:spacing w:after="80"/>
      </w:pPr>
      <w:r>
        <w:t>Compute Resources: 4 vCPUs, 16 GB System RAM</w:t>
      </w:r>
    </w:p>
    <w:p>
      <w:pPr>
        <w:pStyle w:val="ListBullet"/>
        <w:spacing w:after="80"/>
      </w:pPr>
      <w:r>
        <w:t>Storage: 150 GB root EBS volume (gp3 SSD) to accommodate the concurrent weights and system cache</w:t>
      </w:r>
    </w:p>
    <w:p>
      <w:pPr>
        <w:pStyle w:val="ListBullet"/>
        <w:spacing w:after="80"/>
      </w:pPr>
      <w:r>
        <w:t>Secure Tunneling: Configured secure SSH tunneling over AWS SSM Session Manager to bypass public internet exposure and route through the corporate firewall.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3. Data Processing &amp; Dataset Construction</w:t>
      </w:r>
    </w:p>
    <w:p>
      <w:pPr>
        <w:spacing w:after="120"/>
      </w:pPr>
      <w:r>
        <w:t>The system digests unstructured manuals, PDFs, public-facing guides, and legislation. An optimized chunking framework was implemented to prevent chunk-splitting issues:</w:t>
      </w:r>
    </w:p>
    <w:p>
      <w:pPr>
        <w:pStyle w:val="ListBullet"/>
        <w:spacing w:after="80"/>
      </w:pPr>
      <w:r>
        <w:t>Paragraph Extraction: Applied regex-based parsers to DMG volumes to break chunks directly at paragraph boundaries, saving official citations.</w:t>
      </w:r>
    </w:p>
    <w:p>
      <w:pPr>
        <w:pStyle w:val="ListBullet"/>
        <w:spacing w:after="80"/>
      </w:pPr>
      <w:r>
        <w:t>Token-Aware Sub-Chunking: Evaluated token counts of chunks against the embedding model's limits using the BGE tokenizer. Any chunk exceeding 500 tokens was split using a token-level sliding window (400 token length, 100 overlap) to avoid truncation.</w:t>
      </w:r>
    </w:p>
    <w:p>
      <w:pPr>
        <w:pStyle w:val="ListBullet"/>
        <w:spacing w:after="80"/>
      </w:pPr>
      <w:r>
        <w:t>Synthetic QA Generation: The local Qwen-2.5-7B-Instruct model processed context chunks on the GPU to synthesize 1,469 QA pairs representing real decision-making questions.</w:t>
      </w:r>
    </w:p>
    <w:p>
      <w:pPr>
        <w:pStyle w:val="ListBullet"/>
        <w:spacing w:after="80"/>
      </w:pPr>
      <w:r>
        <w:t>Validation Splitting: Deduplicated and split the corpus into a Train Split (1,316 samples) and a Validation Split (147 samples).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4. Model Fine-Tuning Execution</w:t>
      </w:r>
    </w:p>
    <w:p>
      <w:pPr>
        <w:spacing w:after="120"/>
      </w:pPr>
      <w:r>
        <w:t>Supervised Fine-Tuning (SFT) was performed using the Unsloth library, enabling rapid, memory-efficient QLoRA training:</w:t>
      </w:r>
    </w:p>
    <w:p>
      <w:pPr>
        <w:pStyle w:val="ListBullet"/>
        <w:spacing w:after="80"/>
      </w:pPr>
      <w:r>
        <w:t>Target Models: unsloth/mistral-7b-instruct-v0.3-bnb-4bit and unsloth/qwen2.5-7b-instruct-bnb-4bit</w:t>
      </w:r>
    </w:p>
    <w:p>
      <w:pPr>
        <w:pStyle w:val="ListBullet"/>
        <w:spacing w:after="80"/>
      </w:pPr>
      <w:r>
        <w:t>Tuning Parameters: LoRA Rank (r) = 16, Alpha (alpha) = 32, targeting q, k, v, o, gate, up, and down projections.</w:t>
      </w:r>
    </w:p>
    <w:p>
      <w:pPr>
        <w:pStyle w:val="ListBullet"/>
        <w:spacing w:after="80"/>
      </w:pPr>
      <w:r>
        <w:t>Training Arguments: 3 epochs, learning rate = 2e-4, batch size = 4 (with gradient accumulation steps = 4; effective batch size = 16).</w:t>
      </w:r>
    </w:p>
    <w:p>
      <w:pPr>
        <w:pStyle w:val="ListBullet"/>
        <w:spacing w:after="80"/>
      </w:pPr>
      <w:r>
        <w:t>Adapter Merging: Post-training, weights were merged back into base models in float16 precision and saved to disk. Training times were ~8 minutes for Mistral-7B and ~8.5 minutes for Qwen-7B.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5. Two-Stage Hybrid RAG Architecture</w:t>
      </w:r>
    </w:p>
    <w:p>
      <w:pPr>
        <w:spacing w:after="120"/>
      </w:pPr>
      <w:r>
        <w:t>To provide high-quality grounded answers, the retrieval pipeline was upgraded to a two-stage hybrid search model:</w:t>
      </w:r>
    </w:p>
    <w:p>
      <w:pPr>
        <w:pStyle w:val="ListBullet"/>
        <w:spacing w:after="80"/>
      </w:pPr>
      <w:r>
        <w:t>Stage 1 Vector Search: Used sentence-transformers BAAI/bge-base-en-v1.5 to map query vectors, executing inner-product search on a GPU-based FAISS Flat index.</w:t>
      </w:r>
    </w:p>
    <w:p>
      <w:pPr>
        <w:pStyle w:val="ListBullet"/>
        <w:spacing w:after="80"/>
      </w:pPr>
      <w:r>
        <w:t>Stage 1 Keyword Search: Run token-based matching with custom synonyms (e.g. mapping 'paying parent' to 'NRP') to align with manual abbreviations.</w:t>
      </w:r>
    </w:p>
    <w:p>
      <w:pPr>
        <w:pStyle w:val="ListBullet"/>
        <w:spacing w:after="80"/>
      </w:pPr>
      <w:r>
        <w:t>Stage 2 Reranking: Unioned the top-10 candidate chunks from both searches and reranked them using the cross-encoder/ms-marco-MiniLM-L-6-v2 model. The top 3 contexts were supplied to the LLM.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6. Evaluation Results (147 Validation Samples)</w:t>
      </w:r>
    </w:p>
    <w:p>
      <w:pPr>
        <w:spacing w:after="160"/>
      </w:pPr>
      <w:r>
        <w:t>To verify model accuracy, we ran an automated evaluation on all 147 validation samples comparing the baseline (Mistral Base + RAG), Mistral Tuned + RAG, and Qwen Tuned + RAG models.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872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Retrieval Precision@3</w:t>
            </w:r>
          </w:p>
        </w:tc>
        <w:tc>
          <w:tcPr>
            <w:tcW w:type="dxa" w:w="1872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ROUGE-L F1 Score</w:t>
            </w:r>
          </w:p>
        </w:tc>
        <w:tc>
          <w:tcPr>
            <w:tcW w:type="dxa" w:w="1872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BERTScore F1</w:t>
            </w:r>
          </w:p>
        </w:tc>
        <w:tc>
          <w:tcPr>
            <w:tcW w:type="dxa" w:w="1872"/>
            <w:shd w:fill="102C5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Avg Inference Time (s)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Mistral-7B Base + RAG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0.3434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0.8883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7.15s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5F7F8"/>
          </w:tcPr>
          <w:p>
            <w:pPr>
              <w:jc w:val="left"/>
            </w:pPr>
            <w:r>
              <w:rPr>
                <w:b/>
              </w:rPr>
              <w:t>Mistral-7B Tuned + RAG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5F7F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5F7F8"/>
          </w:tcPr>
          <w:p>
            <w:pPr>
              <w:jc w:val="center"/>
            </w:pPr>
            <w:r>
              <w:t>0.5052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5F7F8"/>
          </w:tcPr>
          <w:p>
            <w:pPr>
              <w:jc w:val="center"/>
            </w:pPr>
            <w:r>
              <w:t>0.9160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5F7F8"/>
          </w:tcPr>
          <w:p>
            <w:pPr>
              <w:jc w:val="center"/>
            </w:pPr>
            <w:r>
              <w:t>2.64s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</w:rPr>
              <w:t>Qwen-2.5-7B Tuned + RAG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0.4889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0.9094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2.95s</w:t>
            </w:r>
          </w:p>
        </w:tc>
      </w:tr>
    </w:tbl>
    <w:p>
      <w:pPr>
        <w:spacing w:after="120"/>
      </w:pPr>
    </w:p>
    <w:p>
      <w:pPr>
        <w:spacing w:after="240"/>
      </w:pPr>
      <w:r>
        <w:t>Key takeaways from the evaluation are:</w:t>
        <w:br/>
        <w:t>1. Semantic &amp; Overlap Performance: Mistral Tuned + RAG achieved the highest ROUGE-L (0.5052) and BERTScore F1 (0.9160). This represents a 47.1% relative improvement in ROUGE-L over the base model, demonstrating that fine-tuning successfully taught the model to align with DWP-specific formatting and terminology.</w:t>
        <w:br/>
        <w:t>2. Inference Speedup (2.7x): The fine-tuned Mistral model is 2.7x faster than the base model (2.64s vs 7.15s). The base model generates verbose paragraphs, while the fine-tuned model writes concise, direct policy statements citing exact paragraph IDs, which reduces token generation counts and latency.</w:t>
        <w:br/>
        <w:t>3. Retrieval Precision: Stated as 0.0000 because validation set answers are synthetic summaries rather than direct copies of raw text chunks.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02C57"/>
          <w:sz w:val="36"/>
        </w:rPr>
        <w:t>7. Serving &amp; Quantization</w:t>
      </w:r>
    </w:p>
    <w:p>
      <w:pPr>
        <w:spacing w:after="120"/>
      </w:pPr>
      <w:r>
        <w:t>To host all three 7B reader models concurrently on the single A10G GPU (24 GB VRAM), we implemented the following strategies:</w:t>
      </w:r>
    </w:p>
    <w:p>
      <w:pPr>
        <w:pStyle w:val="ListBullet"/>
        <w:spacing w:after="80"/>
      </w:pPr>
      <w:r>
        <w:t>4-bit Quantization: Loaded all reader models in 4-bit precision (NF4 double quantization with bfloat16 compute type). This reduced VRAM usage of each model to ~3.8 GB (total ~11.4 GB for all three), leaving ample headroom for embedding indices, rerankers, and caches.</w:t>
      </w:r>
    </w:p>
    <w:p>
      <w:pPr>
        <w:pStyle w:val="ListBullet"/>
        <w:spacing w:after="80"/>
      </w:pPr>
      <w:r>
        <w:t>Sequential Rendering: Configured the UI to request completions from the models sequentially. This eliminates VRAM spikes and GPU contention, ensuring stable performance.</w:t>
      </w:r>
    </w:p>
    <w:p>
      <w:pPr>
        <w:pBdr>
          <w:bottom w:val="single" w:sz="6" w:space="1" w:color="D0D0D0"/>
        </w:pBdr>
        <w:spacing w:before="24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