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Microsoft Defender: Capabilities and What to Prioritize</w:t>
      </w:r>
    </w:p>
    <w:p>
      <w:pPr>
        <w:spacing w:after="120"/>
      </w:pPr>
      <w:r>
        <w:rPr>
          <w:b w:val="false"/>
          <w:bCs w:val="false"/>
          <w:i/>
          <w:iCs/>
          <w:color w:val="666666"/>
          <w:sz w:val="22"/>
          <w:szCs w:val="22"/>
        </w:rPr>
        <w:t xml:space="preserve">A plain-language briefing for Semantic Arts. Prepared by Otto for the COO. Pricing is Microsoft list rate as of 2026; confirm with Microsoft or a partner before buying.</w:t>
      </w:r>
    </w:p>
    <w:p>
      <w:pPr>
        <w:spacing w:after="120"/>
      </w:pPr>
      <w:r>
        <w:rPr>
          <w:b w:val="false"/>
          <w:bCs w:val="false"/>
          <w:i w:val="false"/>
          <w:iCs w:val="false"/>
          <w:sz w:val="22"/>
          <w:szCs w:val="22"/>
        </w:rPr>
        <w:t xml:space="preserve">"Microsoft Defender" is not one product; it is a family that shares the name, which is the main source of confusion. Only two parts really matter for a firm our size: Defender for Business (protects our computers) and Defender for Office 365 (protects our email). We already have the free antivirus built into Windows; the paid pieces add central visibility, response, and email protection.</w:t>
      </w:r>
    </w:p>
    <w:p>
      <w:pPr>
        <w:spacing w:after="80" w:before="230"/>
      </w:pPr>
      <w:r>
        <w:rPr>
          <w:b/>
          <w:bCs/>
          <w:color w:val="1F3864"/>
          <w:sz w:val="25"/>
          <w:szCs w:val="25"/>
        </w:rPr>
        <w:t xml:space="preserve">The Defender family, and what matters for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4150"/>
        <w:gridCol w:w="2560"/>
      </w:tblGrid>
      <w:tr>
        <w:tc>
          <w:tcPr>
            <w:tcW w:type="dxa" w:w="2650"/>
            <w:shd w:fill="1F3864" w:val="clear"/>
            <w:tcMar>
              <w:top w:type="dxa" w:w="30"/>
              <w:left w:type="dxa" w:w="70"/>
              <w:bottom w:type="dxa" w:w="30"/>
              <w:right w:type="dxa" w:w="70"/>
            </w:tcMar>
          </w:tcPr>
          <w:p>
            <w:pPr>
              <w:spacing w:after="0"/>
            </w:pPr>
            <w:r>
              <w:rPr>
                <w:b/>
                <w:bCs/>
                <w:color w:val="FFFFFF"/>
                <w:sz w:val="18"/>
                <w:szCs w:val="18"/>
              </w:rPr>
              <w:t xml:space="preserve">Product</w:t>
            </w:r>
          </w:p>
        </w:tc>
        <w:tc>
          <w:tcPr>
            <w:tcW w:type="dxa" w:w="4150"/>
            <w:shd w:fill="1F3864" w:val="clear"/>
            <w:tcMar>
              <w:top w:type="dxa" w:w="30"/>
              <w:left w:type="dxa" w:w="70"/>
              <w:bottom w:type="dxa" w:w="30"/>
              <w:right w:type="dxa" w:w="70"/>
            </w:tcMar>
          </w:tcPr>
          <w:p>
            <w:pPr>
              <w:spacing w:after="0"/>
            </w:pPr>
            <w:r>
              <w:rPr>
                <w:b/>
                <w:bCs/>
                <w:color w:val="FFFFFF"/>
                <w:sz w:val="18"/>
                <w:szCs w:val="18"/>
              </w:rPr>
              <w:t xml:space="preserve">What it does</w:t>
            </w:r>
          </w:p>
        </w:tc>
        <w:tc>
          <w:tcPr>
            <w:tcW w:type="dxa" w:w="2560"/>
            <w:shd w:fill="1F3864" w:val="clear"/>
            <w:tcMar>
              <w:top w:type="dxa" w:w="30"/>
              <w:left w:type="dxa" w:w="70"/>
              <w:bottom w:type="dxa" w:w="30"/>
              <w:right w:type="dxa" w:w="70"/>
            </w:tcMar>
          </w:tcPr>
          <w:p>
            <w:pPr>
              <w:spacing w:after="0"/>
            </w:pPr>
            <w:r>
              <w:rPr>
                <w:b/>
                <w:bCs/>
                <w:color w:val="FFFFFF"/>
                <w:sz w:val="18"/>
                <w:szCs w:val="18"/>
              </w:rPr>
              <w:t xml:space="preserve">For us?</w:t>
            </w:r>
          </w:p>
        </w:tc>
      </w:tr>
      <w:tr>
        <w:tc>
          <w:tcPr>
            <w:tcW w:type="dxa" w:w="2650"/>
            <w:tcMar>
              <w:top w:type="dxa" w:w="30"/>
              <w:left w:type="dxa" w:w="70"/>
              <w:bottom w:type="dxa" w:w="30"/>
              <w:right w:type="dxa" w:w="70"/>
            </w:tcMar>
          </w:tcPr>
          <w:p>
            <w:pPr>
              <w:spacing w:after="0"/>
            </w:pPr>
            <w:r>
              <w:rPr>
                <w:b/>
                <w:bCs/>
                <w:color w:val="000000"/>
                <w:sz w:val="18"/>
                <w:szCs w:val="18"/>
              </w:rPr>
              <w:t xml:space="preserve">Defender Antivirus</w:t>
            </w:r>
          </w:p>
        </w:tc>
        <w:tc>
          <w:tcPr>
            <w:tcW w:type="dxa" w:w="4150"/>
            <w:tcMar>
              <w:top w:type="dxa" w:w="30"/>
              <w:left w:type="dxa" w:w="70"/>
              <w:bottom w:type="dxa" w:w="30"/>
              <w:right w:type="dxa" w:w="70"/>
            </w:tcMar>
          </w:tcPr>
          <w:p>
            <w:pPr>
              <w:spacing w:after="0"/>
            </w:pPr>
            <w:r>
              <w:rPr>
                <w:b w:val="false"/>
                <w:bCs w:val="false"/>
                <w:color w:val="000000"/>
                <w:sz w:val="18"/>
                <w:szCs w:val="18"/>
              </w:rPr>
              <w:t xml:space="preserve">Free next-gen antivirus built into Windows. On-device only, no central console.</w:t>
            </w:r>
          </w:p>
        </w:tc>
        <w:tc>
          <w:tcPr>
            <w:tcW w:type="dxa" w:w="2560"/>
            <w:tcMar>
              <w:top w:type="dxa" w:w="30"/>
              <w:left w:type="dxa" w:w="70"/>
              <w:bottom w:type="dxa" w:w="30"/>
              <w:right w:type="dxa" w:w="70"/>
            </w:tcMar>
          </w:tcPr>
          <w:p>
            <w:pPr>
              <w:spacing w:after="0"/>
            </w:pPr>
            <w:r>
              <w:rPr>
                <w:b w:val="false"/>
                <w:bCs w:val="false"/>
                <w:color w:val="000000"/>
                <w:sz w:val="18"/>
                <w:szCs w:val="18"/>
              </w:rPr>
              <w:t xml:space="preserve">Baseline we already have</w:t>
            </w:r>
          </w:p>
        </w:tc>
      </w:tr>
      <w:tr>
        <w:tc>
          <w:tcPr>
            <w:tcW w:type="dxa" w:w="2650"/>
            <w:shd w:fill="EEF2F8" w:val="clear"/>
            <w:tcMar>
              <w:top w:type="dxa" w:w="30"/>
              <w:left w:type="dxa" w:w="70"/>
              <w:bottom w:type="dxa" w:w="30"/>
              <w:right w:type="dxa" w:w="70"/>
            </w:tcMar>
          </w:tcPr>
          <w:p>
            <w:pPr>
              <w:spacing w:after="0"/>
            </w:pPr>
            <w:r>
              <w:rPr>
                <w:b/>
                <w:bCs/>
                <w:color w:val="000000"/>
                <w:sz w:val="18"/>
                <w:szCs w:val="18"/>
              </w:rPr>
              <w:t xml:space="preserve">Defender for Business</w:t>
            </w:r>
          </w:p>
        </w:tc>
        <w:tc>
          <w:tcPr>
            <w:tcW w:type="dxa" w:w="4150"/>
            <w:shd w:fill="EEF2F8" w:val="clear"/>
            <w:tcMar>
              <w:top w:type="dxa" w:w="30"/>
              <w:left w:type="dxa" w:w="70"/>
              <w:bottom w:type="dxa" w:w="30"/>
              <w:right w:type="dxa" w:w="70"/>
            </w:tcMar>
          </w:tcPr>
          <w:p>
            <w:pPr>
              <w:spacing w:after="0"/>
            </w:pPr>
            <w:r>
              <w:rPr>
                <w:b w:val="false"/>
                <w:bCs w:val="false"/>
                <w:color w:val="000000"/>
                <w:sz w:val="18"/>
                <w:szCs w:val="18"/>
              </w:rPr>
              <w:t xml:space="preserve">SMB endpoint security (EDR) for up to 300 users, with a central portal.</w:t>
            </w:r>
          </w:p>
        </w:tc>
        <w:tc>
          <w:tcPr>
            <w:tcW w:type="dxa" w:w="2560"/>
            <w:shd w:fill="EEF2F8" w:val="clear"/>
            <w:tcMar>
              <w:top w:type="dxa" w:w="30"/>
              <w:left w:type="dxa" w:w="70"/>
              <w:bottom w:type="dxa" w:w="30"/>
              <w:right w:type="dxa" w:w="70"/>
            </w:tcMar>
          </w:tcPr>
          <w:p>
            <w:pPr>
              <w:spacing w:after="0"/>
            </w:pPr>
            <w:r>
              <w:rPr>
                <w:b w:val="false"/>
                <w:bCs w:val="false"/>
                <w:color w:val="000000"/>
                <w:sz w:val="18"/>
                <w:szCs w:val="18"/>
              </w:rPr>
              <w:t xml:space="preserve">Yes, the main one</w:t>
            </w:r>
          </w:p>
        </w:tc>
      </w:tr>
      <w:tr>
        <w:tc>
          <w:tcPr>
            <w:tcW w:type="dxa" w:w="2650"/>
            <w:tcMar>
              <w:top w:type="dxa" w:w="30"/>
              <w:left w:type="dxa" w:w="70"/>
              <w:bottom w:type="dxa" w:w="30"/>
              <w:right w:type="dxa" w:w="70"/>
            </w:tcMar>
          </w:tcPr>
          <w:p>
            <w:pPr>
              <w:spacing w:after="0"/>
            </w:pPr>
            <w:r>
              <w:rPr>
                <w:b/>
                <w:bCs/>
                <w:color w:val="000000"/>
                <w:sz w:val="18"/>
                <w:szCs w:val="18"/>
              </w:rPr>
              <w:t xml:space="preserve">Defender for Office 365</w:t>
            </w:r>
          </w:p>
        </w:tc>
        <w:tc>
          <w:tcPr>
            <w:tcW w:type="dxa" w:w="4150"/>
            <w:tcMar>
              <w:top w:type="dxa" w:w="30"/>
              <w:left w:type="dxa" w:w="70"/>
              <w:bottom w:type="dxa" w:w="30"/>
              <w:right w:type="dxa" w:w="70"/>
            </w:tcMar>
          </w:tcPr>
          <w:p>
            <w:pPr>
              <w:spacing w:after="0"/>
            </w:pPr>
            <w:r>
              <w:rPr>
                <w:b w:val="false"/>
                <w:bCs w:val="false"/>
                <w:color w:val="000000"/>
                <w:sz w:val="18"/>
                <w:szCs w:val="18"/>
              </w:rPr>
              <w:t xml:space="preserve">Protects email and collaboration from phishing, bad links, and attachments (Plan 1 and Plan 2).</w:t>
            </w:r>
          </w:p>
        </w:tc>
        <w:tc>
          <w:tcPr>
            <w:tcW w:type="dxa" w:w="2560"/>
            <w:tcMar>
              <w:top w:type="dxa" w:w="30"/>
              <w:left w:type="dxa" w:w="70"/>
              <w:bottom w:type="dxa" w:w="30"/>
              <w:right w:type="dxa" w:w="70"/>
            </w:tcMar>
          </w:tcPr>
          <w:p>
            <w:pPr>
              <w:spacing w:after="0"/>
            </w:pPr>
            <w:r>
              <w:rPr>
                <w:b w:val="false"/>
                <w:bCs w:val="false"/>
                <w:color w:val="000000"/>
                <w:sz w:val="18"/>
                <w:szCs w:val="18"/>
              </w:rPr>
              <w:t xml:space="preserve">Yes, Plan 1</w:t>
            </w:r>
          </w:p>
        </w:tc>
      </w:tr>
      <w:tr>
        <w:tc>
          <w:tcPr>
            <w:tcW w:type="dxa" w:w="2650"/>
            <w:shd w:fill="EEF2F8" w:val="clear"/>
            <w:tcMar>
              <w:top w:type="dxa" w:w="30"/>
              <w:left w:type="dxa" w:w="70"/>
              <w:bottom w:type="dxa" w:w="30"/>
              <w:right w:type="dxa" w:w="70"/>
            </w:tcMar>
          </w:tcPr>
          <w:p>
            <w:pPr>
              <w:spacing w:after="0"/>
            </w:pPr>
            <w:r>
              <w:rPr>
                <w:b/>
                <w:bCs/>
                <w:color w:val="000000"/>
                <w:sz w:val="18"/>
                <w:szCs w:val="18"/>
              </w:rPr>
              <w:t xml:space="preserve">Defender for Endpoint</w:t>
            </w:r>
          </w:p>
        </w:tc>
        <w:tc>
          <w:tcPr>
            <w:tcW w:type="dxa" w:w="4150"/>
            <w:shd w:fill="EEF2F8" w:val="clear"/>
            <w:tcMar>
              <w:top w:type="dxa" w:w="30"/>
              <w:left w:type="dxa" w:w="70"/>
              <w:bottom w:type="dxa" w:w="30"/>
              <w:right w:type="dxa" w:w="70"/>
            </w:tcMar>
          </w:tcPr>
          <w:p>
            <w:pPr>
              <w:spacing w:after="0"/>
            </w:pPr>
            <w:r>
              <w:rPr>
                <w:b w:val="false"/>
                <w:bCs w:val="false"/>
                <w:color w:val="000000"/>
                <w:sz w:val="18"/>
                <w:szCs w:val="18"/>
              </w:rPr>
              <w:t xml:space="preserve">The enterprise version of endpoint EDR (Plan 1 / Plan 2).</w:t>
            </w:r>
          </w:p>
        </w:tc>
        <w:tc>
          <w:tcPr>
            <w:tcW w:type="dxa" w:w="2560"/>
            <w:shd w:fill="EEF2F8" w:val="clear"/>
            <w:tcMar>
              <w:top w:type="dxa" w:w="30"/>
              <w:left w:type="dxa" w:w="70"/>
              <w:bottom w:type="dxa" w:w="30"/>
              <w:right w:type="dxa" w:w="70"/>
            </w:tcMar>
          </w:tcPr>
          <w:p>
            <w:pPr>
              <w:spacing w:after="0"/>
            </w:pPr>
            <w:r>
              <w:rPr>
                <w:b w:val="false"/>
                <w:bCs w:val="false"/>
                <w:color w:val="000000"/>
                <w:sz w:val="18"/>
                <w:szCs w:val="18"/>
              </w:rPr>
              <w:t xml:space="preserve">No; Business is the SMB equivalent</w:t>
            </w:r>
          </w:p>
        </w:tc>
      </w:tr>
      <w:tr>
        <w:tc>
          <w:tcPr>
            <w:tcW w:type="dxa" w:w="2650"/>
            <w:tcMar>
              <w:top w:type="dxa" w:w="30"/>
              <w:left w:type="dxa" w:w="70"/>
              <w:bottom w:type="dxa" w:w="30"/>
              <w:right w:type="dxa" w:w="70"/>
            </w:tcMar>
          </w:tcPr>
          <w:p>
            <w:pPr>
              <w:spacing w:after="0"/>
            </w:pPr>
            <w:r>
              <w:rPr>
                <w:b/>
                <w:bCs/>
                <w:color w:val="000000"/>
                <w:sz w:val="18"/>
                <w:szCs w:val="18"/>
              </w:rPr>
              <w:t xml:space="preserve">Defender XDR</w:t>
            </w:r>
          </w:p>
        </w:tc>
        <w:tc>
          <w:tcPr>
            <w:tcW w:type="dxa" w:w="4150"/>
            <w:tcMar>
              <w:top w:type="dxa" w:w="30"/>
              <w:left w:type="dxa" w:w="70"/>
              <w:bottom w:type="dxa" w:w="30"/>
              <w:right w:type="dxa" w:w="70"/>
            </w:tcMar>
          </w:tcPr>
          <w:p>
            <w:pPr>
              <w:spacing w:after="0"/>
            </w:pPr>
            <w:r>
              <w:rPr>
                <w:b w:val="false"/>
                <w:bCs w:val="false"/>
                <w:color w:val="000000"/>
                <w:sz w:val="18"/>
                <w:szCs w:val="18"/>
              </w:rPr>
              <w:t xml:space="preserve">The unified security portal that ties signals together.</w:t>
            </w:r>
          </w:p>
        </w:tc>
        <w:tc>
          <w:tcPr>
            <w:tcW w:type="dxa" w:w="2560"/>
            <w:tcMar>
              <w:top w:type="dxa" w:w="30"/>
              <w:left w:type="dxa" w:w="70"/>
              <w:bottom w:type="dxa" w:w="30"/>
              <w:right w:type="dxa" w:w="70"/>
            </w:tcMar>
          </w:tcPr>
          <w:p>
            <w:pPr>
              <w:spacing w:after="0"/>
            </w:pPr>
            <w:r>
              <w:rPr>
                <w:b w:val="false"/>
                <w:bCs w:val="false"/>
                <w:color w:val="000000"/>
                <w:sz w:val="18"/>
                <w:szCs w:val="18"/>
              </w:rPr>
              <w:t xml:space="preserve">Used by Business; full value is enterprise</w:t>
            </w:r>
          </w:p>
        </w:tc>
      </w:tr>
      <w:tr>
        <w:tc>
          <w:tcPr>
            <w:tcW w:type="dxa" w:w="2650"/>
            <w:shd w:fill="EEF2F8" w:val="clear"/>
            <w:tcMar>
              <w:top w:type="dxa" w:w="30"/>
              <w:left w:type="dxa" w:w="70"/>
              <w:bottom w:type="dxa" w:w="30"/>
              <w:right w:type="dxa" w:w="70"/>
            </w:tcMar>
          </w:tcPr>
          <w:p>
            <w:pPr>
              <w:spacing w:after="0"/>
            </w:pPr>
            <w:r>
              <w:rPr>
                <w:b/>
                <w:bCs/>
                <w:color w:val="000000"/>
                <w:sz w:val="18"/>
                <w:szCs w:val="18"/>
              </w:rPr>
              <w:t xml:space="preserve">Defender for Identity</w:t>
            </w:r>
          </w:p>
        </w:tc>
        <w:tc>
          <w:tcPr>
            <w:tcW w:type="dxa" w:w="4150"/>
            <w:shd w:fill="EEF2F8" w:val="clear"/>
            <w:tcMar>
              <w:top w:type="dxa" w:w="30"/>
              <w:left w:type="dxa" w:w="70"/>
              <w:bottom w:type="dxa" w:w="30"/>
              <w:right w:type="dxa" w:w="70"/>
            </w:tcMar>
          </w:tcPr>
          <w:p>
            <w:pPr>
              <w:spacing w:after="0"/>
            </w:pPr>
            <w:r>
              <w:rPr>
                <w:b w:val="false"/>
                <w:bCs w:val="false"/>
                <w:color w:val="000000"/>
                <w:sz w:val="18"/>
                <w:szCs w:val="18"/>
              </w:rPr>
              <w:t xml:space="preserve">Detects attacks on on-premises Active Directory.</w:t>
            </w:r>
          </w:p>
        </w:tc>
        <w:tc>
          <w:tcPr>
            <w:tcW w:type="dxa" w:w="2560"/>
            <w:shd w:fill="EEF2F8" w:val="clear"/>
            <w:tcMar>
              <w:top w:type="dxa" w:w="30"/>
              <w:left w:type="dxa" w:w="70"/>
              <w:bottom w:type="dxa" w:w="30"/>
              <w:right w:type="dxa" w:w="70"/>
            </w:tcMar>
          </w:tcPr>
          <w:p>
            <w:pPr>
              <w:spacing w:after="0"/>
            </w:pPr>
            <w:r>
              <w:rPr>
                <w:b w:val="false"/>
                <w:bCs w:val="false"/>
                <w:color w:val="000000"/>
                <w:sz w:val="18"/>
                <w:szCs w:val="18"/>
              </w:rPr>
              <w:t xml:space="preserve">No (we are cloud-first)</w:t>
            </w:r>
          </w:p>
        </w:tc>
      </w:tr>
      <w:tr>
        <w:tc>
          <w:tcPr>
            <w:tcW w:type="dxa" w:w="2650"/>
            <w:tcMar>
              <w:top w:type="dxa" w:w="30"/>
              <w:left w:type="dxa" w:w="70"/>
              <w:bottom w:type="dxa" w:w="30"/>
              <w:right w:type="dxa" w:w="70"/>
            </w:tcMar>
          </w:tcPr>
          <w:p>
            <w:pPr>
              <w:spacing w:after="0"/>
            </w:pPr>
            <w:r>
              <w:rPr>
                <w:b/>
                <w:bCs/>
                <w:color w:val="000000"/>
                <w:sz w:val="18"/>
                <w:szCs w:val="18"/>
              </w:rPr>
              <w:t xml:space="preserve">Defender for Cloud Apps</w:t>
            </w:r>
          </w:p>
        </w:tc>
        <w:tc>
          <w:tcPr>
            <w:tcW w:type="dxa" w:w="4150"/>
            <w:tcMar>
              <w:top w:type="dxa" w:w="30"/>
              <w:left w:type="dxa" w:w="70"/>
              <w:bottom w:type="dxa" w:w="30"/>
              <w:right w:type="dxa" w:w="70"/>
            </w:tcMar>
          </w:tcPr>
          <w:p>
            <w:pPr>
              <w:spacing w:after="0"/>
            </w:pPr>
            <w:r>
              <w:rPr>
                <w:b w:val="false"/>
                <w:bCs w:val="false"/>
                <w:color w:val="000000"/>
                <w:sz w:val="18"/>
                <w:szCs w:val="18"/>
              </w:rPr>
              <w:t xml:space="preserve">Discovers and controls SaaS app usage (a CASB).</w:t>
            </w:r>
          </w:p>
        </w:tc>
        <w:tc>
          <w:tcPr>
            <w:tcW w:type="dxa" w:w="2560"/>
            <w:tcMar>
              <w:top w:type="dxa" w:w="30"/>
              <w:left w:type="dxa" w:w="70"/>
              <w:bottom w:type="dxa" w:w="30"/>
              <w:right w:type="dxa" w:w="70"/>
            </w:tcMar>
          </w:tcPr>
          <w:p>
            <w:pPr>
              <w:spacing w:after="0"/>
            </w:pPr>
            <w:r>
              <w:rPr>
                <w:b w:val="false"/>
                <w:bCs w:val="false"/>
                <w:color w:val="000000"/>
                <w:sz w:val="18"/>
                <w:szCs w:val="18"/>
              </w:rPr>
              <w:t xml:space="preserve">Not now</w:t>
            </w:r>
          </w:p>
        </w:tc>
      </w:tr>
      <w:tr>
        <w:tc>
          <w:tcPr>
            <w:tcW w:type="dxa" w:w="2650"/>
            <w:shd w:fill="EEF2F8" w:val="clear"/>
            <w:tcMar>
              <w:top w:type="dxa" w:w="30"/>
              <w:left w:type="dxa" w:w="70"/>
              <w:bottom w:type="dxa" w:w="30"/>
              <w:right w:type="dxa" w:w="70"/>
            </w:tcMar>
          </w:tcPr>
          <w:p>
            <w:pPr>
              <w:spacing w:after="0"/>
            </w:pPr>
            <w:r>
              <w:rPr>
                <w:b/>
                <w:bCs/>
                <w:color w:val="000000"/>
                <w:sz w:val="18"/>
                <w:szCs w:val="18"/>
              </w:rPr>
              <w:t xml:space="preserve">Defender for Cloud</w:t>
            </w:r>
          </w:p>
        </w:tc>
        <w:tc>
          <w:tcPr>
            <w:tcW w:type="dxa" w:w="4150"/>
            <w:shd w:fill="EEF2F8" w:val="clear"/>
            <w:tcMar>
              <w:top w:type="dxa" w:w="30"/>
              <w:left w:type="dxa" w:w="70"/>
              <w:bottom w:type="dxa" w:w="30"/>
              <w:right w:type="dxa" w:w="70"/>
            </w:tcMar>
          </w:tcPr>
          <w:p>
            <w:pPr>
              <w:spacing w:after="0"/>
            </w:pPr>
            <w:r>
              <w:rPr>
                <w:b w:val="false"/>
                <w:bCs w:val="false"/>
                <w:color w:val="000000"/>
                <w:sz w:val="18"/>
                <w:szCs w:val="18"/>
              </w:rPr>
              <w:t xml:space="preserve">Protects Azure / AWS / GCP cloud workloads.</w:t>
            </w:r>
          </w:p>
        </w:tc>
        <w:tc>
          <w:tcPr>
            <w:tcW w:type="dxa" w:w="2560"/>
            <w:shd w:fill="EEF2F8" w:val="clear"/>
            <w:tcMar>
              <w:top w:type="dxa" w:w="30"/>
              <w:left w:type="dxa" w:w="70"/>
              <w:bottom w:type="dxa" w:w="30"/>
              <w:right w:type="dxa" w:w="70"/>
            </w:tcMar>
          </w:tcPr>
          <w:p>
            <w:pPr>
              <w:spacing w:after="0"/>
            </w:pPr>
            <w:r>
              <w:rPr>
                <w:b w:val="false"/>
                <w:bCs w:val="false"/>
                <w:color w:val="000000"/>
                <w:sz w:val="18"/>
                <w:szCs w:val="18"/>
              </w:rPr>
              <w:t xml:space="preserve">Not now</w:t>
            </w:r>
          </w:p>
        </w:tc>
      </w:tr>
    </w:tbl>
    <w:p>
      <w:pPr>
        <w:spacing w:after="80" w:before="230"/>
      </w:pPr>
      <w:r>
        <w:rPr>
          <w:b/>
          <w:bCs/>
          <w:color w:val="1F3864"/>
          <w:sz w:val="25"/>
          <w:szCs w:val="25"/>
        </w:rPr>
        <w:t xml:space="preserve">What Defender for Business actually does</w:t>
      </w:r>
    </w:p>
    <w:p>
      <w:pPr>
        <w:pStyle w:val="ListParagraph"/>
        <w:numPr>
          <w:ilvl w:val="0"/>
          <w:numId w:val="1"/>
        </w:numPr>
        <w:spacing w:after="70"/>
      </w:pPr>
      <w:r>
        <w:rPr>
          <w:b/>
          <w:bCs/>
          <w:sz w:val="21"/>
          <w:szCs w:val="21"/>
        </w:rPr>
        <w:t xml:space="preserve">Next-generation antivirus: </w:t>
      </w:r>
      <w:r>
        <w:rPr>
          <w:sz w:val="21"/>
          <w:szCs w:val="21"/>
        </w:rPr>
        <w:t xml:space="preserve">cloud-powered malware protection, stronger than the standalone built-in engine.</w:t>
      </w:r>
    </w:p>
    <w:p>
      <w:pPr>
        <w:pStyle w:val="ListParagraph"/>
        <w:numPr>
          <w:ilvl w:val="0"/>
          <w:numId w:val="1"/>
        </w:numPr>
        <w:spacing w:after="70"/>
      </w:pPr>
      <w:r>
        <w:rPr>
          <w:b/>
          <w:bCs/>
          <w:sz w:val="21"/>
          <w:szCs w:val="21"/>
        </w:rPr>
        <w:t xml:space="preserve">Endpoint detection and response (EDR): </w:t>
      </w:r>
      <w:r>
        <w:rPr>
          <w:sz w:val="21"/>
          <w:szCs w:val="21"/>
        </w:rPr>
        <w:t xml:space="preserve">spots suspicious behavior, raises alerts, and can automatically disrupt an attack.</w:t>
      </w:r>
    </w:p>
    <w:p>
      <w:pPr>
        <w:pStyle w:val="ListParagraph"/>
        <w:numPr>
          <w:ilvl w:val="0"/>
          <w:numId w:val="1"/>
        </w:numPr>
        <w:spacing w:after="70"/>
      </w:pPr>
      <w:r>
        <w:rPr>
          <w:b/>
          <w:bCs/>
          <w:sz w:val="21"/>
          <w:szCs w:val="21"/>
        </w:rPr>
        <w:t xml:space="preserve">Threat and vulnerability management: </w:t>
      </w:r>
      <w:r>
        <w:rPr>
          <w:sz w:val="21"/>
          <w:szCs w:val="21"/>
        </w:rPr>
        <w:t xml:space="preserve">continuously finds weaknesses and misconfigurations across devices.</w:t>
      </w:r>
    </w:p>
    <w:p>
      <w:pPr>
        <w:pStyle w:val="ListParagraph"/>
        <w:numPr>
          <w:ilvl w:val="0"/>
          <w:numId w:val="1"/>
        </w:numPr>
        <w:spacing w:after="70"/>
      </w:pPr>
      <w:r>
        <w:rPr>
          <w:b/>
          <w:bCs/>
          <w:sz w:val="21"/>
          <w:szCs w:val="21"/>
        </w:rPr>
        <w:t xml:space="preserve">Attack surface reduction (ASR): </w:t>
      </w:r>
      <w:r>
        <w:rPr>
          <w:sz w:val="21"/>
          <w:szCs w:val="21"/>
        </w:rPr>
        <w:t xml:space="preserve">blocks common attack techniques (malicious macros, script abuse, credential theft), plus simplified firewall and antivirus setup.</w:t>
      </w:r>
    </w:p>
    <w:p>
      <w:pPr>
        <w:pStyle w:val="ListParagraph"/>
        <w:numPr>
          <w:ilvl w:val="0"/>
          <w:numId w:val="1"/>
        </w:numPr>
        <w:spacing w:after="70"/>
      </w:pPr>
      <w:r>
        <w:rPr>
          <w:b/>
          <w:bCs/>
          <w:sz w:val="21"/>
          <w:szCs w:val="21"/>
        </w:rPr>
        <w:t xml:space="preserve">Automated investigation and remediation: </w:t>
      </w:r>
      <w:r>
        <w:rPr>
          <w:sz w:val="21"/>
          <w:szCs w:val="21"/>
        </w:rPr>
        <w:t xml:space="preserve">investigates alerts and cleans up automatically, with little manual effort.</w:t>
      </w:r>
    </w:p>
    <w:p>
      <w:pPr>
        <w:pStyle w:val="ListParagraph"/>
        <w:numPr>
          <w:ilvl w:val="0"/>
          <w:numId w:val="1"/>
        </w:numPr>
        <w:spacing w:after="70"/>
      </w:pPr>
      <w:r>
        <w:rPr>
          <w:b/>
          <w:bCs/>
          <w:sz w:val="21"/>
          <w:szCs w:val="21"/>
        </w:rPr>
        <w:t xml:space="preserve">Cross-platform: </w:t>
      </w:r>
      <w:r>
        <w:rPr>
          <w:sz w:val="21"/>
          <w:szCs w:val="21"/>
        </w:rPr>
        <w:t xml:space="preserve">covers Windows, Mac, iOS, and Android through an agent or app.</w:t>
      </w:r>
    </w:p>
    <w:p>
      <w:pPr>
        <w:pStyle w:val="ListParagraph"/>
        <w:numPr>
          <w:ilvl w:val="0"/>
          <w:numId w:val="1"/>
        </w:numPr>
        <w:spacing w:after="70"/>
      </w:pPr>
      <w:r>
        <w:rPr>
          <w:b/>
          <w:bCs/>
          <w:sz w:val="21"/>
          <w:szCs w:val="21"/>
        </w:rPr>
        <w:t xml:space="preserve">Guided setup and a central portal: </w:t>
      </w:r>
      <w:r>
        <w:rPr>
          <w:sz w:val="21"/>
          <w:szCs w:val="21"/>
        </w:rPr>
        <w:t xml:space="preserve">wizard-driven onboarding with protective default policies, all managed from one Defender portal so you can see alerts and isolate a compromised laptop in one place.</w:t>
      </w:r>
    </w:p>
    <w:p>
      <w:pPr>
        <w:spacing w:after="120"/>
      </w:pPr>
      <w:r>
        <w:rPr>
          <w:b w:val="false"/>
          <w:bCs w:val="false"/>
          <w:i/>
          <w:iCs/>
          <w:color w:val="666666"/>
          <w:sz w:val="19"/>
          <w:szCs w:val="19"/>
        </w:rPr>
        <w:t xml:space="preserve">It is built for businesses up to 300 users. Protecting servers is a separate add-on.</w:t>
      </w:r>
    </w:p>
    <w:p>
      <w:pPr>
        <w:spacing w:after="80" w:before="230"/>
      </w:pPr>
      <w:r>
        <w:rPr>
          <w:b/>
          <w:bCs/>
          <w:color w:val="1F3864"/>
          <w:sz w:val="25"/>
          <w:szCs w:val="25"/>
        </w:rPr>
        <w:t xml:space="preserve">How we would buy it, and the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060"/>
      </w:tblGrid>
      <w:tr>
        <w:tc>
          <w:tcPr>
            <w:tcW w:type="dxa" w:w="3400"/>
            <w:shd w:fill="1F3864" w:val="clear"/>
            <w:tcMar>
              <w:top w:type="dxa" w:w="30"/>
              <w:left w:type="dxa" w:w="70"/>
              <w:bottom w:type="dxa" w:w="30"/>
              <w:right w:type="dxa" w:w="70"/>
            </w:tcMar>
          </w:tcPr>
          <w:p>
            <w:pPr>
              <w:spacing w:after="0"/>
            </w:pPr>
            <w:r>
              <w:rPr>
                <w:b/>
                <w:bCs/>
                <w:color w:val="FFFFFF"/>
                <w:sz w:val="18"/>
                <w:szCs w:val="18"/>
              </w:rPr>
              <w:t xml:space="preserve">Option</w:t>
            </w:r>
          </w:p>
        </w:tc>
        <w:tc>
          <w:tcPr>
            <w:tcW w:type="dxa" w:w="1900"/>
            <w:shd w:fill="1F3864" w:val="clear"/>
            <w:tcMar>
              <w:top w:type="dxa" w:w="30"/>
              <w:left w:type="dxa" w:w="70"/>
              <w:bottom w:type="dxa" w:w="30"/>
              <w:right w:type="dxa" w:w="70"/>
            </w:tcMar>
          </w:tcPr>
          <w:p>
            <w:pPr>
              <w:spacing w:after="0"/>
            </w:pPr>
            <w:r>
              <w:rPr>
                <w:b/>
                <w:bCs/>
                <w:color w:val="FFFFFF"/>
                <w:sz w:val="18"/>
                <w:szCs w:val="18"/>
              </w:rPr>
              <w:t xml:space="preserve">Price (user/mo)</w:t>
            </w:r>
          </w:p>
        </w:tc>
        <w:tc>
          <w:tcPr>
            <w:tcW w:type="dxa" w:w="4060"/>
            <w:shd w:fill="1F3864" w:val="clear"/>
            <w:tcMar>
              <w:top w:type="dxa" w:w="30"/>
              <w:left w:type="dxa" w:w="70"/>
              <w:bottom w:type="dxa" w:w="30"/>
              <w:right w:type="dxa" w:w="70"/>
            </w:tcMar>
          </w:tcPr>
          <w:p>
            <w:pPr>
              <w:spacing w:after="0"/>
            </w:pPr>
            <w:r>
              <w:rPr>
                <w:b/>
                <w:bCs/>
                <w:color w:val="FFFFFF"/>
                <w:sz w:val="18"/>
                <w:szCs w:val="18"/>
              </w:rPr>
              <w:t xml:space="preserve">Includes</w:t>
            </w:r>
          </w:p>
        </w:tc>
      </w:tr>
      <w:tr>
        <w:tc>
          <w:tcPr>
            <w:tcW w:type="dxa" w:w="3400"/>
            <w:tcMar>
              <w:top w:type="dxa" w:w="30"/>
              <w:left w:type="dxa" w:w="70"/>
              <w:bottom w:type="dxa" w:w="30"/>
              <w:right w:type="dxa" w:w="70"/>
            </w:tcMar>
          </w:tcPr>
          <w:p>
            <w:pPr>
              <w:spacing w:after="0"/>
            </w:pPr>
            <w:r>
              <w:rPr>
                <w:b/>
                <w:bCs/>
                <w:color w:val="000000"/>
                <w:sz w:val="18"/>
                <w:szCs w:val="18"/>
              </w:rPr>
              <w:t xml:space="preserve">Defender for Business (add-on)</w:t>
            </w:r>
          </w:p>
        </w:tc>
        <w:tc>
          <w:tcPr>
            <w:tcW w:type="dxa" w:w="1900"/>
            <w:tcMar>
              <w:top w:type="dxa" w:w="30"/>
              <w:left w:type="dxa" w:w="70"/>
              <w:bottom w:type="dxa" w:w="30"/>
              <w:right w:type="dxa" w:w="70"/>
            </w:tcMar>
          </w:tcPr>
          <w:p>
            <w:pPr>
              <w:spacing w:after="0"/>
            </w:pPr>
            <w:r>
              <w:rPr>
                <w:b w:val="false"/>
                <w:bCs w:val="false"/>
                <w:color w:val="000000"/>
                <w:sz w:val="18"/>
                <w:szCs w:val="18"/>
              </w:rPr>
              <w:t xml:space="preserve">~$3</w:t>
            </w:r>
          </w:p>
        </w:tc>
        <w:tc>
          <w:tcPr>
            <w:tcW w:type="dxa" w:w="4060"/>
            <w:tcMar>
              <w:top w:type="dxa" w:w="30"/>
              <w:left w:type="dxa" w:w="70"/>
              <w:bottom w:type="dxa" w:w="30"/>
              <w:right w:type="dxa" w:w="70"/>
            </w:tcMar>
          </w:tcPr>
          <w:p>
            <w:pPr>
              <w:spacing w:after="0"/>
            </w:pPr>
            <w:r>
              <w:rPr>
                <w:b w:val="false"/>
                <w:bCs w:val="false"/>
                <w:color w:val="000000"/>
                <w:sz w:val="18"/>
                <w:szCs w:val="18"/>
              </w:rPr>
              <w:t xml:space="preserve">Endpoint EDR and the central portal</w:t>
            </w:r>
          </w:p>
        </w:tc>
      </w:tr>
      <w:tr>
        <w:tc>
          <w:tcPr>
            <w:tcW w:type="dxa" w:w="3400"/>
            <w:shd w:fill="EEF2F8" w:val="clear"/>
            <w:tcMar>
              <w:top w:type="dxa" w:w="30"/>
              <w:left w:type="dxa" w:w="70"/>
              <w:bottom w:type="dxa" w:w="30"/>
              <w:right w:type="dxa" w:w="70"/>
            </w:tcMar>
          </w:tcPr>
          <w:p>
            <w:pPr>
              <w:spacing w:after="0"/>
            </w:pPr>
            <w:r>
              <w:rPr>
                <w:b/>
                <w:bCs/>
                <w:color w:val="000000"/>
                <w:sz w:val="18"/>
                <w:szCs w:val="18"/>
              </w:rPr>
              <w:t xml:space="preserve">Defender for Office 365 Plan 1 (add-on)</w:t>
            </w:r>
          </w:p>
        </w:tc>
        <w:tc>
          <w:tcPr>
            <w:tcW w:type="dxa" w:w="1900"/>
            <w:shd w:fill="EEF2F8" w:val="clear"/>
            <w:tcMar>
              <w:top w:type="dxa" w:w="30"/>
              <w:left w:type="dxa" w:w="70"/>
              <w:bottom w:type="dxa" w:w="30"/>
              <w:right w:type="dxa" w:w="70"/>
            </w:tcMar>
          </w:tcPr>
          <w:p>
            <w:pPr>
              <w:spacing w:after="0"/>
            </w:pPr>
            <w:r>
              <w:rPr>
                <w:b w:val="false"/>
                <w:bCs w:val="false"/>
                <w:color w:val="000000"/>
                <w:sz w:val="18"/>
                <w:szCs w:val="18"/>
              </w:rPr>
              <w:t xml:space="preserve">~$2</w:t>
            </w:r>
          </w:p>
        </w:tc>
        <w:tc>
          <w:tcPr>
            <w:tcW w:type="dxa" w:w="4060"/>
            <w:shd w:fill="EEF2F8" w:val="clear"/>
            <w:tcMar>
              <w:top w:type="dxa" w:w="30"/>
              <w:left w:type="dxa" w:w="70"/>
              <w:bottom w:type="dxa" w:w="30"/>
              <w:right w:type="dxa" w:w="70"/>
            </w:tcMar>
          </w:tcPr>
          <w:p>
            <w:pPr>
              <w:spacing w:after="0"/>
            </w:pPr>
            <w:r>
              <w:rPr>
                <w:b w:val="false"/>
                <w:bCs w:val="false"/>
                <w:color w:val="000000"/>
                <w:sz w:val="18"/>
                <w:szCs w:val="18"/>
              </w:rPr>
              <w:t xml:space="preserve">Email and collaboration protection</w:t>
            </w:r>
          </w:p>
        </w:tc>
      </w:tr>
      <w:tr>
        <w:tc>
          <w:tcPr>
            <w:tcW w:type="dxa" w:w="3400"/>
            <w:tcMar>
              <w:top w:type="dxa" w:w="30"/>
              <w:left w:type="dxa" w:w="70"/>
              <w:bottom w:type="dxa" w:w="30"/>
              <w:right w:type="dxa" w:w="70"/>
            </w:tcMar>
          </w:tcPr>
          <w:p>
            <w:pPr>
              <w:spacing w:after="0"/>
            </w:pPr>
            <w:r>
              <w:rPr>
                <w:b/>
                <w:bCs/>
                <w:color w:val="000000"/>
                <w:sz w:val="18"/>
                <w:szCs w:val="18"/>
              </w:rPr>
              <w:t xml:space="preserve">Defender for Office 365 Plan 2 (add-on)</w:t>
            </w:r>
          </w:p>
        </w:tc>
        <w:tc>
          <w:tcPr>
            <w:tcW w:type="dxa" w:w="1900"/>
            <w:tcMar>
              <w:top w:type="dxa" w:w="30"/>
              <w:left w:type="dxa" w:w="70"/>
              <w:bottom w:type="dxa" w:w="30"/>
              <w:right w:type="dxa" w:w="70"/>
            </w:tcMar>
          </w:tcPr>
          <w:p>
            <w:pPr>
              <w:spacing w:after="0"/>
            </w:pPr>
            <w:r>
              <w:rPr>
                <w:b w:val="false"/>
                <w:bCs w:val="false"/>
                <w:color w:val="000000"/>
                <w:sz w:val="18"/>
                <w:szCs w:val="18"/>
              </w:rPr>
              <w:t xml:space="preserve">~$5</w:t>
            </w:r>
          </w:p>
        </w:tc>
        <w:tc>
          <w:tcPr>
            <w:tcW w:type="dxa" w:w="4060"/>
            <w:tcMar>
              <w:top w:type="dxa" w:w="30"/>
              <w:left w:type="dxa" w:w="70"/>
              <w:bottom w:type="dxa" w:w="30"/>
              <w:right w:type="dxa" w:w="70"/>
            </w:tcMar>
          </w:tcPr>
          <w:p>
            <w:pPr>
              <w:spacing w:after="0"/>
            </w:pPr>
            <w:r>
              <w:rPr>
                <w:b w:val="false"/>
                <w:bCs w:val="false"/>
                <w:color w:val="000000"/>
                <w:sz w:val="18"/>
                <w:szCs w:val="18"/>
              </w:rPr>
              <w:t xml:space="preserve">Plan 1 plus threat hunting and phishing simulation</w:t>
            </w:r>
          </w:p>
        </w:tc>
      </w:tr>
      <w:tr>
        <w:tc>
          <w:tcPr>
            <w:tcW w:type="dxa" w:w="3400"/>
            <w:shd w:fill="EEF2F8" w:val="clear"/>
            <w:tcMar>
              <w:top w:type="dxa" w:w="30"/>
              <w:left w:type="dxa" w:w="70"/>
              <w:bottom w:type="dxa" w:w="30"/>
              <w:right w:type="dxa" w:w="70"/>
            </w:tcMar>
          </w:tcPr>
          <w:p>
            <w:pPr>
              <w:spacing w:after="0"/>
            </w:pPr>
            <w:r>
              <w:rPr>
                <w:b/>
                <w:bCs/>
                <w:color w:val="000000"/>
                <w:sz w:val="18"/>
                <w:szCs w:val="18"/>
              </w:rPr>
              <w:t xml:space="preserve">Microsoft 365 Business Premium</w:t>
            </w:r>
          </w:p>
        </w:tc>
        <w:tc>
          <w:tcPr>
            <w:tcW w:type="dxa" w:w="1900"/>
            <w:shd w:fill="EEF2F8" w:val="clear"/>
            <w:tcMar>
              <w:top w:type="dxa" w:w="30"/>
              <w:left w:type="dxa" w:w="70"/>
              <w:bottom w:type="dxa" w:w="30"/>
              <w:right w:type="dxa" w:w="70"/>
            </w:tcMar>
          </w:tcPr>
          <w:p>
            <w:pPr>
              <w:spacing w:after="0"/>
            </w:pPr>
            <w:r>
              <w:rPr>
                <w:b w:val="false"/>
                <w:bCs w:val="false"/>
                <w:color w:val="000000"/>
                <w:sz w:val="18"/>
                <w:szCs w:val="18"/>
              </w:rPr>
              <w:t xml:space="preserve">$22</w:t>
            </w:r>
          </w:p>
        </w:tc>
        <w:tc>
          <w:tcPr>
            <w:tcW w:type="dxa" w:w="4060"/>
            <w:shd w:fill="EEF2F8" w:val="clear"/>
            <w:tcMar>
              <w:top w:type="dxa" w:w="30"/>
              <w:left w:type="dxa" w:w="70"/>
              <w:bottom w:type="dxa" w:w="30"/>
              <w:right w:type="dxa" w:w="70"/>
            </w:tcMar>
          </w:tcPr>
          <w:p>
            <w:pPr>
              <w:spacing w:after="0"/>
            </w:pPr>
            <w:r>
              <w:rPr>
                <w:b w:val="false"/>
                <w:bCs w:val="false"/>
                <w:color w:val="000000"/>
                <w:sz w:val="18"/>
                <w:szCs w:val="18"/>
              </w:rPr>
              <w:t xml:space="preserve">Defender for Business + Office 365 Plan 1 + Office apps + Intune device management + Entra ID P1</w:t>
            </w:r>
          </w:p>
        </w:tc>
      </w:tr>
    </w:tbl>
    <w:p>
      <w:pPr>
        <w:spacing w:after="120"/>
      </w:pPr>
      <w:r>
        <w:rPr>
          <w:b w:val="false"/>
          <w:bCs w:val="false"/>
          <w:i w:val="false"/>
          <w:iCs w:val="false"/>
          <w:sz w:val="22"/>
          <w:szCs w:val="22"/>
        </w:rPr>
        <w:t xml:space="preserve">The core choice: add the two pieces to our current plan (Defender for Business plus Defender for Office 365 Plan 1, roughly $5 per user per month on top of what we pay now), or upgrade everyone to Microsoft 365 Business Premium at $22, which bundles both plus Intune device management and identity protection. For a bring-your-own-device firm with no device management today, Business Premium is usually the better value, because Intune (what lets us actually enforce baseline security and onboard devices) comes included rather than as yet another add-on.</w:t>
      </w:r>
    </w:p>
    <w:p>
      <w:pPr>
        <w:spacing w:after="120"/>
      </w:pPr>
      <w:r>
        <w:rPr>
          <w:b w:val="false"/>
          <w:bCs w:val="false"/>
          <w:i w:val="false"/>
          <w:iCs w:val="false"/>
          <w:sz w:val="22"/>
          <w:szCs w:val="22"/>
        </w:rPr>
        <w:t xml:space="preserve">One timing note: as of July 1, 2026 Microsoft is adding Defender for Office 365 Plan 1 (and some Intune capability) to Business Standard for about a $3 per user increase, applied at each customer's next renewal. So if we are on or move to Business Standard, email protection may already be included or coming soon. Check this before buying it separately.</w:t>
      </w:r>
    </w:p>
    <w:p>
      <w:pPr>
        <w:spacing w:after="80" w:before="230"/>
      </w:pPr>
      <w:r>
        <w:rPr>
          <w:b/>
          <w:bCs/>
          <w:color w:val="1F3864"/>
          <w:sz w:val="25"/>
          <w:szCs w:val="25"/>
        </w:rPr>
        <w:t xml:space="preserve">What to prioritize</w:t>
      </w:r>
    </w:p>
    <w:p>
      <w:pPr>
        <w:pStyle w:val="ListParagraph"/>
        <w:numPr>
          <w:ilvl w:val="0"/>
          <w:numId w:val="1"/>
        </w:numPr>
        <w:spacing w:after="70"/>
      </w:pPr>
      <w:r>
        <w:rPr>
          <w:b/>
          <w:bCs/>
          <w:sz w:val="21"/>
          <w:szCs w:val="21"/>
        </w:rPr>
        <w:t xml:space="preserve">Email protection first. </w:t>
      </w:r>
      <w:r>
        <w:rPr>
          <w:sz w:val="21"/>
          <w:szCs w:val="21"/>
        </w:rPr>
        <w:t xml:space="preserve">Phishing and business email compromise are the top attack vector, so Defender for Office 365 (Safe Links, Safe Attachments, anti-phishing) is the highest risk reduction per dollar. Confirm whether the July 2026 change already covers it.</w:t>
      </w:r>
    </w:p>
    <w:p>
      <w:pPr>
        <w:pStyle w:val="ListParagraph"/>
        <w:numPr>
          <w:ilvl w:val="0"/>
          <w:numId w:val="1"/>
        </w:numPr>
        <w:spacing w:after="70"/>
      </w:pPr>
      <w:r>
        <w:rPr>
          <w:b/>
          <w:bCs/>
          <w:sz w:val="21"/>
          <w:szCs w:val="21"/>
        </w:rPr>
        <w:t xml:space="preserve">Endpoint EDR and central visibility over standalone antivirus. </w:t>
      </w:r>
      <w:r>
        <w:rPr>
          <w:sz w:val="21"/>
          <w:szCs w:val="21"/>
        </w:rPr>
        <w:t xml:space="preserve">The real gain is the single portal to see alerts, isolate a compromised machine, and auto-remediate, rather than per-machine antivirus with no shared view.</w:t>
      </w:r>
    </w:p>
    <w:p>
      <w:pPr>
        <w:pStyle w:val="ListParagraph"/>
        <w:numPr>
          <w:ilvl w:val="0"/>
          <w:numId w:val="1"/>
        </w:numPr>
        <w:spacing w:after="70"/>
      </w:pPr>
      <w:r>
        <w:rPr>
          <w:b/>
          <w:bCs/>
          <w:sz w:val="21"/>
          <w:szCs w:val="21"/>
        </w:rPr>
        <w:t xml:space="preserve">Turn on ASR rules and automated remediation. </w:t>
      </w:r>
      <w:r>
        <w:rPr>
          <w:sz w:val="21"/>
          <w:szCs w:val="21"/>
        </w:rPr>
        <w:t xml:space="preserve">Largely set-and-benefit: high impact, low ongoing effort for a small team.</w:t>
      </w:r>
    </w:p>
    <w:p>
      <w:pPr>
        <w:pStyle w:val="ListParagraph"/>
        <w:numPr>
          <w:ilvl w:val="0"/>
          <w:numId w:val="1"/>
        </w:numPr>
        <w:spacing w:after="70"/>
      </w:pPr>
      <w:r>
        <w:rPr>
          <w:b/>
          <w:bCs/>
          <w:sz w:val="21"/>
          <w:szCs w:val="21"/>
        </w:rPr>
        <w:t xml:space="preserve">Use Intune for device policy. </w:t>
      </w:r>
      <w:r>
        <w:rPr>
          <w:sz w:val="21"/>
          <w:szCs w:val="21"/>
        </w:rPr>
        <w:t xml:space="preserve">With bring-your-own-device across Windows and Mac, device management is what lets us enforce a baseline and onboard devices. This is the strongest argument for Business Premium over piecemeal add-ons.</w:t>
      </w:r>
    </w:p>
    <w:p>
      <w:pPr>
        <w:spacing w:after="80" w:before="230"/>
      </w:pPr>
      <w:r>
        <w:rPr>
          <w:b/>
          <w:bCs/>
          <w:color w:val="1F3864"/>
          <w:sz w:val="25"/>
          <w:szCs w:val="25"/>
        </w:rPr>
        <w:t xml:space="preserve">Caveats</w:t>
      </w:r>
    </w:p>
    <w:p>
      <w:pPr>
        <w:pStyle w:val="ListParagraph"/>
        <w:numPr>
          <w:ilvl w:val="0"/>
          <w:numId w:val="1"/>
        </w:numPr>
        <w:spacing w:after="70"/>
      </w:pPr>
      <w:r>
        <w:rPr>
          <w:sz w:val="21"/>
          <w:szCs w:val="21"/>
        </w:rPr>
        <w:t xml:space="preserve">Mac and BYOD: non-Windows devices use an app-based agent; coverage is real but some Windows-only hardware protections do not apply, and personal-device enrollment raises privacy considerations that Intune app management can help with but needs employee buy-in.</w:t>
      </w:r>
    </w:p>
    <w:p>
      <w:pPr>
        <w:pStyle w:val="ListParagraph"/>
        <w:numPr>
          <w:ilvl w:val="0"/>
          <w:numId w:val="1"/>
        </w:numPr>
        <w:spacing w:after="70"/>
      </w:pPr>
      <w:r>
        <w:rPr>
          <w:sz w:val="21"/>
          <w:szCs w:val="21"/>
        </w:rPr>
        <w:t xml:space="preserve">Someone has to run it: the Defender portal needs an owner to triage alerts and tune settings. A firm our size should plan for internal ownership or a managed provider (Defender for Business supports partner management).</w:t>
      </w:r>
    </w:p>
    <w:p>
      <w:pPr>
        <w:pStyle w:val="ListParagraph"/>
        <w:numPr>
          <w:ilvl w:val="0"/>
          <w:numId w:val="1"/>
        </w:numPr>
        <w:spacing w:after="70"/>
      </w:pPr>
      <w:r>
        <w:rPr>
          <w:sz w:val="21"/>
          <w:szCs w:val="21"/>
        </w:rPr>
        <w:t xml:space="preserve">Licensing: the standalone add-on needs an eligible base plan and is capped at 300 users; server protection is separate.</w:t>
      </w:r>
    </w:p>
    <w:p>
      <w:pPr>
        <w:pStyle w:val="ListParagraph"/>
        <w:numPr>
          <w:ilvl w:val="0"/>
          <w:numId w:val="1"/>
        </w:numPr>
        <w:spacing w:after="70"/>
      </w:pPr>
      <w:r>
        <w:rPr>
          <w:sz w:val="21"/>
          <w:szCs w:val="21"/>
        </w:rPr>
        <w:t xml:space="preserve">Pricing moves: the July 2026 packaging changes are rolling out now, so confirm current pricing and bundle contents with Microsoft or a partner before purchase.</w:t>
      </w:r>
    </w:p>
    <w:p>
      <w:pPr>
        <w:spacing w:after="80" w:before="230"/>
      </w:pPr>
      <w:r>
        <w:rPr>
          <w:b/>
          <w:bCs/>
          <w:color w:val="1F3864"/>
          <w:sz w:val="25"/>
          <w:szCs w:val="25"/>
        </w:rPr>
        <w:t xml:space="preserve">Bottom line</w:t>
      </w:r>
    </w:p>
    <w:p>
      <w:pPr>
        <w:spacing w:after="120"/>
      </w:pPr>
      <w:r>
        <w:rPr>
          <w:b w:val="false"/>
          <w:bCs w:val="false"/>
          <w:i w:val="false"/>
          <w:iCs w:val="false"/>
          <w:sz w:val="22"/>
          <w:szCs w:val="22"/>
        </w:rPr>
        <w:t xml:space="preserve">For about 30 people with no device management in place today, Microsoft 365 Business Premium ($22 per user per month) is likely the cleanest path: it puts endpoint EDR, email protection, device management, and identity in one place. If budget is tight and email protection is already covered by the Business Standard change, adding Defender for Business on its own (about $3 per user per month) is the minimum step to gain EDR and central visibility beyond the free built-in antivirus.</w:t>
      </w:r>
    </w:p>
    <w:p>
      <w:pPr>
        <w:pBdr>
          <w:top w:val="single" w:color="CCCCCC" w:sz="6" w:space="6"/>
        </w:pBdr>
        <w:spacing w:after="0" w:before="200"/>
      </w:pPr>
      <w:r>
        <w:rPr>
          <w:sz w:val="2"/>
          <w:szCs w:val="2"/>
        </w:rPr>
        <w:t xml:space="preserve"/>
      </w:r>
    </w:p>
    <w:p>
      <w:pPr>
        <w:spacing w:after="120"/>
      </w:pPr>
      <w:r>
        <w:rPr>
          <w:b w:val="false"/>
          <w:bCs w:val="false"/>
          <w:i/>
          <w:iCs/>
          <w:color w:val="888888"/>
          <w:sz w:val="16"/>
          <w:szCs w:val="16"/>
        </w:rPr>
        <w:t xml:space="preserve">Sources (as of 2026): learn.microsoft.com/defender-business/mdb-overview · microsoft.com/security/business/siem-and-xdr/microsoft-defender-office-365 · microsoft.com/security/small-medium-business/microsoft-defender-suite-business-premium · microsoft.com/licensing/news/2026-m365-packaging-pricing-updates. Prices are list rates and change frequently; confirm with Microsoft or a CSP before purchase.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2026-07-15T20:57:47.678Z</dcterms:created>
  <dcterms:modified xsi:type="dcterms:W3CDTF">2026-07-15T20:57:47.678Z</dcterms:modified>
</cp:coreProperties>
</file>

<file path=docProps/custom.xml><?xml version="1.0" encoding="utf-8"?>
<Properties xmlns="http://schemas.openxmlformats.org/officeDocument/2006/custom-properties" xmlns:vt="http://schemas.openxmlformats.org/officeDocument/2006/docPropsVTypes"/>
</file>