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4"/>
          <w:szCs w:val="34"/>
        </w:rPr>
        <w:t xml:space="preserve">Executive Salary Surveys — Final Consolidated Position</w:t>
      </w:r>
    </w:p>
    <w:p>
      <w:pPr>
        <w:pBdr>
          <w:bottom w:val="single" w:color="1F3864" w:sz="6" w:space="2"/>
        </w:pBdr>
        <w:spacing w:after="160"/>
      </w:pPr>
      <w:r>
        <w:rPr>
          <w:color w:val="555555"/>
          <w:sz w:val="22"/>
          <w:szCs w:val="22"/>
        </w:rPr>
        <w:t xml:space="preserve">Semantic Arts  •  President, COO &amp; CEO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716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JT Metcalf, COO, Semantic Arts</w:t>
            </w:r>
          </w:p>
        </w:tc>
      </w:tr>
      <w:tr>
        <w:tc>
          <w:tcPr>
            <w:tcW w:type="dxa" w:w="2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16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Otto</w:t>
            </w:r>
          </w:p>
        </w:tc>
      </w:tr>
      <w:tr>
        <w:tc>
          <w:tcPr>
            <w:tcW w:type="dxa" w:w="2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June 29, 2026</w:t>
            </w:r>
          </w:p>
        </w:tc>
      </w:tr>
      <w:tr>
        <w:tc>
          <w:tcPr>
            <w:tcW w:type="dxa" w:w="2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716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Initial aggregator pass and grounded-position memo (both retained for the audit trail)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Bottom Line Up Front</w:t>
      </w:r>
    </w:p>
    <w:p>
      <w:pPr>
        <w:spacing w:after="120"/>
      </w:pPr>
      <w:r>
        <w:t xml:space="preserve">After triangulating six independent sources — BLS actual-wage data (two release years), Salary.com, Payscale, ZipRecruiter, Glassdoor, and private-company survey commentary — and adjusting for Semantic Arts' competitive benefits, the defensible total-cash (base + bonus) position for these three overhead executive roles at a ~30-person, $5–10M-revenue specialist professional-services firm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74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25th</w:t>
            </w:r>
          </w:p>
        </w:tc>
        <w:tc>
          <w:tcPr>
            <w:tcW w:type="dxa" w:w="174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50th (median)</w:t>
            </w:r>
          </w:p>
        </w:tc>
        <w:tc>
          <w:tcPr>
            <w:tcW w:type="dxa" w:w="174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75th</w:t>
            </w:r>
          </w:p>
        </w:tc>
        <w:tc>
          <w:tcPr>
            <w:tcW w:type="dxa" w:w="174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Planning point*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CEO</w:t>
            </w:r>
          </w:p>
        </w:tc>
        <w:tc>
          <w:tcPr>
            <w:tcW w:type="dxa" w:w="174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$185K</w:t>
            </w:r>
          </w:p>
        </w:tc>
        <w:tc>
          <w:tcPr>
            <w:tcW w:type="dxa" w:w="174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$230K</w:t>
            </w:r>
          </w:p>
        </w:tc>
        <w:tc>
          <w:tcPr>
            <w:tcW w:type="dxa" w:w="174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$285K</w:t>
            </w:r>
          </w:p>
        </w:tc>
        <w:tc>
          <w:tcPr>
            <w:tcW w:type="dxa" w:w="174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~$225K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President</w:t>
            </w:r>
          </w:p>
        </w:tc>
        <w:tc>
          <w:tcPr>
            <w:tcW w:type="dxa" w:w="174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$170K</w:t>
            </w:r>
          </w:p>
        </w:tc>
        <w:tc>
          <w:tcPr>
            <w:tcW w:type="dxa" w:w="174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$210K</w:t>
            </w:r>
          </w:p>
        </w:tc>
        <w:tc>
          <w:tcPr>
            <w:tcW w:type="dxa" w:w="174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$265K</w:t>
            </w:r>
          </w:p>
        </w:tc>
        <w:tc>
          <w:tcPr>
            <w:tcW w:type="dxa" w:w="174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~$205K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COO</w:t>
            </w:r>
          </w:p>
        </w:tc>
        <w:tc>
          <w:tcPr>
            <w:tcW w:type="dxa" w:w="174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$150K</w:t>
            </w:r>
          </w:p>
        </w:tc>
        <w:tc>
          <w:tcPr>
            <w:tcW w:type="dxa" w:w="174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$185K</w:t>
            </w:r>
          </w:p>
        </w:tc>
        <w:tc>
          <w:tcPr>
            <w:tcW w:type="dxa" w:w="174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$240K</w:t>
            </w:r>
          </w:p>
        </w:tc>
        <w:tc>
          <w:tcPr>
            <w:tcW w:type="dxa" w:w="174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~$185K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*Planning point already reflects a ~5% downward adjustment for the firm's above-market benefits (see Section 3). Hierarchy preserved: CEO &gt; President &gt; COO.</w:t>
      </w:r>
    </w:p>
    <w:p>
      <w:pPr>
        <w:spacing w:after="120"/>
      </w:pPr>
      <w:r>
        <w:rPr>
          <w:sz w:val="20"/>
          <w:szCs w:val="20"/>
        </w:rPr>
        <w:t xml:space="preserve">These are 3–8% below the grounded memo and 22–30% below the original aggregator pass — the convergence reflects better sources, the newest BLS data, and the benefits offset.</w:t>
      </w:r>
    </w:p>
    <w:p>
      <w:pPr>
        <w:pStyle w:val="Heading1"/>
      </w:pPr>
      <w:r>
        <w:t xml:space="preserve">1. Evidence Base — Multi-Source Triangulation</w:t>
      </w:r>
    </w:p>
    <w:p>
      <w:pPr>
        <w:spacing w:after="120"/>
      </w:pPr>
      <w:r>
        <w:t xml:space="preserve">The sources disagree widely because they sample different populations. The discipline is to identify which population matches Semantic Arts (privately held, $5–10M, specialist, non-billable overhead roles) and discount the outliers.</w:t>
      </w:r>
    </w:p>
    <w:p>
      <w:pPr>
        <w:pStyle w:val="Heading2"/>
      </w:pPr>
      <w:r>
        <w:t xml:space="preserve">CEO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2660"/>
        <w:gridCol w:w="1800"/>
      </w:tblGrid>
      <w:tr>
        <w:trPr>
          <w:tblHeader/>
        </w:trPr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Figure</w:t>
            </w:r>
          </w:p>
        </w:tc>
        <w:tc>
          <w:tcPr>
            <w:tcW w:type="dxa" w:w="266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Population reflected</w:t>
            </w:r>
          </w:p>
        </w:tc>
        <w:tc>
          <w:tcPr>
            <w:tcW w:type="dxa" w:w="18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BLS OEWS Chief Executives, May 2025 (national median)</w:t>
            </w:r>
          </w:p>
        </w:tc>
        <w:tc>
          <w:tcPr>
            <w:tcW w:type="dxa" w:w="1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$192,160</w:t>
            </w:r>
          </w:p>
        </w:tc>
        <w:tc>
          <w:tcPr>
            <w:tcW w:type="dxa" w:w="266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employers, actual paid wages</w:t>
            </w:r>
          </w:p>
        </w:tc>
        <w:tc>
          <w:tcPr>
            <w:tcW w:type="dxa" w:w="18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 — best anchor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BLS OEWS Chief Executives, May 2023 (median / mean)</w:t>
            </w:r>
          </w:p>
        </w:tc>
        <w:tc>
          <w:tcPr>
            <w:tcW w:type="dxa" w:w="1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$206,680 / $258,900</w:t>
            </w:r>
          </w:p>
        </w:tc>
        <w:tc>
          <w:tcPr>
            <w:tcW w:type="dxa" w:w="266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employers</w:t>
            </w:r>
          </w:p>
        </w:tc>
        <w:tc>
          <w:tcPr>
            <w:tcW w:type="dxa" w:w="18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BLS Mgmt/Sci/Tech Consulting (NAICS 541600), CE mean</w:t>
            </w:r>
          </w:p>
        </w:tc>
        <w:tc>
          <w:tcPr>
            <w:tcW w:type="dxa" w:w="1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$274,920</w:t>
            </w:r>
          </w:p>
        </w:tc>
        <w:tc>
          <w:tcPr>
            <w:tcW w:type="dxa" w:w="266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Consulting industry, mean (big-firm skew)</w:t>
            </w:r>
          </w:p>
        </w:tc>
        <w:tc>
          <w:tcPr>
            <w:tcW w:type="dxa" w:w="18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 — upper bound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ZipRecruiter “Small Business CEO” (25th–75th)</w:t>
            </w:r>
          </w:p>
        </w:tc>
        <w:tc>
          <w:tcPr>
            <w:tcW w:type="dxa" w:w="1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$81K–$121K</w:t>
            </w:r>
          </w:p>
        </w:tc>
        <w:tc>
          <w:tcPr>
            <w:tcW w:type="dxa" w:w="266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Micro-businesses / owner-operators</w:t>
            </w:r>
          </w:p>
        </w:tc>
        <w:tc>
          <w:tcPr>
            <w:tcW w:type="dxa" w:w="18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 — too small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Chief Executive Group, private mid-market CEO base</w:t>
            </w:r>
          </w:p>
        </w:tc>
        <w:tc>
          <w:tcPr>
            <w:tcW w:type="dxa" w:w="1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~$325K–$336K</w:t>
            </w:r>
          </w:p>
        </w:tc>
        <w:tc>
          <w:tcPr>
            <w:tcW w:type="dxa" w:w="266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$50M+ private firms</w:t>
            </w:r>
          </w:p>
        </w:tc>
        <w:tc>
          <w:tcPr>
            <w:tcW w:type="dxa" w:w="18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 — too large</w:t>
            </w:r>
          </w:p>
        </w:tc>
      </w:tr>
    </w:tbl>
    <w:p>
      <w:pPr>
        <w:spacing w:after="120"/>
      </w:pPr>
      <w:r>
        <w:rPr>
          <w:b/>
          <w:bCs/>
        </w:rPr>
        <w:t xml:space="preserve">Read: </w:t>
      </w:r>
      <w:r>
        <w:t xml:space="preserve">Our firm sits above the micro-business aggregators and below mid-market. The BLS national median (~$192K–$207K) is the right center, with the consulting-industry mean (~$275K) as the ceiling for an aggressive position.</w:t>
      </w:r>
    </w:p>
    <w:p>
      <w:pPr>
        <w:pStyle w:val="Heading2"/>
      </w:pPr>
      <w:r>
        <w:t xml:space="preserve">President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60"/>
        <w:gridCol w:w="3300"/>
      </w:tblGrid>
      <w:tr>
        <w:trPr>
          <w:tblHeader/>
        </w:trPr>
        <w:tc>
          <w:tcPr>
            <w:tcW w:type="dxa" w:w="4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6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Figure</w:t>
            </w:r>
          </w:p>
        </w:tc>
        <w:tc>
          <w:tcPr>
            <w:tcW w:type="dxa" w:w="33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Payscale, “President” (avg)</w:t>
            </w:r>
          </w:p>
        </w:tc>
        <w:tc>
          <w:tcPr>
            <w:tcW w:type="dxa" w:w="186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~$173K</w:t>
            </w:r>
          </w:p>
        </w:tc>
        <w:tc>
          <w:tcPr>
            <w:tcW w:type="dxa" w:w="33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Broad, all sizes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Payscale, “President &amp; CEO” (avg)</w:t>
            </w:r>
          </w:p>
        </w:tc>
        <w:tc>
          <w:tcPr>
            <w:tcW w:type="dxa" w:w="186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~$190K</w:t>
            </w:r>
          </w:p>
        </w:tc>
        <w:tc>
          <w:tcPr>
            <w:tcW w:type="dxa" w:w="33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Combined-title roles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Payscale, entry-level President (&lt;1 yr) total comp</w:t>
            </w:r>
          </w:p>
        </w:tc>
        <w:tc>
          <w:tcPr>
            <w:tcW w:type="dxa" w:w="186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~$106K</w:t>
            </w:r>
          </w:p>
        </w:tc>
        <w:tc>
          <w:tcPr>
            <w:tcW w:type="dxa" w:w="33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Relevant: she is &lt;1 yr in role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BLS General &amp; Operations Managers, May 2025 median</w:t>
            </w:r>
          </w:p>
        </w:tc>
        <w:tc>
          <w:tcPr>
            <w:tcW w:type="dxa" w:w="186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~$111K</w:t>
            </w:r>
          </w:p>
        </w:tc>
        <w:tc>
          <w:tcPr>
            <w:tcW w:type="dxa" w:w="33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Lower proxy for operating-exec roles</w:t>
            </w:r>
          </w:p>
        </w:tc>
      </w:tr>
    </w:tbl>
    <w:p>
      <w:pPr>
        <w:spacing w:after="120"/>
      </w:pPr>
      <w:r>
        <w:rPr>
          <w:b/>
          <w:bCs/>
        </w:rPr>
        <w:t xml:space="preserve">Read: </w:t>
      </w:r>
      <w:r>
        <w:t xml:space="preserve">President benchmarks just below CEO. Her sub-1-year tenure pulls toward the lower half of the range today, with a path upward as she establishes the role.</w:t>
      </w:r>
    </w:p>
    <w:p>
      <w:pPr>
        <w:pStyle w:val="Heading2"/>
      </w:pPr>
      <w:r>
        <w:t xml:space="preserve">COO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60"/>
        <w:gridCol w:w="3300"/>
      </w:tblGrid>
      <w:tr>
        <w:trPr>
          <w:tblHeader/>
        </w:trPr>
        <w:tc>
          <w:tcPr>
            <w:tcW w:type="dxa" w:w="36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46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25th–75th (or avg)</w:t>
            </w:r>
          </w:p>
        </w:tc>
        <w:tc>
          <w:tcPr>
            <w:tcW w:type="dxa" w:w="33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Population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ZipRecruiter, COO</w:t>
            </w:r>
          </w:p>
        </w:tc>
        <w:tc>
          <w:tcPr>
            <w:tcW w:type="dxa" w:w="246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$111K–$185K</w:t>
            </w:r>
          </w:p>
        </w:tc>
        <w:tc>
          <w:tcPr>
            <w:tcW w:type="dxa" w:w="33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Broad, incl. small firms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Glassdoor, COO</w:t>
            </w:r>
          </w:p>
        </w:tc>
        <w:tc>
          <w:tcPr>
            <w:tcW w:type="dxa" w:w="246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$236K–$440K</w:t>
            </w:r>
          </w:p>
        </w:tc>
        <w:tc>
          <w:tcPr>
            <w:tcW w:type="dxa" w:w="33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Larger / higher-cost-metro skew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Salary.com, COO (avg)</w:t>
            </w:r>
          </w:p>
        </w:tc>
        <w:tc>
          <w:tcPr>
            <w:tcW w:type="dxa" w:w="246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~$467K</w:t>
            </w:r>
          </w:p>
        </w:tc>
        <w:tc>
          <w:tcPr>
            <w:tcW w:type="dxa" w:w="33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Enterprise-skewed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BLS General &amp; Operations Managers (median)</w:t>
            </w:r>
          </w:p>
        </w:tc>
        <w:tc>
          <w:tcPr>
            <w:tcW w:type="dxa" w:w="246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~$111K</w:t>
            </w:r>
          </w:p>
        </w:tc>
        <w:tc>
          <w:tcPr>
            <w:tcW w:type="dxa" w:w="33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Broad ops-manager pool</w:t>
            </w:r>
          </w:p>
        </w:tc>
      </w:tr>
    </w:tbl>
    <w:p>
      <w:pPr>
        <w:spacing w:after="120"/>
      </w:pPr>
      <w:r>
        <w:rPr>
          <w:b/>
          <w:bCs/>
        </w:rPr>
        <w:t xml:space="preserve">Read: </w:t>
      </w:r>
      <w:r>
        <w:t xml:space="preserve">The COO sources are the noisiest. Removing the enterprise outliers (Salary.com, Glassdoor), the small-firm-relevant cluster (ZipRecruiter + BLS G&amp;OM) centers around $150K–$200K for a broad-scope COO at a firm this size.</w:t>
      </w:r>
    </w:p>
    <w:p>
      <w:pPr>
        <w:pStyle w:val="Heading1"/>
      </w:pPr>
      <w:r>
        <w:t xml:space="preserve">2. Why the BLS Median Got Lower, Not Higher</w:t>
      </w:r>
    </w:p>
    <w:p>
      <w:pPr>
        <w:spacing w:after="120"/>
      </w:pPr>
      <w:r>
        <w:t xml:space="preserve">The BLS Chief Executive median fell from $206,680 (May 2023) to $192,160 (May 2025), while reported employment in the occupation jumped from ~211,000 to ~671,000. That roughly 3x jump signals a classification/scope change that pulled many more small-organization chief executives into the count — which lowered the median. For our purposes this is confirming evidence: when the data captures more small-firm CEOs (our peer set), the central figure lands near $190K, not the $300K+ the commercial “C-suite” aggregators imply.</w:t>
      </w:r>
    </w:p>
    <w:p>
      <w:pPr>
        <w:pStyle w:val="Heading1"/>
      </w:pPr>
      <w:r>
        <w:t xml:space="preserve">3. Benefits / Total-Rewards Offset</w:t>
      </w:r>
    </w:p>
    <w:p>
      <w:pPr>
        <w:spacing w:after="120"/>
      </w:pPr>
      <w:r>
        <w:t xml:space="preserve">Semantic Arts' benefits are above market (unlimited PTO, device-purchase assistance, low-employee-cost insurance). Because candidates evaluate total reward, a richer benefits package lets cash sit modestly below the market-median cash figure while keeping total reward at or above market. Quantifying the differentiated value (above a typical package):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0"/>
        <w:gridCol w:w="2700"/>
      </w:tblGrid>
      <w:tr>
        <w:trPr>
          <w:tblHeader/>
        </w:trPr>
        <w:tc>
          <w:tcPr>
            <w:tcW w:type="dxa" w:w="666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Est. annual value premium</w:t>
            </w:r>
          </w:p>
        </w:tc>
      </w:tr>
      <w:tr>
        <w:trPr>
          <w:tblHeader w:val="false"/>
        </w:trPr>
        <w:tc>
          <w:tcPr>
            <w:tcW w:type="dxa" w:w="666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Low-employee-cost health insurance (higher employer premium share)</w:t>
            </w:r>
          </w:p>
        </w:tc>
        <w:tc>
          <w:tcPr>
            <w:tcW w:type="dxa" w:w="2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~$8K–$16K (single→family)</w:t>
            </w:r>
          </w:p>
        </w:tc>
      </w:tr>
      <w:tr>
        <w:trPr>
          <w:tblHeader w:val="false"/>
        </w:trPr>
        <w:tc>
          <w:tcPr>
            <w:tcW w:type="dxa" w:w="666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Unlimited PTO vs. a standard 15–20 day plan</w:t>
            </w:r>
          </w:p>
        </w:tc>
        <w:tc>
          <w:tcPr>
            <w:tcW w:type="dxa" w:w="2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~$3K–$5K (notional)</w:t>
            </w:r>
          </w:p>
        </w:tc>
      </w:tr>
      <w:tr>
        <w:trPr>
          <w:tblHeader w:val="false"/>
        </w:trPr>
        <w:tc>
          <w:tcPr>
            <w:tcW w:type="dxa" w:w="666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Device-purchase assistance + other perks</w:t>
            </w:r>
          </w:p>
        </w:tc>
        <w:tc>
          <w:tcPr>
            <w:tcW w:type="dxa" w:w="2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~$1K–$3K</w:t>
            </w:r>
          </w:p>
        </w:tc>
      </w:tr>
      <w:tr>
        <w:trPr>
          <w:tblHeader w:val="false"/>
        </w:trPr>
        <w:tc>
          <w:tcPr>
            <w:tcW w:type="dxa" w:w="666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differentiated benefit premium</w:t>
            </w:r>
          </w:p>
        </w:tc>
        <w:tc>
          <w:tcPr>
            <w:tcW w:type="dxa" w:w="2700"/>
            <w:tcBorders>
              <w:top w:val="single" w:color="B7C3D0" w:sz="1"/>
              <w:left w:val="single" w:color="B7C3D0" w:sz="1"/>
              <w:bottom w:val="single" w:color="B7C3D0" w:sz="1"/>
              <w:right w:val="single" w:color="B7C3D0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~$12K–$24K</w:t>
            </w:r>
          </w:p>
        </w:tc>
      </w:tr>
    </w:tbl>
    <w:p>
      <w:pPr>
        <w:spacing w:after="120"/>
      </w:pPr>
      <w:r>
        <w:t xml:space="preserve">Against a ~$200K–$230K cash package, that premium is roughly 5–10%. Applying a conservative ~5% discount to the market-median cash figure (reflected in the “planning point” column above) keeps total reward competitive while reducing cash outlay. Context: BLS ECEC shows benefits already average ~30% of total employer compensation cost across private industry; Semantic Arts sits above that average, which justifies the cash discount.</w:t>
      </w:r>
    </w:p>
    <w:p>
      <w:pPr>
        <w:pStyle w:val="Heading1"/>
      </w:pPr>
      <w:r>
        <w:t xml:space="preserve">4. Positioning Guidance &amp; Confidence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Confidence is now high </w:t>
      </w:r>
      <w:r>
        <w:t xml:space="preserve">on the central figures: the BLS actual-wage anchor and the small-firm aggregator clusters independently converge near the planning points, and the enterprise outliers are explained and excluded.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CEO </w:t>
      </w:r>
      <w:r>
        <w:t xml:space="preserve">~$225K cash sits just above the BLS national median — appropriate for a specialist (higher-margin, higher-skill) firm, while staying well below mid-market.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President </w:t>
      </w:r>
      <w:r>
        <w:t xml:space="preserve">~$205K reflects the role's delivery/P&amp;L weight, discounted for sub-1-year tenure; revisit at the 1–2 year mark.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COO </w:t>
      </w:r>
      <w:r>
        <w:t xml:space="preserve">~$185K reflects broad cross-functional scope (HR, marketing, sales, finance, office) at the top of the credible small-firm COO cluster.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Owner distributions </w:t>
      </w:r>
      <w:r>
        <w:t xml:space="preserve">(if any executive is an owner) remain separate from these wage benchmarks — do not blend them into the comparison.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Geography: </w:t>
      </w:r>
      <w:r>
        <w:t xml:space="preserve">national basis. A Fort Collins / Northern Colorado adjustment would trim these another few percent.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Aging: </w:t>
      </w:r>
      <w:r>
        <w:t xml:space="preserve">BLS occupation detail is finalized to May 2025; planning points already sit in 2026 dollars via the aggregator cross-checks, so no further inflation adjustment is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 a formal board/comp-committee action, </w:t>
      </w:r>
      <w:r>
        <w:t xml:space="preserve">these figures are well-supported for internal planning; a single purchased professional-services survey (Croner or Empsight) would add a named third-party citation.</w:t>
      </w:r>
    </w:p>
    <w:p>
      <w:pPr>
        <w:pStyle w:val="Heading1"/>
      </w:pPr>
      <w:r>
        <w:t xml:space="preserve">Sources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owhcvx7yrefphn1t7e9zk">
        <w:r>
          <w:rPr>
            <w:rStyle w:val="Hyperlink"/>
            <w:sz w:val="20"/>
            <w:szCs w:val="20"/>
          </w:rPr>
          <w:t xml:space="preserve">BLS OEWS Chief Executives (11-1011), May 2023 — national &amp; industry estimates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a4e7mzsumun2gklx7wloe">
        <w:r>
          <w:rPr>
            <w:rStyle w:val="Hyperlink"/>
            <w:sz w:val="20"/>
            <w:szCs w:val="20"/>
          </w:rPr>
          <w:t xml:space="preserve">BLS OEWS National Occupational Employment &amp; Wage data, May 2025 (Table 1)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6dpbehszo88tpgk1-zngc">
        <w:r>
          <w:rPr>
            <w:rStyle w:val="Hyperlink"/>
            <w:sz w:val="20"/>
            <w:szCs w:val="20"/>
          </w:rPr>
          <w:t xml:space="preserve">BLS Occupational Outlook Handbook — Top Executives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qijh3ugposcht1ypi7loo">
        <w:r>
          <w:rPr>
            <w:rStyle w:val="Hyperlink"/>
            <w:sz w:val="20"/>
            <w:szCs w:val="20"/>
          </w:rPr>
          <w:t xml:space="preserve">BLS Employer Costs for Employee Compensation (ECEC)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bfvfflodwqn_bmtlo16fh">
        <w:r>
          <w:rPr>
            <w:rStyle w:val="Hyperlink"/>
            <w:sz w:val="20"/>
            <w:szCs w:val="20"/>
          </w:rPr>
          <w:t xml:space="preserve">Payscale — President / President &amp; CEO salary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ltntxqcoi2aa5gbkzmsxk">
        <w:r>
          <w:rPr>
            <w:rStyle w:val="Hyperlink"/>
            <w:sz w:val="20"/>
            <w:szCs w:val="20"/>
          </w:rPr>
          <w:t xml:space="preserve">ZipRecruiter — Small Business CEO salary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oxj8y-o5mxtuyvjpn6rv5">
        <w:r>
          <w:rPr>
            <w:rStyle w:val="Hyperlink"/>
            <w:sz w:val="20"/>
            <w:szCs w:val="20"/>
          </w:rPr>
          <w:t xml:space="preserve">Salary.com — Chief Operating Officer salary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gzwsnemlfqtxciekqjopq">
        <w:r>
          <w:rPr>
            <w:rStyle w:val="Hyperlink"/>
            <w:sz w:val="20"/>
            <w:szCs w:val="20"/>
          </w:rPr>
          <w:t xml:space="preserve">Owner Compensation Benchmarks by Revenue — Eagle Rock Advisors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7y1fmaxdi7skq2slynikp">
        <w:r>
          <w:rPr>
            <w:rStyle w:val="Hyperlink"/>
            <w:sz w:val="20"/>
            <w:szCs w:val="20"/>
          </w:rPr>
          <w:t xml:space="preserve">Average CEO Salary by Company Size — SalaryCube (aggregator)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Semantic Arts — Prepared by Otto — Confidential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2E4D7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owhcvx7yrefphn1t7e9zk" Type="http://schemas.openxmlformats.org/officeDocument/2006/relationships/hyperlink" Target="https://www.bls.gov/oes/2023/may/oes111011.htm" TargetMode="External"/><Relationship Id="rIda4e7mzsumun2gklx7wloe" Type="http://schemas.openxmlformats.org/officeDocument/2006/relationships/hyperlink" Target="https://www.bls.gov/news.release/ocwage.t01.htm" TargetMode="External"/><Relationship Id="rId6dpbehszo88tpgk1-zngc" Type="http://schemas.openxmlformats.org/officeDocument/2006/relationships/hyperlink" Target="https://www.bls.gov/ooh/management/top-executives.htm" TargetMode="External"/><Relationship Id="rIdqijh3ugposcht1ypi7loo" Type="http://schemas.openxmlformats.org/officeDocument/2006/relationships/hyperlink" Target="https://www.bls.gov/news.release/ecec.htm" TargetMode="External"/><Relationship Id="rIdbfvfflodwqn_bmtlo16fh" Type="http://schemas.openxmlformats.org/officeDocument/2006/relationships/hyperlink" Target="https://www.payscale.com/research/US/Job=President_and_CEO/Salary" TargetMode="External"/><Relationship Id="rIdltntxqcoi2aa5gbkzmsxk" Type="http://schemas.openxmlformats.org/officeDocument/2006/relationships/hyperlink" Target="https://www.ziprecruiter.com/Salaries/Small-Business-Ceo-Salary" TargetMode="External"/><Relationship Id="rIdoxj8y-o5mxtuyvjpn6rv5" Type="http://schemas.openxmlformats.org/officeDocument/2006/relationships/hyperlink" Target="https://www.salary.com/research/salary/benchmark/chief-operating-officer-salary" TargetMode="External"/><Relationship Id="rIdgzwsnemlfqtxciekqjopq" Type="http://schemas.openxmlformats.org/officeDocument/2006/relationships/hyperlink" Target="https://www.eaglerockcfo.com/blog/owner-compensation/compensation-benchmarks" TargetMode="External"/><Relationship Id="rId7y1fmaxdi7skq2slynikp" Type="http://schemas.openxmlformats.org/officeDocument/2006/relationships/hyperlink" Target="https://www.salarycube.com/compensation/what-is-the-average-ceo-salary-by-company-size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2026-06-29T21:14:06.662Z</dcterms:created>
  <dcterms:modified xsi:type="dcterms:W3CDTF">2026-06-29T21:14:06.663Z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