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Executive Job Descriptions &amp; Roles / Responsibilities</w:t>
      </w:r>
    </w:p>
    <w:p>
      <w:pPr>
        <w:pBdr>
          <w:bottom w:val="single" w:color="1F3864" w:sz="6" w:space="2"/>
        </w:pBdr>
        <w:spacing w:after="160"/>
      </w:pPr>
      <w:r>
        <w:rPr>
          <w:color w:val="555555"/>
          <w:sz w:val="22"/>
          <w:szCs w:val="22"/>
        </w:rPr>
        <w:t xml:space="preserve">Semantic Arts  •  CEO, President &amp; COO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r>
              <w:rPr>
                <w:b/>
                <w:bCs/>
                <w:sz w:val="19"/>
                <w:szCs w:val="19"/>
              </w:rPr>
              <w:t xml:space="preserve">Prepared for</w:t>
            </w:r>
          </w:p>
        </w:tc>
        <w:tc>
          <w:tcPr>
            <w:tcW w:type="dxa" w:w="7360"/>
            <w:tcBorders>
              <w:top w:val="single" w:color="B7C3D0" w:sz="1"/>
              <w:left w:val="single" w:color="B7C3D0" w:sz="1"/>
              <w:bottom w:val="single" w:color="B7C3D0" w:sz="1"/>
              <w:right w:val="single" w:color="B7C3D0" w:sz="1"/>
            </w:tcBorders>
            <w:tcMar>
              <w:top w:type="dxa" w:w="50"/>
              <w:left w:type="dxa" w:w="110"/>
              <w:bottom w:type="dxa" w:w="50"/>
              <w:right w:type="dxa" w:w="110"/>
            </w:tcMar>
          </w:tcPr>
          <w:p>
            <w:r>
              <w:rPr>
                <w:sz w:val="19"/>
                <w:szCs w:val="19"/>
              </w:rPr>
              <w:t xml:space="preserve">JT Metcalf, COO, Semantic Arts</w:t>
            </w:r>
          </w:p>
        </w:tc>
      </w:tr>
      <w:tr>
        <w:tc>
          <w:tcPr>
            <w:tcW w:type="dxa" w:w="20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r>
              <w:rPr>
                <w:b/>
                <w:bCs/>
                <w:sz w:val="19"/>
                <w:szCs w:val="19"/>
              </w:rPr>
              <w:t xml:space="preserve">Prepared by</w:t>
            </w:r>
          </w:p>
        </w:tc>
        <w:tc>
          <w:tcPr>
            <w:tcW w:type="dxa" w:w="7360"/>
            <w:tcBorders>
              <w:top w:val="single" w:color="B7C3D0" w:sz="1"/>
              <w:left w:val="single" w:color="B7C3D0" w:sz="1"/>
              <w:bottom w:val="single" w:color="B7C3D0" w:sz="1"/>
              <w:right w:val="single" w:color="B7C3D0" w:sz="1"/>
            </w:tcBorders>
            <w:tcMar>
              <w:top w:type="dxa" w:w="50"/>
              <w:left w:type="dxa" w:w="110"/>
              <w:bottom w:type="dxa" w:w="50"/>
              <w:right w:type="dxa" w:w="110"/>
            </w:tcMar>
          </w:tcPr>
          <w:p>
            <w:r>
              <w:rPr>
                <w:sz w:val="19"/>
                <w:szCs w:val="19"/>
              </w:rPr>
              <w:t xml:space="preserve">Otto</w:t>
            </w:r>
          </w:p>
        </w:tc>
      </w:tr>
      <w:tr>
        <w:tc>
          <w:tcPr>
            <w:tcW w:type="dxa" w:w="20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r>
              <w:rPr>
                <w:b/>
                <w:bCs/>
                <w:sz w:val="19"/>
                <w:szCs w:val="19"/>
              </w:rPr>
              <w:t xml:space="preserve">Date</w:t>
            </w:r>
          </w:p>
        </w:tc>
        <w:tc>
          <w:tcPr>
            <w:tcW w:type="dxa" w:w="7360"/>
            <w:tcBorders>
              <w:top w:val="single" w:color="B7C3D0" w:sz="1"/>
              <w:left w:val="single" w:color="B7C3D0" w:sz="1"/>
              <w:bottom w:val="single" w:color="B7C3D0" w:sz="1"/>
              <w:right w:val="single" w:color="B7C3D0" w:sz="1"/>
            </w:tcBorders>
            <w:tcMar>
              <w:top w:type="dxa" w:w="50"/>
              <w:left w:type="dxa" w:w="110"/>
              <w:bottom w:type="dxa" w:w="50"/>
              <w:right w:type="dxa" w:w="110"/>
            </w:tcMar>
          </w:tcPr>
          <w:p>
            <w:r>
              <w:rPr>
                <w:sz w:val="19"/>
                <w:szCs w:val="19"/>
              </w:rPr>
              <w:t xml:space="preserve">June 29, 2026</w:t>
            </w:r>
          </w:p>
        </w:tc>
      </w:tr>
      <w:tr>
        <w:tc>
          <w:tcPr>
            <w:tcW w:type="dxa" w:w="20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r>
              <w:rPr>
                <w:b/>
                <w:bCs/>
                <w:sz w:val="19"/>
                <w:szCs w:val="19"/>
              </w:rPr>
              <w:t xml:space="preserve">Source</w:t>
            </w:r>
          </w:p>
        </w:tc>
        <w:tc>
          <w:tcPr>
            <w:tcW w:type="dxa" w:w="7360"/>
            <w:tcBorders>
              <w:top w:val="single" w:color="B7C3D0" w:sz="1"/>
              <w:left w:val="single" w:color="B7C3D0" w:sz="1"/>
              <w:bottom w:val="single" w:color="B7C3D0" w:sz="1"/>
              <w:right w:val="single" w:color="B7C3D0" w:sz="1"/>
            </w:tcBorders>
            <w:tcMar>
              <w:top w:type="dxa" w:w="50"/>
              <w:left w:type="dxa" w:w="110"/>
              <w:bottom w:type="dxa" w:w="50"/>
              <w:right w:type="dxa" w:w="110"/>
            </w:tcMar>
          </w:tcPr>
          <w:p>
            <w:r>
              <w:rPr>
                <w:sz w:val="19"/>
                <w:szCs w:val="19"/>
              </w:rPr>
              <w:t xml:space="preserve">“Governance Functions” roles-and-responsibilities matrix (internal)</w:t>
            </w:r>
          </w:p>
        </w:tc>
      </w:tr>
    </w:tbl>
    <w:p>
      <w:pPr>
        <w:spacing w:after="100"/>
      </w:pPr>
      <w:r>
        <w:rPr>
          <w:sz w:val="21"/>
          <w:szCs w:val="21"/>
        </w:rPr>
        <w:t xml:space="preserve"/>
      </w:r>
    </w:p>
    <w:p>
      <w:pPr>
        <w:pStyle w:val="Heading1"/>
      </w:pPr>
      <w:r>
        <w:t xml:space="preserve">Organizational Context</w:t>
      </w:r>
    </w:p>
    <w:p>
      <w:pPr>
        <w:spacing w:after="100"/>
      </w:pPr>
      <w:r>
        <w:rPr>
          <w:sz w:val="21"/>
          <w:szCs w:val="21"/>
        </w:rPr>
        <w:t xml:space="preserve">Semantic Arts is led by three executive roles operating above a Governance Committee. The structure reflects a deliberate, gradual transition of authority from the founding CEO toward a self-governing committee.</w:t>
      </w:r>
    </w:p>
    <w:p>
      <w:pPr>
        <w:pStyle w:val="ListParagraph"/>
        <w:numPr>
          <w:ilvl w:val="0"/>
          <w:numId w:val="2"/>
        </w:numPr>
        <w:spacing w:after="40"/>
      </w:pPr>
      <w:r>
        <w:rPr>
          <w:b/>
          <w:bCs/>
          <w:sz w:val="21"/>
          <w:szCs w:val="21"/>
        </w:rPr>
        <w:t xml:space="preserve">CEO: </w:t>
      </w:r>
      <w:r>
        <w:rPr>
          <w:sz w:val="21"/>
          <w:szCs w:val="21"/>
        </w:rPr>
        <w:t xml:space="preserve">Sets strategy and long-term direction; owns brand, product (gist), and the most senior client and investor relationships. A non-voting member of the Governance Committee, gradually handing select strategic duties to it over time.</w:t>
      </w:r>
    </w:p>
    <w:p>
      <w:pPr>
        <w:pStyle w:val="ListParagraph"/>
        <w:numPr>
          <w:ilvl w:val="0"/>
          <w:numId w:val="2"/>
        </w:numPr>
        <w:spacing w:after="40"/>
      </w:pPr>
      <w:r>
        <w:rPr>
          <w:b/>
          <w:bCs/>
          <w:sz w:val="21"/>
          <w:szCs w:val="21"/>
        </w:rPr>
        <w:t xml:space="preserve">President: </w:t>
      </w:r>
      <w:r>
        <w:rPr>
          <w:sz w:val="21"/>
          <w:szCs w:val="21"/>
        </w:rPr>
        <w:t xml:space="preserve">Executes strategy and carries P&amp;L responsibility; leads the consulting/delivery organization and people; holds final authority over hiring, staff assignments, and customer contracts. Selected and assessed by the Governance Committee.</w:t>
      </w:r>
    </w:p>
    <w:p>
      <w:pPr>
        <w:pStyle w:val="ListParagraph"/>
        <w:numPr>
          <w:ilvl w:val="0"/>
          <w:numId w:val="2"/>
        </w:numPr>
        <w:spacing w:after="40"/>
      </w:pPr>
      <w:r>
        <w:rPr>
          <w:b/>
          <w:bCs/>
          <w:sz w:val="21"/>
          <w:szCs w:val="21"/>
        </w:rPr>
        <w:t xml:space="preserve">COO: </w:t>
      </w:r>
      <w:r>
        <w:rPr>
          <w:sz w:val="21"/>
          <w:szCs w:val="21"/>
        </w:rPr>
        <w:t xml:space="preserve">Reports to the President. Runs day-to-day operations — finance/accounting, HR, marketing and sales operations, reporting, compliance, and insurance — translating strategy into execution and metrics.</w:t>
      </w:r>
    </w:p>
    <w:p>
      <w:pPr>
        <w:pStyle w:val="ListParagraph"/>
        <w:numPr>
          <w:ilvl w:val="0"/>
          <w:numId w:val="2"/>
        </w:numPr>
        <w:spacing w:after="40"/>
      </w:pPr>
      <w:r>
        <w:rPr>
          <w:b/>
          <w:bCs/>
          <w:sz w:val="21"/>
          <w:szCs w:val="21"/>
        </w:rPr>
        <w:t xml:space="preserve">Governance Committee: </w:t>
      </w:r>
      <w:r>
        <w:rPr>
          <w:sz w:val="21"/>
          <w:szCs w:val="21"/>
        </w:rPr>
        <w:t xml:space="preserve">A self-governing body that apprentices into the CEO's strategic role over time, selects and assesses the President, and owns the employee bonus program. Included in the matrix below for context.</w:t>
      </w:r>
    </w:p>
    <w:p>
      <w:pPr>
        <w:pStyle w:val="Heading1"/>
        <w:pageBreakBefore/>
      </w:pPr>
      <w:r>
        <w:t xml:space="preserve">Chief Executive Officer (CEO)</w:t>
      </w:r>
    </w:p>
    <w:p>
      <w:pPr>
        <w:spacing w:after="100"/>
      </w:pPr>
      <w:r>
        <w:rPr>
          <w:b/>
          <w:bCs/>
          <w:sz w:val="21"/>
          <w:szCs w:val="21"/>
        </w:rPr>
        <w:t xml:space="preserve">Role summary. </w:t>
      </w:r>
      <w:r>
        <w:rPr>
          <w:sz w:val="21"/>
          <w:szCs w:val="21"/>
        </w:rPr>
        <w:t xml:space="preserve">The CEO sets the company's overall strategy and long-term goals and allocates resources toward them — including which markets and segments to target, technologies to pursue, and billing rates and target utilization. The CEO owns the brand and the product (gist), leads the mid-market platform team, stewards the firm's most senior client and investor relationships, and holds final authority on acquisitions and major financing. The CEO is a non-voting member of the Governance Committee and is progressively apprenticing it to assume elements of the strategic role.</w:t>
      </w:r>
    </w:p>
    <w:p>
      <w:pPr>
        <w:pStyle w:val="ListParagraph"/>
        <w:numPr>
          <w:ilvl w:val="0"/>
          <w:numId w:val="2"/>
        </w:numPr>
        <w:spacing w:after="40"/>
      </w:pPr>
      <w:r>
        <w:rPr>
          <w:b/>
          <w:bCs/>
          <w:sz w:val="21"/>
          <w:szCs w:val="21"/>
        </w:rPr>
        <w:t xml:space="preserve">Reports to: </w:t>
      </w:r>
      <w:r>
        <w:rPr>
          <w:sz w:val="21"/>
          <w:szCs w:val="21"/>
        </w:rPr>
        <w:t xml:space="preserve">The firm's owners / Governance Committee (board-equivalent). Non-voting member of the Governance Committee.</w:t>
      </w:r>
    </w:p>
    <w:p>
      <w:pPr>
        <w:spacing w:after="60" w:before="120"/>
      </w:pPr>
      <w:r>
        <w:rPr>
          <w:b/>
          <w:bCs/>
          <w:color w:val="2E4D7B"/>
          <w:sz w:val="21"/>
          <w:szCs w:val="21"/>
        </w:rPr>
        <w:t xml:space="preserve">Key Responsibilities</w:t>
      </w:r>
    </w:p>
    <w:p>
      <w:pPr>
        <w:pStyle w:val="ListParagraph"/>
        <w:numPr>
          <w:ilvl w:val="0"/>
          <w:numId w:val="2"/>
        </w:numPr>
        <w:spacing w:after="40"/>
      </w:pPr>
      <w:r>
        <w:rPr>
          <w:b/>
          <w:bCs/>
          <w:sz w:val="21"/>
          <w:szCs w:val="21"/>
        </w:rPr>
        <w:t xml:space="preserve">Strategy &amp; growth: </w:t>
      </w:r>
      <w:r>
        <w:rPr>
          <w:sz w:val="21"/>
          <w:szCs w:val="21"/>
        </w:rPr>
        <w:t xml:space="preserve">Set overall strategy, long-term goals, and resource allocation; set growth targets; set billing rates and target utilization. Apprentice the Governance Committee to assume strategy and growth-target ownership over time.</w:t>
      </w:r>
    </w:p>
    <w:p>
      <w:pPr>
        <w:pStyle w:val="ListParagraph"/>
        <w:numPr>
          <w:ilvl w:val="0"/>
          <w:numId w:val="2"/>
        </w:numPr>
        <w:spacing w:after="40"/>
      </w:pPr>
      <w:r>
        <w:rPr>
          <w:b/>
          <w:bCs/>
          <w:sz w:val="21"/>
          <w:szCs w:val="21"/>
        </w:rPr>
        <w:t xml:space="preserve">Offerings &amp; thought leadership: </w:t>
      </w:r>
      <w:r>
        <w:rPr>
          <w:sz w:val="21"/>
          <w:szCs w:val="21"/>
        </w:rPr>
        <w:t xml:space="preserve">Head the mid-market platform team (sales, marketing, and implementation). Present at conferences and author blogs and white papers.</w:t>
      </w:r>
    </w:p>
    <w:p>
      <w:pPr>
        <w:pStyle w:val="ListParagraph"/>
        <w:numPr>
          <w:ilvl w:val="0"/>
          <w:numId w:val="2"/>
        </w:numPr>
        <w:spacing w:after="40"/>
      </w:pPr>
      <w:r>
        <w:rPr>
          <w:b/>
          <w:bCs/>
          <w:sz w:val="21"/>
          <w:szCs w:val="21"/>
        </w:rPr>
        <w:t xml:space="preserve">Product / R&amp;D: </w:t>
      </w:r>
      <w:r>
        <w:rPr>
          <w:sz w:val="21"/>
          <w:szCs w:val="21"/>
        </w:rPr>
        <w:t xml:space="preserve">Serve as product owner.</w:t>
      </w:r>
    </w:p>
    <w:p>
      <w:pPr>
        <w:pStyle w:val="ListParagraph"/>
        <w:numPr>
          <w:ilvl w:val="0"/>
          <w:numId w:val="2"/>
        </w:numPr>
        <w:spacing w:after="40"/>
      </w:pPr>
      <w:r>
        <w:rPr>
          <w:b/>
          <w:bCs/>
          <w:sz w:val="21"/>
          <w:szCs w:val="21"/>
        </w:rPr>
        <w:t xml:space="preserve">Brand &amp; marketing: </w:t>
      </w:r>
      <w:r>
        <w:rPr>
          <w:sz w:val="21"/>
          <w:szCs w:val="21"/>
        </w:rPr>
        <w:t xml:space="preserve">Finalize brand promises; define company vision, mission, and values; author key messaging (website home page, books, articles).</w:t>
      </w:r>
    </w:p>
    <w:p>
      <w:pPr>
        <w:pStyle w:val="ListParagraph"/>
        <w:numPr>
          <w:ilvl w:val="0"/>
          <w:numId w:val="2"/>
        </w:numPr>
        <w:spacing w:after="40"/>
      </w:pPr>
      <w:r>
        <w:rPr>
          <w:b/>
          <w:bCs/>
          <w:sz w:val="21"/>
          <w:szCs w:val="21"/>
        </w:rPr>
        <w:t xml:space="preserve">Acquisitions: </w:t>
      </w:r>
      <w:r>
        <w:rPr>
          <w:sz w:val="21"/>
          <w:szCs w:val="21"/>
        </w:rPr>
        <w:t xml:space="preserve">Determine targets and feasibility; hold the final decision on whether to proceed.</w:t>
      </w:r>
    </w:p>
    <w:p>
      <w:pPr>
        <w:pStyle w:val="ListParagraph"/>
        <w:numPr>
          <w:ilvl w:val="0"/>
          <w:numId w:val="2"/>
        </w:numPr>
        <w:spacing w:after="40"/>
      </w:pPr>
      <w:r>
        <w:rPr>
          <w:b/>
          <w:bCs/>
          <w:sz w:val="21"/>
          <w:szCs w:val="21"/>
        </w:rPr>
        <w:t xml:space="preserve">Client &amp; investor relations: </w:t>
      </w:r>
      <w:r>
        <w:rPr>
          <w:sz w:val="21"/>
          <w:szCs w:val="21"/>
        </w:rPr>
        <w:t xml:space="preserve">Acquire major new clients and apprentice new sales staff in client acquisition; maintain the firm's most senior client relationships and the relationships with trusted owners and the landlord.</w:t>
      </w:r>
    </w:p>
    <w:p>
      <w:pPr>
        <w:pStyle w:val="ListParagraph"/>
        <w:numPr>
          <w:ilvl w:val="0"/>
          <w:numId w:val="2"/>
        </w:numPr>
        <w:spacing w:after="40"/>
      </w:pPr>
      <w:r>
        <w:rPr>
          <w:b/>
          <w:bCs/>
          <w:sz w:val="21"/>
          <w:szCs w:val="21"/>
        </w:rPr>
        <w:t xml:space="preserve">Finance &amp; organizational development: </w:t>
      </w:r>
      <w:r>
        <w:rPr>
          <w:sz w:val="21"/>
          <w:szCs w:val="21"/>
        </w:rPr>
        <w:t xml:space="preserve">Final approval of any new debt over $100K; review financial reports and commission a third-party audit if concerned; reconcile bank accounts. Determine when to move to a studio arrangement.</w:t>
      </w:r>
    </w:p>
    <w:p>
      <w:pPr>
        <w:spacing w:after="60" w:before="120"/>
      </w:pPr>
      <w:r>
        <w:rPr>
          <w:b/>
          <w:bCs/>
          <w:color w:val="2E4D7B"/>
          <w:sz w:val="21"/>
          <w:szCs w:val="21"/>
        </w:rPr>
        <w:t xml:space="preserve">Decision Authority</w:t>
      </w:r>
    </w:p>
    <w:p>
      <w:pPr>
        <w:pStyle w:val="ListParagraph"/>
        <w:numPr>
          <w:ilvl w:val="0"/>
          <w:numId w:val="2"/>
        </w:numPr>
        <w:spacing w:after="40"/>
      </w:pPr>
      <w:r>
        <w:rPr>
          <w:b/>
          <w:bCs/>
          <w:sz w:val="21"/>
          <w:szCs w:val="21"/>
        </w:rPr>
        <w:t xml:space="preserve">Holds: </w:t>
      </w:r>
      <w:r>
        <w:rPr>
          <w:sz w:val="21"/>
          <w:szCs w:val="21"/>
        </w:rPr>
        <w:t xml:space="preserve">Final decision on acquisitions; final approval of new debt over $100K; authority to set billing/pay rates and target utilization; definition of brand, vision, mission, and values; product-owner authority for gist.</w:t>
      </w:r>
    </w:p>
    <w:p>
      <w:pPr>
        <w:pStyle w:val="Heading1"/>
        <w:pageBreakBefore/>
      </w:pPr>
      <w:r>
        <w:t xml:space="preserve">President</w:t>
      </w:r>
    </w:p>
    <w:p>
      <w:pPr>
        <w:spacing w:after="100"/>
      </w:pPr>
      <w:r>
        <w:rPr>
          <w:b/>
          <w:bCs/>
          <w:sz w:val="21"/>
          <w:szCs w:val="21"/>
        </w:rPr>
        <w:t xml:space="preserve">Role summary. </w:t>
      </w:r>
      <w:r>
        <w:rPr>
          <w:sz w:val="21"/>
          <w:szCs w:val="21"/>
        </w:rPr>
        <w:t xml:space="preserve">The President executes the company strategy and carries full P&amp;L responsibility. The role leads the consulting/delivery organization and the firm's people — holding final authority over hiring and firing, staff assignments, and all customer-facing proposals and contracts — and holds signing authority on the bank accounts. The President manages incentive pay and partners closely with the CEO and COO on strategy and operations. The COO reports to the President.</w:t>
      </w:r>
    </w:p>
    <w:p>
      <w:pPr>
        <w:pStyle w:val="ListParagraph"/>
        <w:numPr>
          <w:ilvl w:val="0"/>
          <w:numId w:val="2"/>
        </w:numPr>
        <w:spacing w:after="40"/>
      </w:pPr>
      <w:r>
        <w:rPr>
          <w:b/>
          <w:bCs/>
          <w:sz w:val="21"/>
          <w:szCs w:val="21"/>
        </w:rPr>
        <w:t xml:space="preserve">Reports to: </w:t>
      </w:r>
      <w:r>
        <w:rPr>
          <w:sz w:val="21"/>
          <w:szCs w:val="21"/>
        </w:rPr>
        <w:t xml:space="preserve">CEO. Selected and assessed by the Governance Committee. Non-voting member of the Governance Committee.</w:t>
      </w:r>
    </w:p>
    <w:p>
      <w:pPr>
        <w:pStyle w:val="ListParagraph"/>
        <w:numPr>
          <w:ilvl w:val="0"/>
          <w:numId w:val="2"/>
        </w:numPr>
        <w:spacing w:after="40"/>
      </w:pPr>
      <w:r>
        <w:rPr>
          <w:b/>
          <w:bCs/>
          <w:sz w:val="21"/>
          <w:szCs w:val="21"/>
        </w:rPr>
        <w:t xml:space="preserve">Direct report: </w:t>
      </w:r>
      <w:r>
        <w:rPr>
          <w:sz w:val="21"/>
          <w:szCs w:val="21"/>
        </w:rPr>
        <w:t xml:space="preserve">COO.</w:t>
      </w:r>
    </w:p>
    <w:p>
      <w:pPr>
        <w:spacing w:after="60" w:before="120"/>
      </w:pPr>
      <w:r>
        <w:rPr>
          <w:b/>
          <w:bCs/>
          <w:color w:val="2E4D7B"/>
          <w:sz w:val="21"/>
          <w:szCs w:val="21"/>
        </w:rPr>
        <w:t xml:space="preserve">Key Responsibilities</w:t>
      </w:r>
    </w:p>
    <w:p>
      <w:pPr>
        <w:pStyle w:val="ListParagraph"/>
        <w:numPr>
          <w:ilvl w:val="0"/>
          <w:numId w:val="2"/>
        </w:numPr>
        <w:spacing w:after="40"/>
      </w:pPr>
      <w:r>
        <w:rPr>
          <w:b/>
          <w:bCs/>
          <w:sz w:val="21"/>
          <w:szCs w:val="21"/>
        </w:rPr>
        <w:t xml:space="preserve">Strategy execution &amp; growth: </w:t>
      </w:r>
      <w:r>
        <w:rPr>
          <w:sz w:val="21"/>
          <w:szCs w:val="21"/>
        </w:rPr>
        <w:t xml:space="preserve">Execute company strategy; report on growth progress and achieve the firm's growth goals.</w:t>
      </w:r>
    </w:p>
    <w:p>
      <w:pPr>
        <w:pStyle w:val="ListParagraph"/>
        <w:numPr>
          <w:ilvl w:val="0"/>
          <w:numId w:val="2"/>
        </w:numPr>
        <w:spacing w:after="40"/>
      </w:pPr>
      <w:r>
        <w:rPr>
          <w:b/>
          <w:bCs/>
          <w:sz w:val="21"/>
          <w:szCs w:val="21"/>
        </w:rPr>
        <w:t xml:space="preserve">People &amp; performance: </w:t>
      </w:r>
      <w:r>
        <w:rPr>
          <w:sz w:val="21"/>
          <w:szCs w:val="21"/>
        </w:rPr>
        <w:t xml:space="preserve">Final decision on hiring, firing, promotion, and demotion; conduct performance reviews in coordination with the COO (HR); determine and execute disciplinary action (e.g., PIPs); set billing and base-pay rates; attend coaching meetings and select coaches with the COO; final approval of all staff assignments.</w:t>
      </w:r>
    </w:p>
    <w:p>
      <w:pPr>
        <w:pStyle w:val="ListParagraph"/>
        <w:numPr>
          <w:ilvl w:val="0"/>
          <w:numId w:val="2"/>
        </w:numPr>
        <w:spacing w:after="40"/>
      </w:pPr>
      <w:r>
        <w:rPr>
          <w:b/>
          <w:bCs/>
          <w:sz w:val="21"/>
          <w:szCs w:val="21"/>
        </w:rPr>
        <w:t xml:space="preserve">Sales: </w:t>
      </w:r>
      <w:r>
        <w:rPr>
          <w:sz w:val="21"/>
          <w:szCs w:val="21"/>
        </w:rPr>
        <w:t xml:space="preserve">Oversee and approve account-development and partnership plans; align the sales team to strategy; review all proposals before submission; hold final signature authority on all proposals and customer contracts; determine the types of projects and commitments the firm takes on; sign or delegate signature authority for customer and major vendor contracts.</w:t>
      </w:r>
    </w:p>
    <w:p>
      <w:pPr>
        <w:pStyle w:val="ListParagraph"/>
        <w:numPr>
          <w:ilvl w:val="0"/>
          <w:numId w:val="2"/>
        </w:numPr>
        <w:spacing w:after="40"/>
      </w:pPr>
      <w:r>
        <w:rPr>
          <w:b/>
          <w:bCs/>
          <w:sz w:val="21"/>
          <w:szCs w:val="21"/>
        </w:rPr>
        <w:t xml:space="preserve">Offerings &amp; marketing: </w:t>
      </w:r>
      <w:r>
        <w:rPr>
          <w:sz w:val="21"/>
          <w:szCs w:val="21"/>
        </w:rPr>
        <w:t xml:space="preserve">Upgrade the major-accounts methodology; oversee gist and sub-gists; own gist marketing (gist Forum and website content); ensure marketing initiatives align with strategy and offerings.</w:t>
      </w:r>
    </w:p>
    <w:p>
      <w:pPr>
        <w:pStyle w:val="ListParagraph"/>
        <w:numPr>
          <w:ilvl w:val="0"/>
          <w:numId w:val="2"/>
        </w:numPr>
        <w:spacing w:after="40"/>
      </w:pPr>
      <w:r>
        <w:rPr>
          <w:b/>
          <w:bCs/>
          <w:sz w:val="21"/>
          <w:szCs w:val="21"/>
        </w:rPr>
        <w:t xml:space="preserve">Client satisfaction: </w:t>
      </w:r>
      <w:r>
        <w:rPr>
          <w:sz w:val="21"/>
          <w:szCs w:val="21"/>
        </w:rPr>
        <w:t xml:space="preserve">Know all sponsors; intervene with clients and act as final negotiator on contentious issues; administer NPS.</w:t>
      </w:r>
    </w:p>
    <w:p>
      <w:pPr>
        <w:pStyle w:val="ListParagraph"/>
        <w:numPr>
          <w:ilvl w:val="0"/>
          <w:numId w:val="2"/>
        </w:numPr>
        <w:spacing w:after="40"/>
      </w:pPr>
      <w:r>
        <w:rPr>
          <w:b/>
          <w:bCs/>
          <w:sz w:val="21"/>
          <w:szCs w:val="21"/>
        </w:rPr>
        <w:t xml:space="preserve">Finance: </w:t>
      </w:r>
      <w:r>
        <w:rPr>
          <w:sz w:val="21"/>
          <w:szCs w:val="21"/>
        </w:rPr>
        <w:t xml:space="preserve">Signing authority on the bank accounts; P&amp;L responsibility; approve payroll; approve use of the training budget (may delegate to COO for non-technical staff); jointly approve expenditures or liabilities of $2,500 and over with the COO; consult on lines of credit, loans, and investments; review financial reports and seek a third-party audit if concerned.</w:t>
      </w:r>
    </w:p>
    <w:p>
      <w:pPr>
        <w:pStyle w:val="ListParagraph"/>
        <w:numPr>
          <w:ilvl w:val="0"/>
          <w:numId w:val="2"/>
        </w:numPr>
        <w:spacing w:after="40"/>
      </w:pPr>
      <w:r>
        <w:rPr>
          <w:b/>
          <w:bCs/>
          <w:sz w:val="21"/>
          <w:szCs w:val="21"/>
        </w:rPr>
        <w:t xml:space="preserve">Acquisitions &amp; legal: </w:t>
      </w:r>
      <w:r>
        <w:rPr>
          <w:sz w:val="21"/>
          <w:szCs w:val="21"/>
        </w:rPr>
        <w:t xml:space="preserve">Determine targets and feasibility; draft letters of intent; own post-merger integration strategy; meet with lawyers on contracts and legal issues.</w:t>
      </w:r>
    </w:p>
    <w:p>
      <w:pPr>
        <w:pStyle w:val="ListParagraph"/>
        <w:numPr>
          <w:ilvl w:val="0"/>
          <w:numId w:val="2"/>
        </w:numPr>
        <w:spacing w:after="40"/>
      </w:pPr>
      <w:r>
        <w:rPr>
          <w:b/>
          <w:bCs/>
          <w:sz w:val="21"/>
          <w:szCs w:val="21"/>
        </w:rPr>
        <w:t xml:space="preserve">Organizational development: </w:t>
      </w:r>
      <w:r>
        <w:rPr>
          <w:sz w:val="21"/>
          <w:szCs w:val="21"/>
        </w:rPr>
        <w:t xml:space="preserve">Determine studio leadership and responsibilities; on CEO step-down, divide the CEO's responsibilities with the Governance Committee if the CEO is not replaced.</w:t>
      </w:r>
    </w:p>
    <w:p>
      <w:pPr>
        <w:spacing w:after="60" w:before="120"/>
      </w:pPr>
      <w:r>
        <w:rPr>
          <w:b/>
          <w:bCs/>
          <w:color w:val="2E4D7B"/>
          <w:sz w:val="21"/>
          <w:szCs w:val="21"/>
        </w:rPr>
        <w:t xml:space="preserve">Decision Authority</w:t>
      </w:r>
    </w:p>
    <w:p>
      <w:pPr>
        <w:pStyle w:val="ListParagraph"/>
        <w:numPr>
          <w:ilvl w:val="0"/>
          <w:numId w:val="2"/>
        </w:numPr>
        <w:spacing w:after="40"/>
      </w:pPr>
      <w:r>
        <w:rPr>
          <w:b/>
          <w:bCs/>
          <w:sz w:val="21"/>
          <w:szCs w:val="21"/>
        </w:rPr>
        <w:t xml:space="preserve">Holds: </w:t>
      </w:r>
      <w:r>
        <w:rPr>
          <w:sz w:val="21"/>
          <w:szCs w:val="21"/>
        </w:rPr>
        <w:t xml:space="preserve">Final signature authority on all proposals and customer/vendor contracts (may delegate); bank-account signing authority; final hiring/firing decisions; final approval of staff assignments; payroll approval; joint approval of expenditures ≥ $2,500 with the COO; P&amp;L responsibility.</w:t>
      </w:r>
    </w:p>
    <w:p>
      <w:pPr>
        <w:pStyle w:val="Heading1"/>
        <w:pageBreakBefore/>
      </w:pPr>
      <w:r>
        <w:t xml:space="preserve">Chief Operating Officer (COO)</w:t>
      </w:r>
    </w:p>
    <w:p>
      <w:pPr>
        <w:spacing w:after="100"/>
      </w:pPr>
      <w:r>
        <w:rPr>
          <w:b/>
          <w:bCs/>
          <w:sz w:val="21"/>
          <w:szCs w:val="21"/>
        </w:rPr>
        <w:t xml:space="preserve">Role summary. </w:t>
      </w:r>
      <w:r>
        <w:rPr>
          <w:sz w:val="21"/>
          <w:szCs w:val="21"/>
        </w:rPr>
        <w:t xml:space="preserve">The COO runs the firm's day-to-day operations and translates strategy into execution and metrics. The role owns financial and operational reporting and manages finance/accounting operations, the HR function, marketing and sales operations, payroll, tax and regulatory compliance, and insurance. The COO holds spending authority below $2,500 and partners with the President on larger commitments. The COO reports to the President.</w:t>
      </w:r>
    </w:p>
    <w:p>
      <w:pPr>
        <w:pStyle w:val="ListParagraph"/>
        <w:numPr>
          <w:ilvl w:val="0"/>
          <w:numId w:val="2"/>
        </w:numPr>
        <w:spacing w:after="40"/>
      </w:pPr>
      <w:r>
        <w:rPr>
          <w:b/>
          <w:bCs/>
          <w:sz w:val="21"/>
          <w:szCs w:val="21"/>
        </w:rPr>
        <w:t xml:space="preserve">Reports to: </w:t>
      </w:r>
      <w:r>
        <w:rPr>
          <w:sz w:val="21"/>
          <w:szCs w:val="21"/>
        </w:rPr>
        <w:t xml:space="preserve">President. Non-voting member of the Governance Committee; administers Governance Committee elections.</w:t>
      </w:r>
    </w:p>
    <w:p>
      <w:pPr>
        <w:spacing w:after="60" w:before="120"/>
      </w:pPr>
      <w:r>
        <w:rPr>
          <w:b/>
          <w:bCs/>
          <w:color w:val="2E4D7B"/>
          <w:sz w:val="21"/>
          <w:szCs w:val="21"/>
        </w:rPr>
        <w:t xml:space="preserve">Key Responsibilities</w:t>
      </w:r>
    </w:p>
    <w:p>
      <w:pPr>
        <w:pStyle w:val="ListParagraph"/>
        <w:numPr>
          <w:ilvl w:val="0"/>
          <w:numId w:val="2"/>
        </w:numPr>
        <w:spacing w:after="40"/>
      </w:pPr>
      <w:r>
        <w:rPr>
          <w:b/>
          <w:bCs/>
          <w:sz w:val="21"/>
          <w:szCs w:val="21"/>
        </w:rPr>
        <w:t xml:space="preserve">Finance &amp; accounting operations: </w:t>
      </w:r>
      <w:r>
        <w:rPr>
          <w:sz w:val="21"/>
          <w:szCs w:val="21"/>
        </w:rPr>
        <w:t xml:space="preserve">Day-to-day cash management and use of the line of credit; process remittances; project future sources and uses of cash; subsidiary accounting; bills, payables, purchasing, and bookkeeping; coordinate with the firm accountant on tax submissions and planning; set firm financial-management policies; report financials to the Governance Committee at regular intervals.</w:t>
      </w:r>
    </w:p>
    <w:p>
      <w:pPr>
        <w:pStyle w:val="ListParagraph"/>
        <w:numPr>
          <w:ilvl w:val="0"/>
          <w:numId w:val="2"/>
        </w:numPr>
        <w:spacing w:after="40"/>
      </w:pPr>
      <w:r>
        <w:rPr>
          <w:b/>
          <w:bCs/>
          <w:sz w:val="21"/>
          <w:szCs w:val="21"/>
        </w:rPr>
        <w:t xml:space="preserve">Reporting: </w:t>
      </w:r>
      <w:r>
        <w:rPr>
          <w:sz w:val="21"/>
          <w:szCs w:val="21"/>
        </w:rPr>
        <w:t xml:space="preserve">Responsible for all financial and operational reporting; help define reporting metrics.</w:t>
      </w:r>
    </w:p>
    <w:p>
      <w:pPr>
        <w:pStyle w:val="ListParagraph"/>
        <w:numPr>
          <w:ilvl w:val="0"/>
          <w:numId w:val="2"/>
        </w:numPr>
        <w:spacing w:after="40"/>
      </w:pPr>
      <w:r>
        <w:rPr>
          <w:b/>
          <w:bCs/>
          <w:sz w:val="21"/>
          <w:szCs w:val="21"/>
        </w:rPr>
        <w:t xml:space="preserve">People / HR: </w:t>
      </w:r>
      <w:r>
        <w:rPr>
          <w:sz w:val="21"/>
          <w:szCs w:val="21"/>
        </w:rPr>
        <w:t xml:space="preserve">Manage the recruiting and interview process; manage the HR function and alert the President to issues; oversee the coaching program and chair its meetings; administer 360 feedback; provide input to the President on disciplinary action; coordinate the Team Summit.</w:t>
      </w:r>
    </w:p>
    <w:p>
      <w:pPr>
        <w:pStyle w:val="ListParagraph"/>
        <w:numPr>
          <w:ilvl w:val="0"/>
          <w:numId w:val="2"/>
        </w:numPr>
        <w:spacing w:after="40"/>
      </w:pPr>
      <w:r>
        <w:rPr>
          <w:b/>
          <w:bCs/>
          <w:sz w:val="21"/>
          <w:szCs w:val="21"/>
        </w:rPr>
        <w:t xml:space="preserve">Marketing operations: </w:t>
      </w:r>
      <w:r>
        <w:rPr>
          <w:sz w:val="21"/>
          <w:szCs w:val="21"/>
        </w:rPr>
        <w:t xml:space="preserve">Functional oversight of the website, campaigns, marketing budget priorities, DCAF, and EDTS; day-to-day management of the marketing team, spend, and metrics; determine performance metrics and duties of each team member.</w:t>
      </w:r>
    </w:p>
    <w:p>
      <w:pPr>
        <w:pStyle w:val="ListParagraph"/>
        <w:numPr>
          <w:ilvl w:val="0"/>
          <w:numId w:val="2"/>
        </w:numPr>
        <w:spacing w:after="40"/>
      </w:pPr>
      <w:r>
        <w:rPr>
          <w:b/>
          <w:bCs/>
          <w:sz w:val="21"/>
          <w:szCs w:val="21"/>
        </w:rPr>
        <w:t xml:space="preserve">Sales operations: </w:t>
      </w:r>
      <w:r>
        <w:rPr>
          <w:sz w:val="21"/>
          <w:szCs w:val="21"/>
        </w:rPr>
        <w:t xml:space="preserve">Administrative oversight of sales logistics (setting up client calls, etc.); manage the sales team.</w:t>
      </w:r>
    </w:p>
    <w:p>
      <w:pPr>
        <w:pStyle w:val="ListParagraph"/>
        <w:numPr>
          <w:ilvl w:val="0"/>
          <w:numId w:val="2"/>
        </w:numPr>
        <w:spacing w:after="40"/>
      </w:pPr>
      <w:r>
        <w:rPr>
          <w:b/>
          <w:bCs/>
          <w:sz w:val="21"/>
          <w:szCs w:val="21"/>
        </w:rPr>
        <w:t xml:space="preserve">Payroll &amp; client operations: </w:t>
      </w:r>
      <w:r>
        <w:rPr>
          <w:sz w:val="21"/>
          <w:szCs w:val="21"/>
        </w:rPr>
        <w:t xml:space="preserve">Process payroll (approved by the President); handle client legal/compliance needs, onboarding administration, and invoicing and approvals.</w:t>
      </w:r>
    </w:p>
    <w:p>
      <w:pPr>
        <w:pStyle w:val="ListParagraph"/>
        <w:numPr>
          <w:ilvl w:val="0"/>
          <w:numId w:val="2"/>
        </w:numPr>
        <w:spacing w:after="40"/>
      </w:pPr>
      <w:r>
        <w:rPr>
          <w:b/>
          <w:bCs/>
          <w:sz w:val="21"/>
          <w:szCs w:val="21"/>
        </w:rPr>
        <w:t xml:space="preserve">Compliance, insurance &amp; R&amp;D: </w:t>
      </w:r>
      <w:r>
        <w:rPr>
          <w:sz w:val="21"/>
          <w:szCs w:val="21"/>
        </w:rPr>
        <w:t xml:space="preserve">IRS and tax reporting, claims, and government communications; jurisdictional reporting in coordination with the payroll provider; ensure adequate insurance per best practices and client requirements, seeking bids periodically; serve as scrum master for development meetings and track relevant metrics.</w:t>
      </w:r>
    </w:p>
    <w:p>
      <w:pPr>
        <w:spacing w:after="60" w:before="120"/>
      </w:pPr>
      <w:r>
        <w:rPr>
          <w:b/>
          <w:bCs/>
          <w:color w:val="2E4D7B"/>
          <w:sz w:val="21"/>
          <w:szCs w:val="21"/>
        </w:rPr>
        <w:t xml:space="preserve">Decision Authority</w:t>
      </w:r>
    </w:p>
    <w:p>
      <w:pPr>
        <w:pStyle w:val="ListParagraph"/>
        <w:numPr>
          <w:ilvl w:val="0"/>
          <w:numId w:val="2"/>
        </w:numPr>
        <w:spacing w:after="40"/>
      </w:pPr>
      <w:r>
        <w:rPr>
          <w:b/>
          <w:bCs/>
          <w:sz w:val="21"/>
          <w:szCs w:val="21"/>
        </w:rPr>
        <w:t xml:space="preserve">Holds: </w:t>
      </w:r>
      <w:r>
        <w:rPr>
          <w:sz w:val="21"/>
          <w:szCs w:val="21"/>
        </w:rPr>
        <w:t xml:space="preserve">Approve or disapprove any new single financial commitment below $2,500 (except training budget); may delegate approval for smaller amounts; joint approval of expenditures ≥ $2,500 with the President; day-to-day cash and line-of-credit management; view access to bank accounts.</w:t>
      </w:r>
    </w:p>
    <w:p>
      <w:pPr>
        <w:pStyle w:val="Heading1"/>
        <w:pageBreakBefore/>
      </w:pPr>
      <w:r>
        <w:t xml:space="preserve">Decision &amp; Financial-Authority Thresholds</w:t>
      </w:r>
    </w:p>
    <w:p>
      <w:pPr>
        <w:spacing w:after="100"/>
      </w:pPr>
      <w:r>
        <w:rPr>
          <w:sz w:val="21"/>
          <w:szCs w:val="21"/>
        </w:rPr>
        <w:t xml:space="preserve">Spending and signing authority is tiered across 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9"/>
                <w:szCs w:val="19"/>
              </w:rPr>
              <w:t xml:space="preserve">Decision</w:t>
            </w:r>
          </w:p>
        </w:tc>
        <w:tc>
          <w:tcPr>
            <w:tcW w:type="dxa" w:w="496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9"/>
                <w:szCs w:val="19"/>
              </w:rPr>
              <w:t xml:space="preserve">Authority</w:t>
            </w:r>
          </w:p>
        </w:tc>
      </w:tr>
      <w:tr>
        <w:trPr>
          <w:tblHeader w:val="false"/>
        </w:trPr>
        <w:tc>
          <w:tcPr>
            <w:tcW w:type="dxa" w:w="44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Single financial commitment under $2,500</w:t>
            </w:r>
          </w:p>
        </w:tc>
        <w:tc>
          <w:tcPr>
            <w:tcW w:type="dxa" w:w="49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COO approves/disapproves (except training budget); may delegate smaller amounts</w:t>
            </w:r>
          </w:p>
        </w:tc>
      </w:tr>
      <w:tr>
        <w:trPr>
          <w:tblHeader w:val="false"/>
        </w:trPr>
        <w:tc>
          <w:tcPr>
            <w:tcW w:type="dxa" w:w="44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Expenditures or liabilities of $2,500 and over</w:t>
            </w:r>
          </w:p>
        </w:tc>
        <w:tc>
          <w:tcPr>
            <w:tcW w:type="dxa" w:w="49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President and COO approve jointly</w:t>
            </w:r>
          </w:p>
        </w:tc>
      </w:tr>
      <w:tr>
        <w:trPr>
          <w:tblHeader w:val="false"/>
        </w:trPr>
        <w:tc>
          <w:tcPr>
            <w:tcW w:type="dxa" w:w="44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New debt over $100,000</w:t>
            </w:r>
          </w:p>
        </w:tc>
        <w:tc>
          <w:tcPr>
            <w:tcW w:type="dxa" w:w="49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CEO final approval</w:t>
            </w:r>
          </w:p>
        </w:tc>
      </w:tr>
      <w:tr>
        <w:trPr>
          <w:tblHeader w:val="false"/>
        </w:trPr>
        <w:tc>
          <w:tcPr>
            <w:tcW w:type="dxa" w:w="44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Bank-account signing authority</w:t>
            </w:r>
          </w:p>
        </w:tc>
        <w:tc>
          <w:tcPr>
            <w:tcW w:type="dxa" w:w="49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President (COO holds view access + day-to-day cash and LOC)</w:t>
            </w:r>
          </w:p>
        </w:tc>
      </w:tr>
      <w:tr>
        <w:trPr>
          <w:tblHeader w:val="false"/>
        </w:trPr>
        <w:tc>
          <w:tcPr>
            <w:tcW w:type="dxa" w:w="44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Payroll</w:t>
            </w:r>
          </w:p>
        </w:tc>
        <w:tc>
          <w:tcPr>
            <w:tcW w:type="dxa" w:w="49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COO processes; President approves</w:t>
            </w:r>
          </w:p>
        </w:tc>
      </w:tr>
      <w:tr>
        <w:trPr>
          <w:tblHeader w:val="false"/>
        </w:trPr>
        <w:tc>
          <w:tcPr>
            <w:tcW w:type="dxa" w:w="44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Proposals &amp; customer / major-vendor contracts</w:t>
            </w:r>
          </w:p>
        </w:tc>
        <w:tc>
          <w:tcPr>
            <w:tcW w:type="dxa" w:w="49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President holds final signature authority (may delegate)</w:t>
            </w:r>
          </w:p>
        </w:tc>
      </w:tr>
      <w:tr>
        <w:trPr>
          <w:tblHeader w:val="false"/>
        </w:trPr>
        <w:tc>
          <w:tcPr>
            <w:tcW w:type="dxa" w:w="44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Use of training budget</w:t>
            </w:r>
          </w:p>
        </w:tc>
        <w:tc>
          <w:tcPr>
            <w:tcW w:type="dxa" w:w="49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9"/>
                <w:szCs w:val="19"/>
              </w:rPr>
              <w:t xml:space="preserve">President approves (may delegate to COO for non-technical staff)</w:t>
            </w:r>
          </w:p>
        </w:tc>
      </w:tr>
      <w:tr>
        <w:trPr>
          <w:tblHeader w:val="false"/>
        </w:trPr>
        <w:tc>
          <w:tcPr>
            <w:tcW w:type="dxa" w:w="44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Third-party financial audit</w:t>
            </w:r>
          </w:p>
        </w:tc>
        <w:tc>
          <w:tcPr>
            <w:tcW w:type="dxa" w:w="49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9"/>
                <w:szCs w:val="19"/>
              </w:rPr>
              <w:t xml:space="preserve">CEO or President may commission if concerned</w:t>
            </w:r>
          </w:p>
        </w:tc>
      </w:tr>
    </w:tbl>
    <w:p>
      <w:pPr>
        <w:sectPr>
          <w:footerReference w:type="default" r:id="rId7"/>
          <w:pgSz w:w="12240" w:h="15840" w:orient="portrait"/>
          <w:pgMar w:top="1440" w:right="1440" w:bottom="1440" w:left="1440" w:header="708" w:footer="708" w:gutter="0"/>
          <w:pgNumType/>
          <w:docGrid w:linePitch="360"/>
        </w:sectPr>
      </w:pPr>
    </w:p>
    <w:p>
      <w:pPr>
        <w:pStyle w:val="Heading1"/>
      </w:pPr>
      <w:r>
        <w:t xml:space="preserve">Duties &amp; Ownership Across Business Functions</w:t>
      </w:r>
    </w:p>
    <w:p>
      <w:pPr>
        <w:spacing w:after="120"/>
      </w:pPr>
      <w:r>
        <w:rPr>
          <w:sz w:val="19"/>
          <w:szCs w:val="19"/>
        </w:rPr>
        <w:t xml:space="preserve">At-a-glance ownership of each business mechanism. Designations summarize the detailed responsibilities above; where two roles share a function, both are marked. Financial thresholds are detailed in the previous section.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60"/>
        <w:gridCol w:w="2800"/>
        <w:gridCol w:w="2800"/>
        <w:gridCol w:w="2800"/>
        <w:gridCol w:w="2800"/>
      </w:tblGrid>
      <w:tr>
        <w:trPr>
          <w:tblHeader/>
        </w:trPr>
        <w:tc>
          <w:tcPr>
            <w:tcW w:type="dxa" w:w="176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7"/>
                <w:szCs w:val="17"/>
              </w:rPr>
              <w:t xml:space="preserve">Function</w:t>
            </w:r>
          </w:p>
        </w:tc>
        <w:tc>
          <w:tcPr>
            <w:tcW w:type="dxa" w:w="280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7"/>
                <w:szCs w:val="17"/>
              </w:rPr>
              <w:t xml:space="preserve">CEO</w:t>
            </w:r>
          </w:p>
        </w:tc>
        <w:tc>
          <w:tcPr>
            <w:tcW w:type="dxa" w:w="280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7"/>
                <w:szCs w:val="17"/>
              </w:rPr>
              <w:t xml:space="preserve">President</w:t>
            </w:r>
          </w:p>
        </w:tc>
        <w:tc>
          <w:tcPr>
            <w:tcW w:type="dxa" w:w="280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7"/>
                <w:szCs w:val="17"/>
              </w:rPr>
              <w:t xml:space="preserve">COO (reports to President)</w:t>
            </w:r>
          </w:p>
        </w:tc>
        <w:tc>
          <w:tcPr>
            <w:tcW w:type="dxa" w:w="2800"/>
            <w:tcBorders>
              <w:top w:val="single" w:color="B7C3D0" w:sz="1"/>
              <w:left w:val="single" w:color="B7C3D0" w:sz="1"/>
              <w:bottom w:val="single" w:color="B7C3D0" w:sz="1"/>
              <w:right w:val="single" w:color="B7C3D0" w:sz="1"/>
            </w:tcBorders>
            <w:shd w:fill="1F3864" w:val="clear"/>
            <w:tcMar>
              <w:top w:type="dxa" w:w="50"/>
              <w:left w:type="dxa" w:w="110"/>
              <w:bottom w:type="dxa" w:w="50"/>
              <w:right w:type="dxa" w:w="110"/>
            </w:tcMar>
          </w:tcPr>
          <w:p>
            <w:pPr>
              <w:jc w:val="left"/>
            </w:pPr>
            <w:r>
              <w:rPr>
                <w:b/>
                <w:bCs/>
                <w:color w:val="FFFFFF"/>
                <w:sz w:val="17"/>
                <w:szCs w:val="17"/>
              </w:rPr>
              <w:t xml:space="preserve">Governance Committee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Strategy</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set strategy, goals, resource allocation</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execute strategy</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F — assume gradually</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Growth (revenue)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set targets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A/E — achieve &amp; report on growth</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track &amp; compile metrics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F — set targets long-term</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Acquisitions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final decision; feasibility</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feasibility, LOI, integration</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financial due diligence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cultural &amp; strategic fit</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Offerings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lead mid-market platform team</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major-accounts methodology; gist oversight</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assign sales/mktg resources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Thought leadership</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present &amp; publish</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present, publish, delegate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A — approve related spend</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R&amp;D</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product owner</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prioritize; feature requests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scrum master; feature requests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People / HR</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final hire/fire, reviews, pay rates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recruiting, HR function, 360, coaching ops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employee voice; coaching strategy</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Organizational dev.</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studio decision (non-voting)</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studio leadership (non-voting)</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admin elections (non-voting)</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self-govern; select President; CEO succession</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Staff plan</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contribute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A — final approval of assignments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chair resource meetings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Incentive systems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determine systems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A — manage incentive pay; training budget</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propose bonus pool</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bonus program basis &amp; distribution</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Marketing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key messaging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A — alignment; gist marketing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O/E — day-to-day team, spend, metrics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Sales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acquire major clients; mentor sales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O/A — final signature; align team; pipeline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sales logistics; manage team</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Brand</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brand promises; vision/mission/values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execute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S — brand-conforming templates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Client satisfaction</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key client relationships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sponsors; NPS; escalation</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onboarding, invoicing, compliance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Investor relations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owners &amp; landlord</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pay distributions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Budget</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contribute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C — contribute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monitor &amp; stay within</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F — set &amp; monitor long-term</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Finance &amp; accounting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A — approve debt &gt;$100K; audit</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A — signing authority; P&amp;L; joint ≥$2,500</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cash, bookkeeping; &lt;$2,500 approvals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notified of major spend</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Payroll</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A — approve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E — process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Legal &amp; compliance</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patents; lawyers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contracts &amp; legal issues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E — IRS/tax; gov reporting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bCs/>
                <w:sz w:val="16"/>
                <w:szCs w:val="16"/>
              </w:rPr>
              <w:t xml:space="preserve">Insurance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O — ensure adequate coverage; seek bids</w:t>
            </w:r>
          </w:p>
        </w:tc>
        <w:tc>
          <w:tcPr>
            <w:tcW w:type="dxa" w:w="2800"/>
            <w:tcBorders>
              <w:top w:val="single" w:color="B7C3D0" w:sz="1"/>
              <w:left w:val="single" w:color="B7C3D0" w:sz="1"/>
              <w:bottom w:val="single" w:color="B7C3D0" w:sz="1"/>
              <w:right w:val="single" w:color="B7C3D0" w:sz="1"/>
            </w:tcBorders>
            <w:shd w:fill="EAF0F7" w:val="clear"/>
            <w:tcMar>
              <w:top w:type="dxa" w:w="50"/>
              <w:left w:type="dxa" w:w="110"/>
              <w:bottom w:type="dxa" w:w="50"/>
              <w:right w:type="dxa" w:w="110"/>
            </w:tcMar>
          </w:tcPr>
          <w:p>
            <w:pPr>
              <w:jc w:val="left"/>
            </w:pPr>
            <w:r>
              <w:rPr>
                <w:b w:val="false"/>
                <w:bCs w:val="false"/>
                <w:sz w:val="16"/>
                <w:szCs w:val="16"/>
              </w:rPr>
              <w:t xml:space="preserve">—</w:t>
            </w:r>
          </w:p>
        </w:tc>
      </w:tr>
      <w:tr>
        <w:trPr>
          <w:tblHeader w:val="false"/>
        </w:trPr>
        <w:tc>
          <w:tcPr>
            <w:tcW w:type="dxa" w:w="176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bCs/>
                <w:sz w:val="16"/>
                <w:szCs w:val="16"/>
              </w:rPr>
              <w:t xml:space="preserve">Reporting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define metrics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C — define metrics</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all financial &amp; operational reporting</w:t>
            </w:r>
          </w:p>
        </w:tc>
        <w:tc>
          <w:tcPr>
            <w:tcW w:type="dxa" w:w="2800"/>
            <w:tcBorders>
              <w:top w:val="single" w:color="B7C3D0" w:sz="1"/>
              <w:left w:val="single" w:color="B7C3D0" w:sz="1"/>
              <w:bottom w:val="single" w:color="B7C3D0" w:sz="1"/>
              <w:right w:val="single" w:color="B7C3D0" w:sz="1"/>
            </w:tcBorders>
            <w:tcMar>
              <w:top w:type="dxa" w:w="50"/>
              <w:left w:type="dxa" w:w="110"/>
              <w:bottom w:type="dxa" w:w="50"/>
              <w:right w:type="dxa" w:w="110"/>
            </w:tcMar>
          </w:tcPr>
          <w:p>
            <w:pPr>
              <w:jc w:val="left"/>
            </w:pPr>
            <w:r>
              <w:rPr>
                <w:b w:val="false"/>
                <w:bCs w:val="false"/>
                <w:sz w:val="16"/>
                <w:szCs w:val="16"/>
              </w:rPr>
              <w:t xml:space="preserve">O — reporting to trustees</w:t>
            </w:r>
          </w:p>
        </w:tc>
      </w:tr>
    </w:tbl>
    <w:p>
      <w:pPr>
        <w:spacing w:before="120"/>
      </w:pPr>
      <w:r>
        <w:rPr>
          <w:b/>
          <w:bCs/>
          <w:sz w:val="18"/>
          <w:szCs w:val="18"/>
        </w:rPr>
        <w:t xml:space="preserve">Legend:  </w:t>
      </w:r>
      <w:r>
        <w:rPr>
          <w:color w:val="555555"/>
          <w:sz w:val="18"/>
          <w:szCs w:val="18"/>
        </w:rPr>
        <w:t xml:space="preserve">O = Owns / final authority   •   A = Approves / signs   •   C = Contributes / advises   •   E = Executes / day-to-day   •   F = Future owner (governance transition)   •   — = Not involved</w:t>
      </w:r>
    </w:p>
    <w:sectPr>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Semantic Arts — Executive Roles &amp; Responsibilities — Confidential   |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Semantic Arts — Executive Roles &amp; Responsibilities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40"/>
      <w:outlineLvl w:val="1"/>
    </w:pPr>
    <w:rPr>
      <w:rFonts w:ascii="Arial" w:cs="Arial" w:eastAsia="Arial" w:hAnsi="Arial"/>
      <w:b/>
      <w:bCs/>
      <w:color w:val="2E4D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2026-06-30T13:50:07.466Z</dcterms:created>
  <dcterms:modified xsi:type="dcterms:W3CDTF">2026-06-30T13:50:07.466Z</dcterms:modified>
</cp:coreProperties>
</file>

<file path=docProps/custom.xml><?xml version="1.0" encoding="utf-8"?>
<Properties xmlns="http://schemas.openxmlformats.org/officeDocument/2006/custom-properties" xmlns:vt="http://schemas.openxmlformats.org/officeDocument/2006/docPropsVTypes"/>
</file>