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Program Risk Register</w:t>
      </w:r>
    </w:p>
    <w:p>
      <w:pPr>
        <w:spacing w:after="200"/>
      </w:pPr>
      <w:r>
        <w:t xml:space="preserve">A comprehensive tool for identifying, tracking, and managing program risks throughout the lifecycle.</w:t>
      </w:r>
    </w:p>
    <w:p>
      <w:pPr>
        <w:pStyle w:val="Heading2"/>
      </w:pPr>
      <w:r>
        <w:t xml:space="preserve">Program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 Name: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 program name]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 Manager: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[Enter name]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Risk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Critical Risks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Active Risks</w:t>
            </w:r>
          </w:p>
        </w:tc>
        <w:tc>
          <w:tcPr>
            <w:tcW w:type="dxa" w:w="3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Risks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32"/>
                <w:szCs w:val="32"/>
              </w:rPr>
              <w:t xml:space="preserve">[Count]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7E00"/>
                <w:sz w:val="32"/>
                <w:szCs w:val="32"/>
              </w:rPr>
              <w:t xml:space="preserve">[Count]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[Count]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Detailed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200"/>
        <w:gridCol w:w="800"/>
        <w:gridCol w:w="800"/>
        <w:gridCol w:w="700"/>
        <w:gridCol w:w="1600"/>
        <w:gridCol w:w="1600"/>
        <w:gridCol w:w="900"/>
        <w:gridCol w:w="700"/>
        <w:gridCol w:w="800"/>
      </w:tblGrid>
      <w:tr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Contingency Plan</w:t>
            </w:r>
          </w:p>
        </w:tc>
        <w:tc>
          <w:tcPr>
            <w:tcW w:type="dxa" w:w="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R-001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Key resource may not be available for critical 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Identify backup resources and begin knowledge transfer early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Contract with external consultant if resource becomes unavailable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Jane Smith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2026-02-01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Register Instructions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This Risk Register helps track, assess, and manage program risks throughout the lifecycle.</w:t>
      </w:r>
    </w:p>
    <w:p>
      <w:pPr>
        <w:pStyle w:val="Heading2"/>
      </w:pPr>
      <w:r>
        <w:t xml:space="preserve">How to Use</w:t>
      </w:r>
    </w:p>
    <w:p>
      <w:pPr>
        <w:pStyle w:val="Heading3"/>
      </w:pPr>
      <w:r>
        <w:t xml:space="preserve">1. Risk ID</w:t>
      </w:r>
    </w:p>
    <w:p>
      <w:pPr>
        <w:spacing w:after="160"/>
      </w:pPr>
      <w:r>
        <w:t xml:space="preserve">Assign unique identifier (R-001, R-002, etc.)</w:t>
      </w:r>
    </w:p>
    <w:p>
      <w:pPr>
        <w:pStyle w:val="Heading3"/>
      </w:pPr>
      <w:r>
        <w:t xml:space="preserve">2. Category</w:t>
      </w:r>
    </w:p>
    <w:p>
      <w:pPr>
        <w:spacing w:after="100"/>
      </w:pPr>
      <w:r>
        <w:t xml:space="preserve">Classify risk type:</w:t>
      </w:r>
    </w:p>
    <w:p>
      <w:pPr>
        <w:spacing w:after="160"/>
      </w:pPr>
      <w:r>
        <w:t xml:space="preserve">  • Schedule: Timeline and deadline risks</w:t>
      </w:r>
      <w:r>
        <w:t xml:space="preserve">
  • Technical: Technology, integration, or technical capability risks</w:t>
      </w:r>
      <w:r>
        <w:t xml:space="preserve">
  • Resource: People, budget, or infrastructure risks</w:t>
      </w:r>
      <w:r>
        <w:t xml:space="preserve">
  • Stakeholder: Alignment, communication, or political risks</w:t>
      </w:r>
      <w:r>
        <w:t xml:space="preserve">
  • External: Vendor, regulatory, or market risks</w:t>
      </w:r>
    </w:p>
    <w:p>
      <w:pPr>
        <w:pStyle w:val="Heading3"/>
      </w:pPr>
      <w:r>
        <w:t xml:space="preserve">3. Risk Description</w:t>
      </w:r>
    </w:p>
    <w:p>
      <w:pPr>
        <w:spacing w:after="160"/>
      </w:pPr>
      <w:r>
        <w:t xml:space="preserve">Clear statement of what might go wrong. Use format: 'If [condition], then [consequence]'. Be specific and objective.</w:t>
      </w:r>
    </w:p>
    <w:p>
      <w:pPr>
        <w:pStyle w:val="Heading3"/>
      </w:pPr>
      <w:r>
        <w:t xml:space="preserve">4. Probability</w:t>
      </w:r>
    </w:p>
    <w:p>
      <w:pPr>
        <w:spacing w:after="100"/>
      </w:pPr>
      <w:r>
        <w:t xml:space="preserve">Likelihood of risk occurring:</w:t>
      </w:r>
    </w:p>
    <w:p>
      <w:pPr>
        <w:spacing w:after="160"/>
      </w:pPr>
      <w:r>
        <w:t xml:space="preserve">  • High: &gt;60% chance</w:t>
      </w:r>
      <w:r>
        <w:t xml:space="preserve">
  • Medium: 30-60% chance</w:t>
      </w:r>
      <w:r>
        <w:t xml:space="preserve">
  • Low: &lt;30% chance</w:t>
      </w:r>
    </w:p>
    <w:p>
      <w:pPr>
        <w:pStyle w:val="Heading3"/>
      </w:pPr>
      <w:r>
        <w:t xml:space="preserve">5. Impact</w:t>
      </w:r>
    </w:p>
    <w:p>
      <w:pPr>
        <w:spacing w:after="100"/>
      </w:pPr>
      <w:r>
        <w:t xml:space="preserve">Severity if risk materializes:</w:t>
      </w:r>
    </w:p>
    <w:p>
      <w:pPr>
        <w:spacing w:after="160"/>
      </w:pPr>
      <w:r>
        <w:t xml:space="preserve">  • High: Major program impact (schedule, budget, or scope)</w:t>
      </w:r>
      <w:r>
        <w:t xml:space="preserve">
  • Medium: Moderate impact, manageable with adjustments</w:t>
      </w:r>
      <w:r>
        <w:t xml:space="preserve">
  • Low: Minor impact, easily absorbed</w:t>
      </w:r>
    </w:p>
    <w:p>
      <w:pPr>
        <w:pStyle w:val="Heading3"/>
      </w:pPr>
      <w:r>
        <w:t xml:space="preserve">6. Risk Score</w:t>
      </w:r>
    </w:p>
    <w:p>
      <w:pPr>
        <w:spacing w:after="100"/>
      </w:pPr>
      <w:r>
        <w:t xml:space="preserve">Calculated based on Probability and Impact (1-5 scale):</w:t>
      </w:r>
    </w:p>
    <w:p>
      <w:pPr>
        <w:spacing w:after="160"/>
      </w:pPr>
      <w:r>
        <w:t xml:space="preserve">  • 5 = Critical (High/High)</w:t>
      </w:r>
      <w:r>
        <w:t xml:space="preserve">
  • 4 = High (Medium/High or High/Medium)</w:t>
      </w:r>
      <w:r>
        <w:t xml:space="preserve">
  • 3 = Medium (Low/High, High/Low, or Medium/Medium)</w:t>
      </w:r>
      <w:r>
        <w:t xml:space="preserve">
  • 2 = Low (Low/Medium or Medium/Low)</w:t>
      </w:r>
      <w:r>
        <w:t xml:space="preserve">
  • 1 = Minimal (Low/Low)</w:t>
      </w:r>
    </w:p>
    <w:p>
      <w:pPr>
        <w:pStyle w:val="Heading3"/>
      </w:pPr>
      <w:r>
        <w:t xml:space="preserve">7. Mitigation Strategy</w:t>
      </w:r>
    </w:p>
    <w:p>
      <w:pPr>
        <w:spacing w:after="160"/>
      </w:pPr>
      <w:r>
        <w:t xml:space="preserve">Proactive actions to reduce probability or impact. Focus on prevention. Assign clear actions and owners.</w:t>
      </w:r>
    </w:p>
    <w:p>
      <w:pPr>
        <w:pStyle w:val="Heading3"/>
      </w:pPr>
      <w:r>
        <w:t xml:space="preserve">8. Contingency Plan</w:t>
      </w:r>
    </w:p>
    <w:p>
      <w:pPr>
        <w:spacing w:after="160"/>
      </w:pPr>
      <w:r>
        <w:t xml:space="preserve">Response if risk occurs. What you'll do if mitigation fails. Should be ready to execute.</w:t>
      </w:r>
    </w:p>
    <w:p>
      <w:pPr>
        <w:pStyle w:val="Heading3"/>
      </w:pPr>
      <w:r>
        <w:t xml:space="preserve">9. Owner</w:t>
      </w:r>
    </w:p>
    <w:p>
      <w:pPr>
        <w:spacing w:after="160"/>
      </w:pPr>
      <w:r>
        <w:t xml:space="preserve">Person responsible for monitoring and managing this risk.</w:t>
      </w:r>
    </w:p>
    <w:p>
      <w:pPr>
        <w:pStyle w:val="Heading3"/>
      </w:pPr>
      <w:r>
        <w:t xml:space="preserve">10. Status</w:t>
      </w:r>
    </w:p>
    <w:p>
      <w:pPr>
        <w:spacing w:after="160"/>
      </w:pPr>
      <w:r>
        <w:t xml:space="preserve">  • Active: Currently monitoring</w:t>
      </w:r>
      <w:r>
        <w:t xml:space="preserve">
  • Mitigated: Actions taken, reduced risk</w:t>
      </w:r>
      <w:r>
        <w:t xml:space="preserve">
  • Occurred: Risk materialized, executing contingency</w:t>
      </w:r>
      <w:r>
        <w:t xml:space="preserve">
  • Closed: No longer relevant</w:t>
      </w:r>
    </w:p>
    <w:p>
      <w:pPr>
        <w:pStyle w:val="Heading3"/>
      </w:pPr>
      <w:r>
        <w:t xml:space="preserve">11. Review Date</w:t>
      </w:r>
    </w:p>
    <w:p>
      <w:pPr>
        <w:spacing w:after="240"/>
      </w:pPr>
      <w:r>
        <w:t xml:space="preserve">Next scheduled risk assessment.</w:t>
      </w:r>
    </w:p>
    <w:p>
      <w:pPr>
        <w:pStyle w:val="Heading2"/>
      </w:pPr>
      <w:r>
        <w:t xml:space="preserve">Best Practices</w:t>
      </w:r>
    </w:p>
    <w:p>
      <w:pPr>
        <w:spacing w:after="200"/>
      </w:pPr>
      <w:r>
        <w:t xml:space="preserve">  • Update regularly (at least monthly)</w:t>
      </w:r>
      <w:r>
        <w:t xml:space="preserve">
  • Review all risks at program milestones</w:t>
      </w:r>
      <w:r>
        <w:t xml:space="preserve">
  • Escalate risks with score 4-5 immediately</w:t>
      </w:r>
      <w:r>
        <w:t xml:space="preserve">
  • Archive closed risks rather than deleting (lessons learned)</w:t>
      </w:r>
      <w:r>
        <w:t xml:space="preserve">
  • Use AI to identify emerging risks from status updates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2026-01-29T17:02:43.102Z</dcterms:created>
  <dcterms:modified xsi:type="dcterms:W3CDTF">2026-01-29T17:02:43.103Z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