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Non-Disclosure Agreement</w:t>
      </w:r>
    </w:p>
    <w:p>
      <w:pPr>
        <w:pStyle w:val="Heading2"/>
      </w:pPr>
      <w:r>
        <w:t>1. Preamble, Recitals and Purpose</w:t>
      </w:r>
    </w:p>
    <w:p>
      <w:r>
        <w:t>MUTUAL NON-DISCLOSURE AGREEMENT</w:t>
      </w:r>
    </w:p>
    <w:p>
      <w:r>
        <w:t>This Mutual Non-Disclosure Agreement (this "Agreement") is entered into and made effective as of 1 September 2026 (the "Effective Date"), by and between Meridian Analytics, Inc., a Delaware corporation ("Meridian"), and Halloway Marine Systems, Inc., a Washington corporation ("Halloway"). Meridian and Halloway are each referred to herein as a "Party" and together as the "Parties." The Parties wish to explore technical due-diligence discussions between the parties (the "Purpose"), in connection with which each Party may disclose to the other certain confidential and proprietary information.</w:t>
      </w:r>
    </w:p>
    <w:p>
      <w:pPr>
        <w:pStyle w:val="Heading2"/>
      </w:pPr>
      <w:r>
        <w:t>2. Definitions</w:t>
      </w:r>
    </w:p>
    <w:p>
      <w:r>
        <w:t>1.1 "Confidential Information" means all non-public information, in any form or medium, disclosed by or on behalf of a Party (the "Disclosing Party") to the other Party (the "Receiving Party") in connection with the Purpose, whether before or after the Effective Date, that is designated as confidential or that a reasonable person would understand to be confidential given its nature and the circumstances of disclosure, including without limitation sonar firmware roadmaps and integration test data, and the existence and terms of the Parties' discussions regarding the Purpose.</w:t>
      </w:r>
    </w:p>
    <w:p>
      <w:r>
        <w:t>1.2 "Representatives" means, with respect to a Party, such Party's directors, officers, employees, attorneys, accountants, and financial advisors who have a need to know Confidential Information in connection with the Purpose.</w:t>
      </w:r>
    </w:p>
    <w:p>
      <w:pPr>
        <w:pStyle w:val="Heading2"/>
      </w:pPr>
      <w:r>
        <w:t>3. Confidentiality Obligations</w:t>
      </w:r>
    </w:p>
    <w:p>
      <w:r>
        <w:t>CONFIDENTIALITY OBLIGATIONS. The Receiving Party shall: (a) hold the Disclosing Party's Confidential Information in strict confidence and protect it with at least the same degree of care it uses to protect its own confidential information of a similar nature, and in no event less than reasonable care; (b) use the Confidential Information solely for the Purpose and for no other purpose; (c) not disclose the Confidential Information to any third party without the prior written consent of the Disclosing Party, except to its directors, officers, employees, and professional advisors who have a need to know such information for the Purpose and who are bound by confidentiality obligations at least as protective as those set forth herein (collectively, "Representatives"); and (d) promptly notify the Disclosing Party in writing of any unauthorized use or disclosure of Confidential Information. The Receiving Party shall be responsible for any breach of this Agreement by its Representatives.</w:t>
      </w:r>
    </w:p>
    <w:p>
      <w:pPr>
        <w:pStyle w:val="Heading2"/>
      </w:pPr>
      <w:r>
        <w:t>4. Exclusions from Confidential Information</w:t>
      </w:r>
    </w:p>
    <w:p>
      <w:r>
        <w:t>The obligations set forth in clause 3 shall not apply to information that the Receiving Party can demonstrate by competent written evidence: (a) is or becomes generally known to the public through no act or omission of the Receiving Party in breach of this Agreement; (b) was rightfully in the Receiving Party's possession, without restriction on use or disclosure, prior to its receipt from the Disclosing Party; (c) is rightfully received by the Receiving Party from a third party without breach of any obligation of confidentiality owed to the Disclosing Party; or (d) is independently developed by the Receiving Party without use of or reference to the Disclosing Party's Confidential Information.</w:t>
      </w:r>
    </w:p>
    <w:p>
      <w:pPr>
        <w:pStyle w:val="Heading2"/>
      </w:pPr>
      <w:r>
        <w:t>5. Compelled Disclosure</w:t>
      </w:r>
    </w:p>
    <w:p>
      <w:r>
        <w:t>If the Receiving Party is required by law, regulation, or valid order of a court or governmental authority to disclose Confidential Information, it may do so without breaching clause 3, provided that, to the extent legally permitted, the Receiving Party (a) gives the Disclosing Party prompt written notice of the requirement so that the Disclosing Party may seek a protective order or other appropriate remedy, and reasonably cooperates, at the Disclosing Party's expense, in any such effort, and (b) discloses only that portion of the Confidential Information that is legally required to be disclosed. Any disclosure made pursuant to this clause shall not otherwise relieve the Receiving Party of its obligations under clause 3.</w:t>
      </w:r>
    </w:p>
    <w:p>
      <w:pPr>
        <w:pStyle w:val="Heading2"/>
      </w:pPr>
      <w:r>
        <w:t>6. No License; Ownership of Confidential Information</w:t>
      </w:r>
    </w:p>
    <w:p>
      <w:r>
        <w:t>All Confidential Information remains the sole property of the Disclosing Party. Nothing in this Agreement grants or shall be construed as granting either Party any license or other right, express or implied, whether by implication, estoppel, or otherwise, in or to any Confidential Information or any patent, copyright, trademark, trade secret, or other intellectual property of the other Party, except the limited right to use the Confidential Information for the Purpose as set forth in clause 3.</w:t>
      </w:r>
    </w:p>
    <w:p>
      <w:r>
        <w:t>Neither Party is obligated by this Agreement to disclose any information or to enter into any further agreement, transaction, or business relationship.</w:t>
      </w:r>
    </w:p>
    <w:p>
      <w:pPr>
        <w:pStyle w:val="Heading2"/>
      </w:pPr>
      <w:r>
        <w:t>7. Return or Destruction of Materials</w:t>
      </w:r>
    </w:p>
    <w:p>
      <w:r>
        <w:t>Upon the Disclosing Party's written request or upon the expiration or termination of this Agreement, whichever occurs earlier, the Receiving Party shall promptly return to the Disclosing Party or, at the Disclosing Party's election, destroy all Confidential Information of the Disclosing Party in its possession, including all copies, notes, extracts, summaries, and derivative materials in any medium, and shall certify such return or destruction in writing upon request. Notwithstanding the foregoing, the Receiving Party may retain one archival copy solely as required by applicable law or bona fide document retention policies, together with copies stored in automatic backup systems, provided that all retained materials remain subject to the confidentiality obligations of clause 3 for so long as they are retained.</w:t>
      </w:r>
    </w:p>
    <w:p>
      <w:pPr>
        <w:pStyle w:val="Heading2"/>
      </w:pPr>
      <w:r>
        <w:t>8. No Warranty; No Obligation to Disclose or Proceed</w:t>
      </w:r>
    </w:p>
    <w:p>
      <w:r>
        <w:t>All Confidential Information is provided "AS IS," and neither Party makes any representation or warranty, express or implied, regarding the accuracy or completeness of its Confidential Information. Nothing in this Agreement obligates either Party to disclose any information, or to proceed with or enter into any transaction, relationship or further agreement.</w:t>
      </w:r>
    </w:p>
    <w:p>
      <w:pPr>
        <w:pStyle w:val="Heading2"/>
      </w:pPr>
      <w:r>
        <w:t>9. Term and Survival</w:t>
      </w:r>
    </w:p>
    <w:p>
      <w:r>
        <w:t>This Agreement shall commence on the Effective Date and continue for a period of 3 years, unless earlier terminated by either Party upon 30 days' prior written notice.</w:t>
      </w:r>
    </w:p>
    <w:p>
      <w:r>
        <w:t>The obligations set forth in clause 3 with respect to Confidential Information disclosed during the term shall survive any expiration or termination of this Agreement for a period of 5 years thereafter; provided that obligations with respect to trade secrets shall survive for so long as such information remains a trade secret under applicable law.</w:t>
      </w:r>
    </w:p>
    <w:p>
      <w:pPr>
        <w:pStyle w:val="Heading2"/>
      </w:pPr>
      <w:r>
        <w:t>10. Remedies; Injunctive/Equitable Relief</w:t>
      </w:r>
    </w:p>
    <w:p>
      <w:r>
        <w:t>Each Party acknowledges that any breach or threatened breach of this Agreement may cause the other Party irreparable harm for which monetary damages would be an inadequate remedy. Accordingly, in addition to any other remedies available at law or in equity, the non-breaching Party shall be entitled to seek injunctive relief and specific performance, without the necessity of posting a bond or proving actual damages.</w:t>
      </w:r>
    </w:p>
    <w:p>
      <w:pPr>
        <w:pStyle w:val="Heading2"/>
      </w:pPr>
      <w:r>
        <w:t>11. Governing Law; Jurisdiction</w:t>
      </w:r>
    </w:p>
    <w:p>
      <w:r>
        <w:t>This Agreement shall be governed by and construed in accordance with the laws of the State of New York, without regard to its conflict of laws principles. The Parties consent to the exclusive jurisdiction of the state and federal courts located in the state and federal courts located in New York County, New York for any action arising out of or relating to this Agreement.</w:t>
      </w:r>
    </w:p>
    <w:p>
      <w:pPr>
        <w:pStyle w:val="Heading2"/>
      </w:pPr>
      <w:r>
        <w:t>12. Entire Agreement; Miscellaneous / General Provisions</w:t>
      </w:r>
    </w:p>
    <w:p>
      <w:r>
        <w:t>This Agreement constitutes the entire agreement between the Parties with respect to its subject matter and supersedes all prior or contemporaneous agreements and understandings, whether written or oral, relating thereto. No amendment or waiver shall be effective unless in writing and signed by both Parties. Neither Party may assign this Agreement without the prior written consent of the other Party, except to a successor in connection with a merger or the sale of substantially all of its assets. If any provision of this Agreement is held unenforceable, the remaining provisions shall remain in full force and effect. This Agreement may be executed in counterparts, each of which shall be deemed an original.</w:t>
      </w:r>
    </w:p>
    <w:p>
      <w:pPr>
        <w:pStyle w:val="Heading2"/>
      </w:pPr>
      <w:r>
        <w:t>13. Signature Block</w:t>
      </w:r>
    </w:p>
    <w:p>
      <w:r>
        <w:t>IN WITNESS WHEREOF, the Parties have executed this Agreement as of the Effective Date.</w:t>
      </w:r>
    </w:p>
    <w:p>
      <w:r>
        <w:t>Meridian Analytics, Inc.</w:t>
      </w:r>
    </w:p>
    <w:p>
      <w:r>
        <w:t>By: _________________________</w:t>
        <w:br/>
        <w:t>Name: Dana Whitfield</w:t>
        <w:br/>
        <w:t>Title: Chief Executive Officer</w:t>
        <w:br/>
        <w:t>Date: _______________________</w:t>
      </w:r>
    </w:p>
    <w:p>
      <w:r>
        <w:t>Halloway Marine Systems, Inc.</w:t>
      </w:r>
    </w:p>
    <w:p>
      <w:r>
        <w:t>By: _________________________</w:t>
        <w:br/>
        <w:t>Name: Rex Halloway</w:t>
        <w:br/>
        <w:t>Title: President</w:t>
        <w:br/>
        <w:t>Date: 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