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1B60" w14:textId="1D67A3BD" w:rsidR="008A163B" w:rsidRPr="00371538" w:rsidRDefault="008A163B" w:rsidP="008A163B">
      <w:pPr>
        <w:pStyle w:val="NoSpacing"/>
        <w:rPr>
          <w:b/>
          <w:bCs/>
        </w:rPr>
      </w:pPr>
      <w:r w:rsidRPr="00371538">
        <w:rPr>
          <w:b/>
          <w:bCs/>
        </w:rPr>
        <w:t>Jeremy Strauch</w:t>
      </w:r>
    </w:p>
    <w:p w14:paraId="7316FDDF" w14:textId="1CBBEC18" w:rsidR="008A163B" w:rsidRPr="00371538" w:rsidRDefault="008A163B" w:rsidP="008A163B">
      <w:pPr>
        <w:pStyle w:val="NoSpacing"/>
        <w:rPr>
          <w:b/>
          <w:bCs/>
        </w:rPr>
      </w:pPr>
      <w:r w:rsidRPr="00371538">
        <w:rPr>
          <w:b/>
          <w:bCs/>
        </w:rPr>
        <w:t>Python – Pandas Challenge</w:t>
      </w:r>
    </w:p>
    <w:p w14:paraId="4BAF3808" w14:textId="2C0148D4" w:rsidR="008A163B" w:rsidRPr="00371538" w:rsidRDefault="008A163B" w:rsidP="008A163B">
      <w:pPr>
        <w:pStyle w:val="NoSpacing"/>
        <w:rPr>
          <w:b/>
          <w:bCs/>
        </w:rPr>
      </w:pPr>
      <w:r w:rsidRPr="00371538">
        <w:rPr>
          <w:b/>
          <w:bCs/>
        </w:rPr>
        <w:t>UPenn Data Analytics Bootcamp</w:t>
      </w:r>
    </w:p>
    <w:p w14:paraId="4853A536" w14:textId="06B27DC6" w:rsidR="008A163B" w:rsidRPr="00371538" w:rsidRDefault="008A163B" w:rsidP="008A163B">
      <w:pPr>
        <w:pStyle w:val="NoSpacing"/>
        <w:rPr>
          <w:b/>
          <w:bCs/>
        </w:rPr>
      </w:pPr>
      <w:r w:rsidRPr="00371538">
        <w:rPr>
          <w:b/>
          <w:bCs/>
        </w:rPr>
        <w:t>January 27, 2021</w:t>
      </w:r>
    </w:p>
    <w:p w14:paraId="088FB7B3" w14:textId="0C870C4C" w:rsidR="008A163B" w:rsidRDefault="008A163B" w:rsidP="008A163B">
      <w:pPr>
        <w:pStyle w:val="NoSpacing"/>
      </w:pPr>
    </w:p>
    <w:p w14:paraId="33EF70EA" w14:textId="6459C32A" w:rsidR="008A163B" w:rsidRPr="00371538" w:rsidRDefault="008A163B" w:rsidP="008A163B">
      <w:pPr>
        <w:pStyle w:val="NoSpacing"/>
        <w:rPr>
          <w:b/>
          <w:bCs/>
          <w:sz w:val="28"/>
          <w:szCs w:val="28"/>
        </w:rPr>
      </w:pPr>
      <w:r w:rsidRPr="00371538">
        <w:rPr>
          <w:b/>
          <w:bCs/>
          <w:sz w:val="28"/>
          <w:szCs w:val="28"/>
        </w:rPr>
        <w:t xml:space="preserve">Heroes of </w:t>
      </w:r>
      <w:proofErr w:type="spellStart"/>
      <w:r w:rsidRPr="00371538">
        <w:rPr>
          <w:b/>
          <w:bCs/>
          <w:sz w:val="28"/>
          <w:szCs w:val="28"/>
        </w:rPr>
        <w:t>Pymoli</w:t>
      </w:r>
      <w:proofErr w:type="spellEnd"/>
    </w:p>
    <w:p w14:paraId="62A111AD" w14:textId="582FF782" w:rsidR="008A163B" w:rsidRDefault="008A163B" w:rsidP="008A163B">
      <w:pPr>
        <w:pStyle w:val="NoSpacing"/>
      </w:pPr>
    </w:p>
    <w:p w14:paraId="43371204" w14:textId="3BF31B0F" w:rsidR="008A163B" w:rsidRPr="00371538" w:rsidRDefault="008A163B" w:rsidP="00371538">
      <w:pPr>
        <w:pStyle w:val="NoSpacing"/>
        <w:spacing w:after="120"/>
        <w:rPr>
          <w:b/>
          <w:bCs/>
          <w:u w:val="single"/>
        </w:rPr>
      </w:pPr>
      <w:r w:rsidRPr="00371538">
        <w:rPr>
          <w:b/>
          <w:bCs/>
          <w:u w:val="single"/>
        </w:rPr>
        <w:t>Background</w:t>
      </w:r>
    </w:p>
    <w:p w14:paraId="7861D58E" w14:textId="4873D145" w:rsidR="008A163B" w:rsidRDefault="008A163B" w:rsidP="008A163B">
      <w:pPr>
        <w:pStyle w:val="NoSpacing"/>
      </w:pPr>
      <w:r>
        <w:t xml:space="preserve">I’ve been assigned the task of analyzing player and game data for the latest fantasy game Heroes of </w:t>
      </w:r>
      <w:proofErr w:type="spellStart"/>
      <w:r>
        <w:t>Pymoli</w:t>
      </w:r>
      <w:proofErr w:type="spellEnd"/>
      <w:r>
        <w:t xml:space="preserve">. Below </w:t>
      </w:r>
      <w:r w:rsidR="0078381D">
        <w:t xml:space="preserve">are some brief insights found from the exercise followed by more detailed data analytics. </w:t>
      </w:r>
    </w:p>
    <w:p w14:paraId="1E300D6C" w14:textId="347FBB68" w:rsidR="000C431D" w:rsidRDefault="000C431D" w:rsidP="008A163B">
      <w:pPr>
        <w:pStyle w:val="NoSpacing"/>
      </w:pPr>
    </w:p>
    <w:p w14:paraId="1CA10935" w14:textId="31A3C80B" w:rsidR="000C431D" w:rsidRPr="000C431D" w:rsidRDefault="000C431D" w:rsidP="000C431D">
      <w:pPr>
        <w:pStyle w:val="NoSpacing"/>
        <w:spacing w:after="120"/>
        <w:rPr>
          <w:b/>
          <w:bCs/>
          <w:u w:val="single"/>
        </w:rPr>
      </w:pPr>
      <w:r w:rsidRPr="000C431D">
        <w:rPr>
          <w:b/>
          <w:bCs/>
          <w:u w:val="single"/>
        </w:rPr>
        <w:t>Observations from Data Analysis</w:t>
      </w:r>
    </w:p>
    <w:p w14:paraId="733E249C" w14:textId="12EE2C35" w:rsidR="000C431D" w:rsidRDefault="00460E6A" w:rsidP="005236B0">
      <w:pPr>
        <w:pStyle w:val="NoSpacing"/>
        <w:numPr>
          <w:ilvl w:val="0"/>
          <w:numId w:val="5"/>
        </w:numPr>
      </w:pPr>
      <w:r>
        <w:t xml:space="preserve">The data set contained </w:t>
      </w:r>
      <w:r w:rsidR="005236B0">
        <w:t>780 purchases by 576 unique players, generating approximately $2,400 in revenue.</w:t>
      </w:r>
    </w:p>
    <w:p w14:paraId="71901C95" w14:textId="78835505" w:rsidR="005236B0" w:rsidRDefault="005236B0" w:rsidP="005236B0">
      <w:pPr>
        <w:pStyle w:val="NoSpacing"/>
        <w:numPr>
          <w:ilvl w:val="0"/>
          <w:numId w:val="5"/>
        </w:numPr>
      </w:pPr>
      <w:r>
        <w:t>Male players were the highest contributors, responsible for approximately 83% of total purchase revenue. Of the 576 unique players, 652 or roughly 84% identified as male.</w:t>
      </w:r>
    </w:p>
    <w:p w14:paraId="2094096D" w14:textId="451479C4" w:rsidR="005236B0" w:rsidRDefault="005236B0" w:rsidP="005236B0">
      <w:pPr>
        <w:pStyle w:val="NoSpacing"/>
        <w:numPr>
          <w:ilvl w:val="0"/>
          <w:numId w:val="5"/>
        </w:numPr>
      </w:pPr>
      <w:r>
        <w:t>Age demographic data showed highest contributions for players starting at 15 – 19 years of age and peaking for ages between 20 – 24 (roughly contributing 60% of total revenue).</w:t>
      </w:r>
    </w:p>
    <w:p w14:paraId="3D90255A" w14:textId="37A26DED" w:rsidR="005236B0" w:rsidRDefault="005236B0" w:rsidP="005236B0">
      <w:pPr>
        <w:pStyle w:val="NoSpacing"/>
        <w:numPr>
          <w:ilvl w:val="0"/>
          <w:numId w:val="5"/>
        </w:numPr>
      </w:pPr>
      <w:r>
        <w:t>Oath Breaker, Final Critic and Nirvana were among both the top five most purchased games and top five in revenue generation.</w:t>
      </w:r>
    </w:p>
    <w:p w14:paraId="30251E59" w14:textId="45D0138E" w:rsidR="008A163B" w:rsidRDefault="008A163B" w:rsidP="008A163B">
      <w:pPr>
        <w:pStyle w:val="NoSpacing"/>
      </w:pPr>
    </w:p>
    <w:p w14:paraId="5A8B1323" w14:textId="0CD257DF" w:rsidR="00371538" w:rsidRPr="00371538" w:rsidRDefault="00371538" w:rsidP="00371538">
      <w:pPr>
        <w:pStyle w:val="NoSpacing"/>
        <w:spacing w:after="120"/>
        <w:rPr>
          <w:b/>
          <w:bCs/>
          <w:u w:val="single"/>
        </w:rPr>
      </w:pPr>
      <w:r w:rsidRPr="00371538">
        <w:rPr>
          <w:b/>
          <w:bCs/>
          <w:u w:val="single"/>
        </w:rPr>
        <w:t>Data Analysis</w:t>
      </w:r>
    </w:p>
    <w:p w14:paraId="281FF748" w14:textId="1E14A637" w:rsidR="00371538" w:rsidRDefault="00371538" w:rsidP="00371538">
      <w:pPr>
        <w:pStyle w:val="NoSpacing"/>
      </w:pPr>
      <w:r>
        <w:t>Player Count</w:t>
      </w:r>
    </w:p>
    <w:p w14:paraId="6D5E4D4F" w14:textId="77777777" w:rsidR="00371538" w:rsidRDefault="00371538" w:rsidP="00371538">
      <w:pPr>
        <w:pStyle w:val="NoSpacing"/>
      </w:pPr>
    </w:p>
    <w:p w14:paraId="55C8CCD4" w14:textId="5A95BCEC" w:rsidR="00371538" w:rsidRDefault="0078381D" w:rsidP="00BF0F77">
      <w:pPr>
        <w:pStyle w:val="NoSpacing"/>
        <w:numPr>
          <w:ilvl w:val="0"/>
          <w:numId w:val="1"/>
        </w:numPr>
      </w:pPr>
      <w:r>
        <w:t xml:space="preserve">A total of </w:t>
      </w:r>
      <w:r w:rsidR="00BF0F77">
        <w:t>576 unique players were found in the dataset</w:t>
      </w:r>
    </w:p>
    <w:p w14:paraId="47EB8F11" w14:textId="77777777" w:rsidR="00371538" w:rsidRDefault="00371538" w:rsidP="00371538">
      <w:pPr>
        <w:pStyle w:val="NoSpacing"/>
      </w:pPr>
    </w:p>
    <w:p w14:paraId="69151E78" w14:textId="7522823F" w:rsidR="00371538" w:rsidRDefault="00371538" w:rsidP="00371538">
      <w:pPr>
        <w:pStyle w:val="NoSpacing"/>
      </w:pPr>
      <w:r>
        <w:t>Purchasing Analysis (Total)</w:t>
      </w:r>
    </w:p>
    <w:p w14:paraId="6A3EBE94" w14:textId="77777777" w:rsidR="00371538" w:rsidRDefault="00371538" w:rsidP="00371538">
      <w:pPr>
        <w:pStyle w:val="NoSpacing"/>
      </w:pPr>
    </w:p>
    <w:p w14:paraId="04221D91" w14:textId="44E38EFC" w:rsidR="00371538" w:rsidRDefault="00A832B6" w:rsidP="001373C9">
      <w:pPr>
        <w:pStyle w:val="NoSpacing"/>
        <w:numPr>
          <w:ilvl w:val="0"/>
          <w:numId w:val="1"/>
        </w:numPr>
      </w:pPr>
      <w:r>
        <w:t>A total of 179 unique items were counted</w:t>
      </w:r>
    </w:p>
    <w:p w14:paraId="2BD50970" w14:textId="39F54265" w:rsidR="00371538" w:rsidRDefault="00A832B6" w:rsidP="001373C9">
      <w:pPr>
        <w:pStyle w:val="NoSpacing"/>
        <w:numPr>
          <w:ilvl w:val="0"/>
          <w:numId w:val="1"/>
        </w:numPr>
      </w:pPr>
      <w:r>
        <w:t xml:space="preserve">The </w:t>
      </w:r>
      <w:r w:rsidR="00371538">
        <w:t>Average Purchase Price</w:t>
      </w:r>
      <w:r w:rsidR="001373C9">
        <w:t xml:space="preserve"> paid by customers was $3.05</w:t>
      </w:r>
    </w:p>
    <w:p w14:paraId="26D7C549" w14:textId="18BFE968" w:rsidR="00371538" w:rsidRDefault="001373C9" w:rsidP="001373C9">
      <w:pPr>
        <w:pStyle w:val="NoSpacing"/>
        <w:numPr>
          <w:ilvl w:val="0"/>
          <w:numId w:val="1"/>
        </w:numPr>
      </w:pPr>
      <w:r>
        <w:t xml:space="preserve">The </w:t>
      </w:r>
      <w:r w:rsidR="00371538">
        <w:t>Total Number of Purchases</w:t>
      </w:r>
      <w:r>
        <w:t xml:space="preserve"> in the data set was 780</w:t>
      </w:r>
    </w:p>
    <w:p w14:paraId="3EB852D1" w14:textId="7246353B" w:rsidR="00371538" w:rsidRDefault="00371538" w:rsidP="001373C9">
      <w:pPr>
        <w:pStyle w:val="NoSpacing"/>
        <w:numPr>
          <w:ilvl w:val="0"/>
          <w:numId w:val="1"/>
        </w:numPr>
      </w:pPr>
      <w:r>
        <w:t>Total Revenue</w:t>
      </w:r>
      <w:r w:rsidR="001373C9">
        <w:t xml:space="preserve"> generated was $2379.77</w:t>
      </w:r>
    </w:p>
    <w:p w14:paraId="404DF8D6" w14:textId="77777777" w:rsidR="00371538" w:rsidRDefault="00371538" w:rsidP="00371538">
      <w:pPr>
        <w:pStyle w:val="NoSpacing"/>
      </w:pPr>
    </w:p>
    <w:p w14:paraId="0A500C94" w14:textId="71B4E350" w:rsidR="00371538" w:rsidRDefault="00371538" w:rsidP="00371538">
      <w:pPr>
        <w:pStyle w:val="NoSpacing"/>
      </w:pPr>
      <w:r>
        <w:t>Gender Demographics</w:t>
      </w:r>
    </w:p>
    <w:p w14:paraId="3BFF2D48" w14:textId="77777777" w:rsidR="00371538" w:rsidRDefault="00371538" w:rsidP="00371538">
      <w:pPr>
        <w:pStyle w:val="NoSpacing"/>
      </w:pPr>
    </w:p>
    <w:p w14:paraId="16A5FAAC" w14:textId="77777777" w:rsidR="007B747B" w:rsidRDefault="007B747B" w:rsidP="007B747B">
      <w:pPr>
        <w:pStyle w:val="NoSpacing"/>
        <w:numPr>
          <w:ilvl w:val="0"/>
          <w:numId w:val="2"/>
        </w:numPr>
      </w:pPr>
      <w:r>
        <w:t>A total of 652 respondents answered “Male” or 83.6% of the players</w:t>
      </w:r>
    </w:p>
    <w:p w14:paraId="372E88E1" w14:textId="77777777" w:rsidR="007B747B" w:rsidRDefault="007B747B" w:rsidP="007B747B">
      <w:pPr>
        <w:pStyle w:val="NoSpacing"/>
        <w:numPr>
          <w:ilvl w:val="0"/>
          <w:numId w:val="2"/>
        </w:numPr>
      </w:pPr>
      <w:r>
        <w:t>113 players identified as “Female” representing 14.5% of the distribution</w:t>
      </w:r>
    </w:p>
    <w:p w14:paraId="0D9D22A0" w14:textId="7E531B47" w:rsidR="00371538" w:rsidRDefault="007B747B" w:rsidP="007B747B">
      <w:pPr>
        <w:pStyle w:val="NoSpacing"/>
        <w:numPr>
          <w:ilvl w:val="0"/>
          <w:numId w:val="2"/>
        </w:numPr>
      </w:pPr>
      <w:r>
        <w:t>Lastly, 15 players chose “Other / Non-Disclosed” for gender or 1.9% of players</w:t>
      </w:r>
    </w:p>
    <w:p w14:paraId="60460EB8" w14:textId="77777777" w:rsidR="00371538" w:rsidRDefault="00371538" w:rsidP="00371538">
      <w:pPr>
        <w:pStyle w:val="NoSpacing"/>
      </w:pPr>
    </w:p>
    <w:p w14:paraId="7AAF8454" w14:textId="7796ED63" w:rsidR="00371538" w:rsidRDefault="00371538" w:rsidP="00B76F74">
      <w:pPr>
        <w:pStyle w:val="NoSpacing"/>
        <w:spacing w:after="120"/>
      </w:pPr>
      <w:r>
        <w:t>Purchasing Analysis (Gender)</w:t>
      </w:r>
    </w:p>
    <w:p w14:paraId="3A748267" w14:textId="54F68CE6" w:rsidR="00371538" w:rsidRDefault="00B76F74" w:rsidP="00B76F74">
      <w:pPr>
        <w:pStyle w:val="NoSpacing"/>
        <w:numPr>
          <w:ilvl w:val="0"/>
          <w:numId w:val="4"/>
        </w:numPr>
      </w:pPr>
      <w:r>
        <w:t>An analysis was completed to determine spending contributions based on reported gender identity and summarized in Table 1.</w:t>
      </w:r>
    </w:p>
    <w:p w14:paraId="11883FC1" w14:textId="33028DAE" w:rsidR="005236B0" w:rsidRDefault="005236B0">
      <w:r>
        <w:br w:type="page"/>
      </w:r>
    </w:p>
    <w:p w14:paraId="04021964" w14:textId="77777777" w:rsidR="005236B0" w:rsidRDefault="005236B0" w:rsidP="005236B0">
      <w:pPr>
        <w:pStyle w:val="NoSpacing"/>
        <w:ind w:left="720"/>
      </w:pPr>
    </w:p>
    <w:p w14:paraId="5906C30A" w14:textId="389DCBCC" w:rsidR="00B76F74" w:rsidRDefault="00B76F74" w:rsidP="00AF4CD9">
      <w:pPr>
        <w:pStyle w:val="Caption"/>
        <w:keepNext/>
        <w:spacing w:before="240" w:after="0"/>
        <w:ind w:left="1080"/>
      </w:pPr>
      <w:r>
        <w:t xml:space="preserve">Table </w:t>
      </w:r>
      <w:fldSimple w:instr=" SEQ Table \* ARABIC ">
        <w:r w:rsidR="000C431D">
          <w:rPr>
            <w:noProof/>
          </w:rPr>
          <w:t>1</w:t>
        </w:r>
      </w:fldSimple>
      <w:r>
        <w:t>. Purchase data based on reported gender identity.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1053"/>
        <w:gridCol w:w="1260"/>
        <w:gridCol w:w="1260"/>
        <w:gridCol w:w="1710"/>
      </w:tblGrid>
      <w:tr w:rsidR="0061152C" w:rsidRPr="00AF4CD9" w14:paraId="586F802C" w14:textId="66E48BDE" w:rsidTr="004732EE">
        <w:trPr>
          <w:jc w:val="center"/>
        </w:trPr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40FE7" w14:textId="48252204" w:rsidR="0061152C" w:rsidRPr="00AF4CD9" w:rsidRDefault="0061152C" w:rsidP="0061152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9ED11" w14:textId="77777777" w:rsidR="006332D9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Purchase</w:t>
            </w:r>
          </w:p>
          <w:p w14:paraId="24F2EA4F" w14:textId="0C205999" w:rsidR="0061152C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822990" w14:textId="77777777" w:rsidR="006332D9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Average</w:t>
            </w:r>
          </w:p>
          <w:p w14:paraId="2E592D2D" w14:textId="77777777" w:rsidR="006332D9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Purchase</w:t>
            </w:r>
          </w:p>
          <w:p w14:paraId="1613A6ED" w14:textId="335A681F" w:rsidR="0061152C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188F3" w14:textId="77777777" w:rsidR="006332D9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Total</w:t>
            </w:r>
          </w:p>
          <w:p w14:paraId="0AC66459" w14:textId="77777777" w:rsidR="006332D9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Purchase</w:t>
            </w:r>
          </w:p>
          <w:p w14:paraId="0AF79DDB" w14:textId="69AF7272" w:rsidR="0061152C" w:rsidRPr="00AF4CD9" w:rsidRDefault="0061152C" w:rsidP="004732E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91FF5" w14:textId="3F7F97C3" w:rsidR="006332D9" w:rsidRPr="00AF4CD9" w:rsidRDefault="0061152C" w:rsidP="0061152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Average</w:t>
            </w:r>
            <w:r w:rsidR="004732EE">
              <w:rPr>
                <w:b/>
                <w:bCs/>
                <w:sz w:val="20"/>
                <w:szCs w:val="20"/>
              </w:rPr>
              <w:t xml:space="preserve"> P</w:t>
            </w:r>
            <w:r w:rsidRPr="00AF4CD9">
              <w:rPr>
                <w:b/>
                <w:bCs/>
                <w:sz w:val="20"/>
                <w:szCs w:val="20"/>
              </w:rPr>
              <w:t>urchase</w:t>
            </w:r>
          </w:p>
          <w:p w14:paraId="68D6A8B9" w14:textId="58A9D5BA" w:rsidR="0061152C" w:rsidRPr="00AF4CD9" w:rsidRDefault="0061152C" w:rsidP="0061152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F4CD9">
              <w:rPr>
                <w:b/>
                <w:bCs/>
                <w:sz w:val="20"/>
                <w:szCs w:val="20"/>
              </w:rPr>
              <w:t>Total per Person</w:t>
            </w:r>
          </w:p>
        </w:tc>
      </w:tr>
      <w:tr w:rsidR="001E1CCE" w:rsidRPr="00AF4CD9" w14:paraId="2A28B5A6" w14:textId="2625F575" w:rsidTr="004732EE">
        <w:trPr>
          <w:jc w:val="center"/>
        </w:trPr>
        <w:tc>
          <w:tcPr>
            <w:tcW w:w="2007" w:type="dxa"/>
            <w:vAlign w:val="center"/>
          </w:tcPr>
          <w:p w14:paraId="4894F8DE" w14:textId="5FC6C700" w:rsidR="001E1CCE" w:rsidRPr="00AF4CD9" w:rsidRDefault="001E1CCE" w:rsidP="006332D9">
            <w:pPr>
              <w:pStyle w:val="NoSpacing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Female</w:t>
            </w:r>
          </w:p>
        </w:tc>
        <w:tc>
          <w:tcPr>
            <w:tcW w:w="1053" w:type="dxa"/>
            <w:vAlign w:val="center"/>
          </w:tcPr>
          <w:p w14:paraId="161C312C" w14:textId="3707EA3D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113</w:t>
            </w:r>
          </w:p>
        </w:tc>
        <w:tc>
          <w:tcPr>
            <w:tcW w:w="1260" w:type="dxa"/>
            <w:vAlign w:val="center"/>
          </w:tcPr>
          <w:p w14:paraId="52971443" w14:textId="57F1FD09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$3.20</w:t>
            </w:r>
          </w:p>
        </w:tc>
        <w:tc>
          <w:tcPr>
            <w:tcW w:w="1260" w:type="dxa"/>
            <w:vAlign w:val="center"/>
          </w:tcPr>
          <w:p w14:paraId="08F13FC9" w14:textId="79851B82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$361.94</w:t>
            </w:r>
          </w:p>
        </w:tc>
        <w:tc>
          <w:tcPr>
            <w:tcW w:w="1710" w:type="dxa"/>
            <w:vAlign w:val="center"/>
          </w:tcPr>
          <w:p w14:paraId="19465E1A" w14:textId="027D30E2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$4.02</w:t>
            </w:r>
          </w:p>
        </w:tc>
      </w:tr>
      <w:tr w:rsidR="001E1CCE" w:rsidRPr="00AF4CD9" w14:paraId="64BA2F48" w14:textId="6CD3FE1F" w:rsidTr="004732EE">
        <w:trPr>
          <w:jc w:val="center"/>
        </w:trPr>
        <w:tc>
          <w:tcPr>
            <w:tcW w:w="2007" w:type="dxa"/>
            <w:vAlign w:val="center"/>
          </w:tcPr>
          <w:p w14:paraId="76CD5A8C" w14:textId="217263C4" w:rsidR="001E1CCE" w:rsidRPr="00AF4CD9" w:rsidRDefault="001E1CCE" w:rsidP="006332D9">
            <w:pPr>
              <w:pStyle w:val="NoSpacing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Male</w:t>
            </w:r>
          </w:p>
        </w:tc>
        <w:tc>
          <w:tcPr>
            <w:tcW w:w="1053" w:type="dxa"/>
            <w:vAlign w:val="center"/>
          </w:tcPr>
          <w:p w14:paraId="3F17A45F" w14:textId="5D5A8272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652</w:t>
            </w:r>
          </w:p>
        </w:tc>
        <w:tc>
          <w:tcPr>
            <w:tcW w:w="1260" w:type="dxa"/>
            <w:vAlign w:val="center"/>
          </w:tcPr>
          <w:p w14:paraId="09099F91" w14:textId="68404B37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$3.02</w:t>
            </w:r>
          </w:p>
        </w:tc>
        <w:tc>
          <w:tcPr>
            <w:tcW w:w="1260" w:type="dxa"/>
            <w:vAlign w:val="center"/>
          </w:tcPr>
          <w:p w14:paraId="513B22FD" w14:textId="05926AE7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$1967.64</w:t>
            </w:r>
          </w:p>
        </w:tc>
        <w:tc>
          <w:tcPr>
            <w:tcW w:w="1710" w:type="dxa"/>
            <w:vAlign w:val="center"/>
          </w:tcPr>
          <w:p w14:paraId="1BC8EDB7" w14:textId="5D1BE54D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$11.05</w:t>
            </w:r>
          </w:p>
        </w:tc>
      </w:tr>
      <w:tr w:rsidR="001E1CCE" w:rsidRPr="00AF4CD9" w14:paraId="6B182C8F" w14:textId="515B9CE6" w:rsidTr="004732EE">
        <w:trPr>
          <w:jc w:val="center"/>
        </w:trPr>
        <w:tc>
          <w:tcPr>
            <w:tcW w:w="2007" w:type="dxa"/>
            <w:tcBorders>
              <w:bottom w:val="single" w:sz="4" w:space="0" w:color="auto"/>
            </w:tcBorders>
            <w:vAlign w:val="center"/>
          </w:tcPr>
          <w:p w14:paraId="717BA7DC" w14:textId="5183CDA8" w:rsidR="001E1CCE" w:rsidRPr="00AF4CD9" w:rsidRDefault="001E1CCE" w:rsidP="006332D9">
            <w:pPr>
              <w:pStyle w:val="NoSpacing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Other / Non-disclosed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2FE39424" w14:textId="022FB7A7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8B6EE3D" w14:textId="6571DB24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$3.35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CDE66BD" w14:textId="3ED54809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$50.19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9EF91F" w14:textId="13C193D8" w:rsidR="001E1CCE" w:rsidRPr="00AF4CD9" w:rsidRDefault="001E1CCE" w:rsidP="004732EE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$3.86</w:t>
            </w:r>
          </w:p>
        </w:tc>
      </w:tr>
      <w:tr w:rsidR="006332D9" w:rsidRPr="00AF4CD9" w14:paraId="4C3ACBE4" w14:textId="77777777" w:rsidTr="000C431D">
        <w:trPr>
          <w:jc w:val="center"/>
        </w:trPr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3B3206" w14:textId="56C953BA" w:rsidR="006332D9" w:rsidRPr="00AF4CD9" w:rsidRDefault="006332D9" w:rsidP="006332D9">
            <w:pPr>
              <w:pStyle w:val="NoSpacing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Total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AE2E8" w14:textId="2C85AAA4" w:rsidR="006332D9" w:rsidRPr="00AF4CD9" w:rsidRDefault="006332D9" w:rsidP="000C431D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780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DF7FC6" w14:textId="77777777" w:rsidR="006332D9" w:rsidRPr="00AF4CD9" w:rsidRDefault="006332D9" w:rsidP="006332D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35B031" w14:textId="21C8C589" w:rsidR="006332D9" w:rsidRPr="00AF4CD9" w:rsidRDefault="006332D9" w:rsidP="000C431D">
            <w:pPr>
              <w:pStyle w:val="NoSpacing"/>
              <w:jc w:val="center"/>
              <w:rPr>
                <w:sz w:val="20"/>
                <w:szCs w:val="20"/>
              </w:rPr>
            </w:pPr>
            <w:r w:rsidRPr="00AF4CD9">
              <w:rPr>
                <w:sz w:val="20"/>
                <w:szCs w:val="20"/>
              </w:rPr>
              <w:t>$2379.77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B50983" w14:textId="77777777" w:rsidR="006332D9" w:rsidRPr="00AF4CD9" w:rsidRDefault="006332D9" w:rsidP="006332D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4825C09" w14:textId="096A7AD2" w:rsidR="00371538" w:rsidRDefault="00371538" w:rsidP="005236B0">
      <w:pPr>
        <w:spacing w:before="240"/>
      </w:pPr>
      <w:r>
        <w:t>Age Demographics</w:t>
      </w:r>
    </w:p>
    <w:p w14:paraId="4FC12877" w14:textId="26D79C61" w:rsidR="00621A97" w:rsidRDefault="00621A97" w:rsidP="00621A97">
      <w:pPr>
        <w:pStyle w:val="NoSpacing"/>
        <w:numPr>
          <w:ilvl w:val="0"/>
          <w:numId w:val="3"/>
        </w:numPr>
      </w:pPr>
      <w:r>
        <w:t>An analysis was completed to understand spending contributions by player age group</w:t>
      </w:r>
      <w:r w:rsidR="00AF4CD9">
        <w:t xml:space="preserve"> and summarized in Table 2</w:t>
      </w:r>
      <w:r>
        <w:t>.</w:t>
      </w:r>
    </w:p>
    <w:p w14:paraId="78119E95" w14:textId="65E89223" w:rsidR="00371538" w:rsidRDefault="00371538" w:rsidP="00371538">
      <w:pPr>
        <w:pStyle w:val="NoSpacing"/>
      </w:pPr>
    </w:p>
    <w:p w14:paraId="093EA654" w14:textId="27EF60A7" w:rsidR="00B76F74" w:rsidRDefault="00B76F74" w:rsidP="00AF4CD9">
      <w:pPr>
        <w:pStyle w:val="Caption"/>
        <w:keepNext/>
        <w:spacing w:after="0"/>
        <w:ind w:left="907"/>
      </w:pPr>
      <w:r>
        <w:t xml:space="preserve">Table </w:t>
      </w:r>
      <w:fldSimple w:instr=" SEQ Table \* ARABIC ">
        <w:r w:rsidR="000C431D">
          <w:rPr>
            <w:noProof/>
          </w:rPr>
          <w:t>2</w:t>
        </w:r>
      </w:fldSimple>
      <w:r>
        <w:t>. Purchasing data based on player age group.</w:t>
      </w:r>
    </w:p>
    <w:p w14:paraId="263B2BB2" w14:textId="6B635084" w:rsidR="00621A97" w:rsidRDefault="00621A97" w:rsidP="00621A97">
      <w:pPr>
        <w:pStyle w:val="NoSpacing"/>
        <w:jc w:val="center"/>
      </w:pPr>
      <w:r>
        <w:rPr>
          <w:noProof/>
        </w:rPr>
        <w:drawing>
          <wp:inline distT="0" distB="0" distL="0" distR="0" wp14:anchorId="5C14BBC2" wp14:editId="07C86CAD">
            <wp:extent cx="4838974" cy="192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060" cy="19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B08" w14:textId="77777777" w:rsidR="00621A97" w:rsidRDefault="00621A97" w:rsidP="00371538">
      <w:pPr>
        <w:pStyle w:val="NoSpacing"/>
      </w:pPr>
    </w:p>
    <w:p w14:paraId="68746725" w14:textId="192C01CC" w:rsidR="00371538" w:rsidRDefault="00371538" w:rsidP="00621A97">
      <w:pPr>
        <w:pStyle w:val="NoSpacing"/>
        <w:spacing w:after="120"/>
      </w:pPr>
      <w:r>
        <w:t>Top Spenders</w:t>
      </w:r>
    </w:p>
    <w:p w14:paraId="54A5EC9A" w14:textId="1FA032F3" w:rsidR="00371538" w:rsidRDefault="000C431D" w:rsidP="00621A97">
      <w:pPr>
        <w:pStyle w:val="NoSpacing"/>
        <w:numPr>
          <w:ilvl w:val="0"/>
          <w:numId w:val="3"/>
        </w:numPr>
      </w:pPr>
      <w:r>
        <w:t>T</w:t>
      </w:r>
      <w:r w:rsidR="00621A97">
        <w:t>able</w:t>
      </w:r>
      <w:r>
        <w:t xml:space="preserve"> 3</w:t>
      </w:r>
      <w:r w:rsidR="00621A97">
        <w:t xml:space="preserve"> outlines the top 5 spenders by total purchases</w:t>
      </w:r>
    </w:p>
    <w:p w14:paraId="064BB622" w14:textId="77777777" w:rsidR="00621A97" w:rsidRDefault="00621A97" w:rsidP="00371538">
      <w:pPr>
        <w:pStyle w:val="NoSpacing"/>
      </w:pPr>
    </w:p>
    <w:p w14:paraId="0D063A6D" w14:textId="7190FDE1" w:rsidR="000C431D" w:rsidRDefault="000C431D" w:rsidP="000C431D">
      <w:pPr>
        <w:pStyle w:val="Caption"/>
        <w:keepNext/>
        <w:spacing w:after="0"/>
        <w:ind w:left="1886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 Top five highest revenue per player</w:t>
      </w:r>
    </w:p>
    <w:p w14:paraId="7E9CA99A" w14:textId="6AFFA58F" w:rsidR="00371538" w:rsidRDefault="00621A97" w:rsidP="00621A97">
      <w:pPr>
        <w:pStyle w:val="NoSpacing"/>
        <w:jc w:val="center"/>
      </w:pPr>
      <w:r>
        <w:rPr>
          <w:noProof/>
        </w:rPr>
        <w:drawing>
          <wp:inline distT="0" distB="0" distL="0" distR="0" wp14:anchorId="3109E63A" wp14:editId="5C378AAC">
            <wp:extent cx="3565414" cy="1524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958" cy="15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CC2" w14:textId="77777777" w:rsidR="00621A97" w:rsidRDefault="00621A97" w:rsidP="00621A97">
      <w:pPr>
        <w:pStyle w:val="NoSpacing"/>
        <w:jc w:val="center"/>
      </w:pPr>
    </w:p>
    <w:p w14:paraId="1EB87957" w14:textId="77777777" w:rsidR="005236B0" w:rsidRDefault="005236B0">
      <w:r>
        <w:br w:type="page"/>
      </w:r>
    </w:p>
    <w:p w14:paraId="5B237B65" w14:textId="347C46E4" w:rsidR="00371538" w:rsidRDefault="00371538" w:rsidP="00371538">
      <w:pPr>
        <w:pStyle w:val="NoSpacing"/>
      </w:pPr>
      <w:r>
        <w:lastRenderedPageBreak/>
        <w:t>Most Popular Items</w:t>
      </w:r>
    </w:p>
    <w:p w14:paraId="7B41B4AB" w14:textId="77777777" w:rsidR="00371538" w:rsidRDefault="00371538" w:rsidP="00371538">
      <w:pPr>
        <w:pStyle w:val="NoSpacing"/>
      </w:pPr>
    </w:p>
    <w:p w14:paraId="0329F655" w14:textId="77A8F4F0" w:rsidR="00B76F74" w:rsidRDefault="00B76F74" w:rsidP="00B76F74">
      <w:pPr>
        <w:pStyle w:val="NoSpacing"/>
        <w:numPr>
          <w:ilvl w:val="0"/>
          <w:numId w:val="3"/>
        </w:numPr>
      </w:pPr>
      <w:r>
        <w:t>The five most popular items purchase</w:t>
      </w:r>
      <w:r w:rsidR="000C431D">
        <w:t>d</w:t>
      </w:r>
      <w:r>
        <w:t xml:space="preserve"> are listed in Table</w:t>
      </w:r>
      <w:r w:rsidR="000C431D">
        <w:t xml:space="preserve"> 4.</w:t>
      </w:r>
    </w:p>
    <w:p w14:paraId="3CB031E7" w14:textId="77777777" w:rsidR="00B76F74" w:rsidRDefault="00B76F74" w:rsidP="00371538">
      <w:pPr>
        <w:pStyle w:val="NoSpacing"/>
      </w:pPr>
    </w:p>
    <w:p w14:paraId="48A09917" w14:textId="7392BC42" w:rsidR="000C431D" w:rsidRDefault="000C431D" w:rsidP="000C431D">
      <w:pPr>
        <w:pStyle w:val="Caption"/>
        <w:keepNext/>
        <w:spacing w:after="0"/>
        <w:ind w:left="86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. List of top five most popular items by purchase count.</w:t>
      </w:r>
    </w:p>
    <w:p w14:paraId="22BD024D" w14:textId="6FD620BC" w:rsidR="00371538" w:rsidRDefault="00B76F74" w:rsidP="00371538">
      <w:pPr>
        <w:pStyle w:val="NoSpacing"/>
      </w:pPr>
      <w:r>
        <w:rPr>
          <w:noProof/>
        </w:rPr>
        <w:drawing>
          <wp:inline distT="0" distB="0" distL="0" distR="0" wp14:anchorId="04B2B281" wp14:editId="3A90D628">
            <wp:extent cx="59436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DB5F" w14:textId="62AAE37D" w:rsidR="00371538" w:rsidRDefault="00371538" w:rsidP="00B76F74">
      <w:pPr>
        <w:pStyle w:val="NoSpacing"/>
      </w:pPr>
      <w:r>
        <w:t xml:space="preserve">  </w:t>
      </w:r>
    </w:p>
    <w:p w14:paraId="0BBAA02F" w14:textId="77777777" w:rsidR="00371538" w:rsidRDefault="00371538" w:rsidP="00371538">
      <w:pPr>
        <w:pStyle w:val="NoSpacing"/>
      </w:pPr>
    </w:p>
    <w:p w14:paraId="119FE84B" w14:textId="635B47E8" w:rsidR="00371538" w:rsidRDefault="00371538" w:rsidP="000C431D">
      <w:pPr>
        <w:pStyle w:val="NoSpacing"/>
        <w:spacing w:after="120"/>
      </w:pPr>
      <w:r>
        <w:t>Most Profitable Items</w:t>
      </w:r>
    </w:p>
    <w:p w14:paraId="270AA676" w14:textId="2A78F69C" w:rsidR="000C431D" w:rsidRDefault="000C431D" w:rsidP="000C431D">
      <w:pPr>
        <w:pStyle w:val="NoSpacing"/>
        <w:numPr>
          <w:ilvl w:val="0"/>
          <w:numId w:val="3"/>
        </w:numPr>
      </w:pPr>
      <w:r>
        <w:t xml:space="preserve">The five most popular items </w:t>
      </w:r>
      <w:r>
        <w:t xml:space="preserve">by total revenue </w:t>
      </w:r>
      <w:r>
        <w:t xml:space="preserve">are listed in Table </w:t>
      </w:r>
      <w:r>
        <w:t>5</w:t>
      </w:r>
      <w:r>
        <w:t>.</w:t>
      </w:r>
    </w:p>
    <w:p w14:paraId="3E9F4815" w14:textId="77777777" w:rsidR="00371538" w:rsidRDefault="00371538" w:rsidP="00371538">
      <w:pPr>
        <w:pStyle w:val="NoSpacing"/>
      </w:pPr>
    </w:p>
    <w:p w14:paraId="481B5AD0" w14:textId="2107A691" w:rsidR="000C431D" w:rsidRDefault="000C431D" w:rsidP="000C431D">
      <w:pPr>
        <w:pStyle w:val="Caption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Five most popular items by sales revenue.</w:t>
      </w:r>
    </w:p>
    <w:p w14:paraId="2C5A3BFC" w14:textId="29A1C83C" w:rsidR="008A163B" w:rsidRDefault="000C431D" w:rsidP="008A163B">
      <w:pPr>
        <w:pStyle w:val="NoSpacing"/>
      </w:pPr>
      <w:r>
        <w:rPr>
          <w:noProof/>
        </w:rPr>
        <w:drawing>
          <wp:inline distT="0" distB="0" distL="0" distR="0" wp14:anchorId="3E8B60C4" wp14:editId="33977BBF">
            <wp:extent cx="5943600" cy="1572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93F9C"/>
    <w:multiLevelType w:val="hybridMultilevel"/>
    <w:tmpl w:val="14EA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91309"/>
    <w:multiLevelType w:val="hybridMultilevel"/>
    <w:tmpl w:val="C2E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9232D"/>
    <w:multiLevelType w:val="hybridMultilevel"/>
    <w:tmpl w:val="467C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07D03"/>
    <w:multiLevelType w:val="hybridMultilevel"/>
    <w:tmpl w:val="5344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F1693"/>
    <w:multiLevelType w:val="hybridMultilevel"/>
    <w:tmpl w:val="829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3B"/>
    <w:rsid w:val="000C431D"/>
    <w:rsid w:val="001373C9"/>
    <w:rsid w:val="001E1CCE"/>
    <w:rsid w:val="00371538"/>
    <w:rsid w:val="003B403F"/>
    <w:rsid w:val="00415332"/>
    <w:rsid w:val="004556B8"/>
    <w:rsid w:val="00460E6A"/>
    <w:rsid w:val="004732EE"/>
    <w:rsid w:val="005236B0"/>
    <w:rsid w:val="0061152C"/>
    <w:rsid w:val="00621A97"/>
    <w:rsid w:val="006332D9"/>
    <w:rsid w:val="0078381D"/>
    <w:rsid w:val="007B747B"/>
    <w:rsid w:val="008A163B"/>
    <w:rsid w:val="00A832B6"/>
    <w:rsid w:val="00A849CB"/>
    <w:rsid w:val="00AF4CD9"/>
    <w:rsid w:val="00B76F74"/>
    <w:rsid w:val="00BF0F77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DC00"/>
  <w15:chartTrackingRefBased/>
  <w15:docId w15:val="{A30C0928-1C01-4293-A9B3-3B97EF1E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63B"/>
    <w:pPr>
      <w:spacing w:after="0" w:line="240" w:lineRule="auto"/>
    </w:pPr>
  </w:style>
  <w:style w:type="table" w:styleId="TableGrid">
    <w:name w:val="Table Grid"/>
    <w:basedOn w:val="TableNormal"/>
    <w:uiPriority w:val="39"/>
    <w:rsid w:val="0061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76F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Strauch</dc:creator>
  <cp:keywords/>
  <dc:description/>
  <cp:lastModifiedBy>Jeremy Strauch</cp:lastModifiedBy>
  <cp:revision>12</cp:revision>
  <dcterms:created xsi:type="dcterms:W3CDTF">2021-01-23T21:41:00Z</dcterms:created>
  <dcterms:modified xsi:type="dcterms:W3CDTF">2021-01-24T19:07:00Z</dcterms:modified>
</cp:coreProperties>
</file>