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Title"/>
      </w:pPr>
      <w:r>
        <w:t xml:space="preserve">When does shared CPU–GPU memory pay off? Fine-grained round trips on an Apple M5 and PCIe GPUs, measured in a real-time agent simulation</w:t>
      </w:r>
    </w:p>
    <w:p>
      <w:pPr>
        <w:pStyle w:val="Author"/>
      </w:pPr>
      <w:r>
        <w:t xml:space="preserve">Jos Timanta Tarigan</w:t>
      </w:r>
    </w:p>
    <w:p>
      <w:pPr>
        <w:pStyle w:val="Affiliation"/>
      </w:pPr>
      <w:r>
        <w:t xml:space="preserve">Faculty of Computer Science and Information Technology, Universitas Sumatera Utara, Medan, Indonesia</w:t>
      </w:r>
    </w:p>
    <w:p>
      <w:pPr>
        <w:pStyle w:val="Affiliation"/>
      </w:pPr>
      <w:r>
        <w:t xml:space="preserve">Corresponding author: [e-mail], [telephone]</w:t>
      </w:r>
    </w:p>
    <w:p>
      <w:pPr>
        <w:pStyle w:val="Heading1"/>
        <w:keepNext/>
      </w:pPr>
      <w:r>
        <w:t xml:space="preserve">Abstract</w:t>
      </w:r>
    </w:p>
    <w:p>
      <w:pPr>
        <w:pStyle w:val="Abstract"/>
      </w:pPr>
      <w:r>
        <w:t xml:space="preserve">Tightly coupled CPU–GPU nodes promise to remove data copies, but their value for fine-grained cooperation, where the processors exchange data several times per simulation step, is rarely measured. We compare an Apple M5 system-on-chip with shared physical memory against an NVIDIA RTX 3060 Ti on PCI Express, using a portable Metal and Vulkan round-trip microbenchmark and a real-time simulation of thousands of agents. The hypothesis, fixed in advance, that the shared-memory round trip is cheaper at every payload size was refuted: with the GPU idle, an empty round trip costs 214 µs on the M5 against 60 µs on the RTX, dominated by the CPU-to-GPU hand-off. The M5's cost barely grows with payload, however, making it 1.7–2.8 times faster at 16 MiB. We locate the crossover with the GPU idle and busy [..], and a microbenchmark-based cost model predicts step time within [..].</w:t>
      </w:r>
    </w:p>
    <w:p>
      <w:pPr>
        <w:pStyle w:val="Keywords"/>
      </w:pPr>
      <w:r>
        <w:rPr>
          <w:b/>
          <w:bCs/>
        </w:rPr>
        <w:t xml:space="preserve">Keywords </w:t>
      </w:r>
      <w:r>
        <w:t xml:space="preserve">Shared physical memory · CPU–GPU synchronization · Round-trip latency · Heterogeneous computing · Apple silicon · Agent-based simulation</w:t>
      </w:r>
    </w:p>
    <w:p>
      <w:pPr>
        <w:pStyle w:val="Heading1"/>
        <w:keepNext/>
      </w:pPr>
      <w:r>
        <w:t xml:space="preserve">1 Introduction</w:t>
      </w:r>
    </w:p>
    <w:p>
      <w:pPr>
        <w:pStyle w:val="Normal"/>
      </w:pPr>
      <w:r>
        <w:t xml:space="preserve">Heterogeneous nodes are moving the CPU and the GPU closer together:</w:t>
      </w:r>
    </w:p>
    <w:p>
      <w:pPr>
        <w:pStyle w:val="ListParagraph"/>
        <w:numPr>
          <w:ilvl w:val="0"/>
          <w:numId w:val="1"/>
        </w:numPr>
      </w:pPr>
      <w:r>
        <w:t xml:space="preserve">NVIDIA's Grace Hopper joins them with a cache-coherent chip-to-chip link and one system page table </w:t>
      </w:r>
      <w:r>
        <w:fldChar w:fldCharType="begin"/>
      </w:r>
      <w:r>
        <w:instrText xml:space="preserve"> ADDIN ZOTERO_ITEM CSL_CITATION {"citationID":"32cca654","properties":{"formattedCitation":"[1]","plainCitation":"[1]","noteIndex":0},"citationItems":[{"id":"MF5ZZ8WX","uris":["http://zotero.org/users/5591478/items/MF5ZZ8WX"],"itemData":{"id":"MF5ZZ8WX","type":"paper-conference","collection-title":"ICPP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w:t>
      </w:r>
    </w:p>
    <w:p>
      <w:pPr>
        <w:pStyle w:val="ListParagraph"/>
        <w:numPr>
          <w:ilvl w:val="0"/>
          <w:numId w:val="1"/>
        </w:numPr>
      </w:pPr>
      <w:r>
        <w:t xml:space="preserve">AMD's MI300A puts both on one package with one physical HBM memory </w:t>
      </w:r>
      <w:r>
        <w:fldChar w:fldCharType="begin"/>
      </w:r>
      <w:r>
        <w:instrText xml:space="preserve"> ADDIN ZOTERO_ITEM CSL_CITATION {"citationID":"946aa021","properties":{"formattedCitation":"[2]","plainCitation":"[2]","noteIndex":0},"citationItems":[{"id":"Z6B26CZ6","uris":["http://zotero.org/users/5591478/items/Z6B26CZ6"],"itemData":{"id":"Z6B26CZ6","type":"paper-conference","container-title":"2025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w:t>
      </w:r>
    </w:p>
    <w:p>
      <w:pPr>
        <w:pStyle w:val="ListParagraph"/>
        <w:numPr>
          <w:ilvl w:val="0"/>
          <w:numId w:val="1"/>
        </w:numPr>
      </w:pPr>
      <w:r>
        <w:t xml:space="preserve">Apple's M-series laptop and desktop SoCs have done the same with LPDDR memory since 2020 </w:t>
      </w:r>
      <w:r>
        <w:fldChar w:fldCharType="begin"/>
      </w:r>
      <w:r>
        <w:instrText xml:space="preserve"> ADDIN ZOTERO_ITEM CSL_CITATION {"citationID":"a908fbd5","properties":{"formattedCitation":"[3, 4]","plainCitation":"[3, 4]","noteIndex":0},"citationItems":[{"id":"B5Q9E3C9","uris":["http://zotero.org/users/5591478/items/B5Q9E3C9"],"itemData":{"id":"B5Q9E3C9","type":"article","DOI":"10.48550/arXiv.2502.05317","note":"Citation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[3, 4]</w:t>
      </w:r>
      <w:r>
        <w:fldChar w:fldCharType="end"/>
      </w:r>
      <w:r>
        <w:t xml:space="preserve">.</w:t>
      </w:r>
    </w:p>
    <w:p>
      <w:pPr>
        <w:pStyle w:val="Normal"/>
      </w:pPr>
      <w:r>
        <w:t xml:space="preserve">The promise of this tight coupling is that data no longer has to be copied between two memories. The studies so far mostly ask what it does for </w:t>
      </w:r>
      <w:r>
        <w:rPr>
          <w:b/>
          <w:bCs/>
        </w:rPr>
        <w:t xml:space="preserve">bandwidth-bound</w:t>
      </w:r>
      <w:r>
        <w:t xml:space="preserve"> work: large kernels, data that exceeds GPU memory, and porting effort </w:t>
      </w:r>
      <w:r>
        <w:fldChar w:fldCharType="begin"/>
      </w:r>
      <w:r>
        <w:instrText xml:space="preserve"> ADDIN ZOTERO_ITEM CSL_CITATION {"citationID":"18846f58","properties":{"formattedCitation":"[1–3]","plainCitation":"[1–3]","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schema":"https://github.com/citation-style-language/schema/raw/master/csl-citation.json"} </w:instrText>
      </w:r>
      <w:r>
        <w:fldChar w:fldCharType="separate"/>
      </w:r>
      <w:r>
        <w:t xml:space="preserve">[1–3]</w:t>
      </w:r>
      <w:r>
        <w:fldChar w:fldCharType="end"/>
      </w:r>
      <w:r>
        <w:t xml:space="preserve">. We ask what it does for </w:t>
      </w:r>
      <w:r>
        <w:rPr>
          <w:b/>
          <w:bCs/>
        </w:rPr>
        <w:t xml:space="preserve">latency-bound, fine-grained cooperation</w:t>
      </w:r>
      <w:r>
        <w:t xml:space="preserve">, where the CPU and the GPU hand data back and forth several times per time step.</w:t>
      </w:r>
    </w:p>
    <w:p>
      <w:pPr>
        <w:pStyle w:val="Normal"/>
      </w:pPr>
      <w:r>
        <w:t xml:space="preserve">That pattern arises whenever an iterative simulation splits each step between the two processors. The GPU does the regular, data-parallel part, such as neighbour search, field evaluation and perception, for many agents. The CPU does the irregular, branchy part, such as each agent's decision, graph propagation and event handling. The results go back to the GPU before the step ends. Each hand-off is a round trip:</w:t>
      </w:r>
    </w:p>
    <w:p>
      <w:pPr>
        <w:pStyle w:val="ListParagraph"/>
        <w:numPr>
          <w:ilvl w:val="0"/>
          <w:numId w:val="1"/>
        </w:numPr>
      </w:pPr>
      <w:r>
        <w:t xml:space="preserve">the GPU signals,</w:t>
      </w:r>
    </w:p>
    <w:p>
      <w:pPr>
        <w:pStyle w:val="ListParagraph"/>
        <w:numPr>
          <w:ilvl w:val="0"/>
          <w:numId w:val="1"/>
        </w:numPr>
      </w:pPr>
      <w:r>
        <w:t xml:space="preserve">the CPU wakes up, reads and writes the shared data, and signals back,</w:t>
      </w:r>
    </w:p>
    <w:p>
      <w:pPr>
        <w:pStyle w:val="ListParagraph"/>
        <w:numPr>
          <w:ilvl w:val="0"/>
          <w:numId w:val="1"/>
        </w:numPr>
      </w:pPr>
      <w:r>
        <w:t xml:space="preserve">the GPU resumes.</w:t>
      </w:r>
    </w:p>
    <w:p>
      <w:pPr>
        <w:pStyle w:val="Normal"/>
      </w:pPr>
      <w:r>
        <w:t xml:space="preserve">Under a deadline, as in interactive simulation, digital twins or games at 60 Hz (a 16.7 ms step), round trips of tens to hundreds of microseconds are a visible share of the budget. They decide whether the coupling can stay synchronous at all. Current practice avoids the question by reading GPU results one or more steps late. That moves the cost from time to accuracy.</w:t>
      </w:r>
    </w:p>
    <w:p>
      <w:pPr>
        <w:pStyle w:val="Normal"/>
      </w:pPr>
      <w:r>
        <w:rPr>
          <w:b/>
          <w:bCs/>
        </w:rPr>
        <w:t xml:space="preserve">Terminology.</w:t>
      </w:r>
      <w:r>
        <w:t xml:space="preserve"> In much of the GPU literature, </w:t>
      </w:r>
      <w:r>
        <w:rPr>
          <w:i/>
          <w:iCs/>
        </w:rPr>
        <w:t xml:space="preserve">unified memory</w:t>
      </w:r>
      <w:r>
        <w:t xml:space="preserve"> means CUDA's software-managed address space on a discrete GPU: pages migrate over PCIe on demand. Its costs have been measured in this journal and elsewhere </w:t>
      </w:r>
      <w:r>
        <w:fldChar w:fldCharType="begin"/>
      </w:r>
      <w:r>
        <w:instrText xml:space="preserve"> ADDIN ZOTERO_ITEM CSL_CITATION {"citationID":"a988e701","properties":{"formattedCitation":"[5–7]","plainCitation":"[5–7]","noteIndex":0},"citationItems":[{"id":"W5GC85GQ","uris":["http://zotero.org/users/5591478/items/W5GC85GQ"],"itemData":{"id":"W5GC85GQ","type":"article-journal","container-title":"The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We study something different: memory that the CPU and GPU </w:t>
      </w:r>
      <w:r>
        <w:rPr>
          <w:b/>
          <w:bCs/>
        </w:rPr>
        <w:t xml:space="preserve">physically share</w:t>
      </w:r>
      <w:r>
        <w:t xml:space="preserve">, with no migration. Apple calls it unified memory too. We write </w:t>
      </w:r>
      <w:r>
        <w:rPr>
          <w:i/>
          <w:iCs/>
        </w:rPr>
        <w:t xml:space="preserve">shared physical memory</w:t>
      </w:r>
      <w:r>
        <w:t xml:space="preserve"> where the distinction matters, and </w:t>
      </w:r>
      <w:r>
        <w:rPr>
          <w:i/>
          <w:iCs/>
        </w:rPr>
        <w:t xml:space="preserve">PCIe</w:t>
      </w:r>
      <w:r>
        <w:t xml:space="preserve"> for the discrete baseline.</w:t>
      </w:r>
    </w:p>
    <w:p>
      <w:pPr>
        <w:pStyle w:val="Normal"/>
      </w:pPr>
      <w:r>
        <w:rPr>
          <w:b/>
          <w:bCs/>
        </w:rPr>
        <w:t xml:space="preserve">We set out to test the expected advantage directly, and found that it does not hold as stated.</w:t>
      </w:r>
      <w:r>
        <w:t xml:space="preserve"> Our instrument is an agent-based simulation of thousands of light-sensitive creatures, built as a playable game, Lightbound, and designed from the start for measurement:</w:t>
      </w:r>
    </w:p>
    <w:p>
      <w:pPr>
        <w:pStyle w:val="ListParagraph"/>
        <w:numPr>
          <w:ilvl w:val="0"/>
          <w:numId w:val="1"/>
        </w:numPr>
      </w:pPr>
      <w:r>
        <w:t xml:space="preserve">its round trips run on Metal and on Vulkan from one shader source, with identical buffer layouts;</w:t>
      </w:r>
    </w:p>
    <w:p>
      <w:pPr>
        <w:pStyle w:val="ListParagraph"/>
        <w:numPr>
          <w:ilvl w:val="0"/>
          <w:numId w:val="1"/>
        </w:numPr>
      </w:pPr>
      <w:r>
        <w:t xml:space="preserve">the transfer strategy and the number of round trips per step are runtime switches.</w:t>
      </w:r>
    </w:p>
    <w:p>
      <w:pPr>
        <w:pStyle w:val="Normal"/>
      </w:pPr>
      <w:r>
        <w:t xml:space="preserve">Our first hypothesis, stated in advance with a go/no-go criterion, was that the shared-memory SoC's round trip is cheaper than a PCIe GPU's at every payload size. It was refuted. With the GPU otherwise idle, an Apple M5's empty round trip costs 214 µs, against 60 µs on an RTX 3060 Ti over PCIe gen3. At 1 MiB per direction, the M5's best path costs 305 µs against 142–160 µs. The cost is not in the bytes. It lies in the CPU→GPU hand-off, which on the M5 is multimodal and consistent with the GPU leaving an idle power state.</w:t>
      </w:r>
    </w:p>
    <w:p>
      <w:pPr>
        <w:pStyle w:val="Normal"/>
      </w:pPr>
      <w:r>
        <w:t xml:space="preserve">The same measurements show where shared memory does pay. The M5's round trip is nearly flat in payload size, while the PCIe GPU's grows linearly with it, and at 16 MiB the M5 is 1.7–2.8× faster on the direct path. The useful question is therefore not </w:t>
      </w:r>
      <w:r>
        <w:rPr>
          <w:i/>
          <w:iCs/>
        </w:rPr>
        <w:t xml:space="preserve">whether</w:t>
      </w:r>
      <w:r>
        <w:t xml:space="preserve"> shared memory wins, but </w:t>
      </w:r>
      <w:r>
        <w:rPr>
          <w:b/>
          <w:bCs/>
        </w:rPr>
        <w:t xml:space="preserve">where the curves cross, and how the crossover moves when the GPU is busy, as it is inside a real time step</w:t>
      </w:r>
      <w:r>
        <w:t xml:space="preserve">. We answer it in three ways:</w:t>
      </w:r>
    </w:p>
    <w:p>
      <w:pPr>
        <w:pStyle w:val="ListParagraph"/>
        <w:numPr>
          <w:ilvl w:val="0"/>
          <w:numId w:val="1"/>
        </w:numPr>
      </w:pPr>
      <w:r>
        <w:t xml:space="preserve">an extended payload grid from 4 KiB to 64 MiB, measured with the GPU idle and hot;</w:t>
      </w:r>
    </w:p>
    <w:p>
      <w:pPr>
        <w:pStyle w:val="ListParagraph"/>
        <w:numPr>
          <w:ilvl w:val="0"/>
          <w:numId w:val="1"/>
        </w:numPr>
      </w:pPr>
      <w:r>
        <w:t xml:space="preserve">a cost model that turns the microbenchmark into per-step time predictions;</w:t>
      </w:r>
    </w:p>
    <w:p>
      <w:pPr>
        <w:pStyle w:val="ListParagraph"/>
        <w:numPr>
          <w:ilvl w:val="0"/>
          <w:numId w:val="1"/>
        </w:numPr>
      </w:pPr>
      <w:r>
        <w:t xml:space="preserve">the simulation itself, run at increasing agent counts and round trips per step.</w:t>
      </w:r>
    </w:p>
    <w:p>
      <w:pPr>
        <w:pStyle w:val="Normal"/>
      </w:pPr>
      <w:r>
        <w:rPr>
          <w:b/>
          <w:bCs/>
        </w:rPr>
        <w:t xml:space="preserve">Contributions.</w:t>
      </w:r>
    </w:p>
    <w:p>
      <w:pPr>
        <w:pStyle w:val="ListParagraph"/>
        <w:numPr>
          <w:ilvl w:val="0"/>
          <w:numId w:val="2"/>
        </w:numPr>
      </w:pPr>
      <w:r>
        <w:t xml:space="preserve">A portable round-trip microbenchmark for CPU–GPU hand-offs (Metal and Vulkan, one Slang source, verified payloads and a copy-count invariant). It isolates the GPU→CPU and CPU→GPU directions. </w:t>
      </w:r>
      <w:r>
        <w:rPr>
          <w:i/>
          <w:iCs/>
        </w:rPr>
        <w:t xml:space="preserve">(done: Sect. 4)</w:t>
      </w:r>
    </w:p>
    <w:p>
      <w:pPr>
        <w:pStyle w:val="ListParagraph"/>
        <w:numPr>
          <w:ilvl w:val="0"/>
          <w:numId w:val="2"/>
        </w:numPr>
      </w:pPr>
      <w:r>
        <w:t xml:space="preserve">Its results on a shared-memory SoC (Apple M5) and a PCIe GPU (RTX 3060 Ti, with ReBAR on and off):</w:t>
      </w:r>
    </w:p>
    <w:p>
      <w:pPr>
        <w:pStyle w:val="ListParagraph"/>
        <w:numPr>
          <w:ilvl w:val="1"/>
          <w:numId w:val="1"/>
        </w:numPr>
      </w:pPr>
      <w:r>
        <w:t xml:space="preserve">the refuted "always cheaper" hypothesis (Sect. 5);</w:t>
      </w:r>
    </w:p>
    <w:p>
      <w:pPr>
        <w:pStyle w:val="ListParagraph"/>
        <w:numPr>
          <w:ilvl w:val="1"/>
          <w:numId w:val="1"/>
        </w:numPr>
      </w:pPr>
      <w:r>
        <w:t xml:space="preserve">the payload crossover by GPU state (Sect. 6). The idle-GPU crossover is predicted at 2.0–2.6 MiB per direction, [measured: ..].</w:t>
      </w:r>
    </w:p>
    <w:p>
      <w:pPr>
        <w:pStyle w:val="Normal"/>
        <w:ind w:left="720"/>
      </w:pPr>
      <w:r>
        <w:rPr>
          <w:i/>
          <w:iCs/>
        </w:rPr>
        <w:t xml:space="preserve">(Sect. 5 done; Sect. 6 waits for the extension series)</w:t>
      </w:r>
    </w:p>
    <w:p>
      <w:pPr>
        <w:pStyle w:val="ListParagraph"/>
        <w:numPr>
          <w:ilvl w:val="0"/>
          <w:numId w:val="2"/>
        </w:numPr>
      </w:pPr>
      <w:r>
        <w:t xml:space="preserve">A cost model that predicts a coupled simulation's step time from microbenchmark terms. It is validated on the simulation with K round trips per step (H2, H3, H5). </w:t>
      </w:r>
      <w:r>
        <w:rPr>
          <w:i/>
          <w:iCs/>
        </w:rPr>
        <w:t xml:space="preserve">(waits for M4–M8)</w:t>
      </w:r>
    </w:p>
    <w:p>
      <w:pPr>
        <w:pStyle w:val="ListParagraph"/>
        <w:numPr>
          <w:ilvl w:val="0"/>
          <w:numId w:val="2"/>
        </w:numPr>
      </w:pPr>
      <w:r>
        <w:t xml:space="preserve">The accuracy cost of the asynchronous alternative: how often agents decide differently when GPU results arrive one step late, measured against a same-step oracle (H4). </w:t>
      </w:r>
      <w:r>
        <w:rPr>
          <w:i/>
          <w:iCs/>
        </w:rPr>
        <w:t xml:space="preserve">(waits for M3, M8)</w:t>
      </w:r>
    </w:p>
    <w:p>
      <w:pPr>
        <w:pStyle w:val="ListParagraph"/>
        <w:numPr>
          <w:ilvl w:val="0"/>
          <w:numId w:val="2"/>
        </w:numPr>
      </w:pPr>
      <w:r>
        <w:t xml:space="preserve">A practical account of measurement hygiene for microsecond-scale GPU latency on a laptop-class SoC. Background GPU clients, CPU contention and an undetected dark wake cost us runs, and a shift of 100–280 µs in spin-wait round trips survived every power, display, wake, launch and scheduling condition we tried, until the processor clock explained most of it: on an otherwise idle laptop a lone spin-waiting thread runs slower than the same thread beside a background load (Sect. 12). </w:t>
      </w:r>
      <w:r>
        <w:rPr>
          <w:i/>
          <w:iCs/>
        </w:rPr>
        <w:t xml:space="preserve">(evidence in hand; a per-thread clock trace and the protocol's response are open, 2026-10-23)</w:t>
      </w:r>
    </w:p>
    <w:p>
      <w:pPr>
        <w:pStyle w:val="Normal"/>
      </w:pPr>
      <w:r>
        <w:rPr>
          <w:b/>
          <w:bCs/>
        </w:rPr>
        <w:t xml:space="preserve">Scope and what we do not claim.</w:t>
      </w:r>
    </w:p>
    <w:p>
      <w:pPr>
        <w:pStyle w:val="ListParagraph"/>
        <w:numPr>
          <w:ilvl w:val="0"/>
          <w:numId w:val="1"/>
        </w:numPr>
      </w:pPr>
      <w:r>
        <w:t xml:space="preserve">We compare two </w:t>
      </w:r>
      <w:r>
        <w:rPr>
          <w:b/>
          <w:bCs/>
        </w:rPr>
        <w:t xml:space="preserve">platforms</w:t>
      </w:r>
      <w:r>
        <w:t xml:space="preserve"> (hardware, OS, driver and API together), not memory architectures in isolation (Sect. 12).</w:t>
      </w:r>
    </w:p>
    <w:p>
      <w:pPr>
        <w:pStyle w:val="ListParagraph"/>
        <w:numPr>
          <w:ilvl w:val="0"/>
          <w:numId w:val="1"/>
        </w:numPr>
      </w:pPr>
      <w:r>
        <w:t xml:space="preserve">Each class is represented by one machine: a laptop-class SoC and a desktop PCIe GPU. We do not measure Grace Hopper or MI300A. Our results say where a hand-off's cost comes from (fixed signalling and power-state latency versus bytes), and that question carries over to those nodes. The numbers do not.</w:t>
      </w:r>
    </w:p>
    <w:p>
      <w:pPr>
        <w:pStyle w:val="ListParagraph"/>
        <w:numPr>
          <w:ilvl w:val="0"/>
          <w:numId w:val="1"/>
        </w:numPr>
      </w:pPr>
      <w:r>
        <w:t xml:space="preserve">H1′ was formulated after the idle results and before the extension that tests it, and we say so where it is used.</w:t>
      </w:r>
    </w:p>
    <w:p>
      <w:pPr>
        <w:pStyle w:val="Normal"/>
      </w:pPr>
      <w:r>
        <w:rPr>
          <w:b/>
          <w:bCs/>
        </w:rPr>
        <w:t xml:space="preserve">Organization.</w:t>
      </w:r>
      <w:r>
        <w:t xml:space="preserve"> Sect. 2 places the work among studies of tightly coupled CPU–GPU systems, CUDA unified memory and collaborative CPU–GPU benchmarks. Sect. 3 describes the platforms and Sect. 4 the microbenchmark. Sect. 5 reports the idle-GPU results and the refuted hypothesis, and Sect. 6 the crossover and its dependence on GPU state. Sect. 7 describes the simulation and its coupling strategies, and Sect. 8 its measured step times. Sect. 9 fits and tests the cost model, Sect. 10 measures decision staleness, and Sect. 11 energy. Sect. 12 discusses threats to validity, and Sect. 13 concludes.</w:t>
      </w:r>
    </w:p>
    <w:p>
      <w:pPr>
        <w:pStyle w:val="Heading1"/>
        <w:keepNext/>
      </w:pPr>
      <w:r>
        <w:t xml:space="preserve">2 Background and related work</w:t>
      </w:r>
    </w:p>
    <w:p>
      <w:pPr>
        <w:pStyle w:val="ListParagraph"/>
        <w:numPr>
          <w:ilvl w:val="0"/>
          <w:numId w:val="1"/>
        </w:numPr>
      </w:pPr>
      <w:r>
        <w:rPr>
          <w:b/>
          <w:bCs/>
        </w:rPr>
        <w:t xml:space="preserve">Unified memory doesn't remove synchronization cost; it moves it.</w:t>
      </w:r>
      <w:r>
        <w:t xml:space="preserve"> Beischl et al. </w:t>
      </w:r>
      <w:r>
        <w:fldChar w:fldCharType="begin"/>
      </w:r>
      <w:r>
        <w:instrText xml:space="preserve"> ADDIN ZOTERO_ITEM CSL_CITATION {"citationID":"53e51abf","properties":{"formattedCitation":"[4]","plainCitation":"[4]","noteIndex":0},"citationItems":[{"id":"9RHUAUDT","uris":["http://zotero.org/users/5591478/items/9RHUAUDT"],"itemData":{"id":"9RHUAUDT","type":"paper-conference","collection-title":"DaMoN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[4]</w:t>
      </w:r>
      <w:r>
        <w:fldChar w:fldCharType="end"/>
      </w:r>
      <w:r>
        <w:t xml:space="preserve"> measure this on Apple Silicon:</w:t>
      </w:r>
    </w:p>
    <w:p>
      <w:pPr>
        <w:pStyle w:val="ListParagraph"/>
        <w:numPr>
          <w:ilvl w:val="1"/>
          <w:numId w:val="1"/>
        </w:numPr>
      </w:pPr>
      <w:r>
        <w:t xml:space="preserve">shared buffers get a coherence pass at kernel launch (once per newly allocated buffer, 70–120 GB/s on M4 Pro);</w:t>
      </w:r>
    </w:p>
    <w:p>
      <w:pPr>
        <w:pStyle w:val="ListParagraph"/>
        <w:numPr>
          <w:ilvl w:val="1"/>
          <w:numId w:val="1"/>
        </w:numPr>
      </w:pPr>
      <w:r>
        <w:t xml:space="preserve">Metal kernel start-up costs 28–79 µs to encode plus 14–17 µs (M4 Pro) or 65–75 µs (M3 Ultra) to dispatch;</w:t>
      </w:r>
    </w:p>
    <w:p>
      <w:pPr>
        <w:pStyle w:val="ListParagraph"/>
        <w:numPr>
          <w:ilvl w:val="1"/>
          <w:numId w:val="1"/>
        </w:numPr>
      </w:pPr>
      <w:r>
        <w:t xml:space="preserve">managing memory explicitly cuts per-run coherence overhead below 0.06 ms.</w:t>
      </w:r>
    </w:p>
    <w:p>
      <w:pPr>
        <w:pStyle w:val="Normal"/>
        <w:ind w:left="720"/>
      </w:pPr>
      <w:r>
        <w:t xml:space="preserve">Wahlgren et al. </w:t>
      </w:r>
      <w:r>
        <w:fldChar w:fldCharType="begin"/>
      </w:r>
      <w:r>
        <w:instrText xml:space="preserve"> ADDIN ZOTERO_ITEM CSL_CITATION {"citationID":"b76d4af3","properties":{"formattedCitation":"[2]","plainCitation":"[2]","noteIndex":0},"citationItems":[{"id":"Z6B26CZ6","uris":["http://zotero.org/users/5591478/items/Z6B26CZ6"],"itemData":{"id":"Z6B26CZ6","type":"paper-conference","container-title":"2025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 characterize coherence overhead on MI300A's unified physical memory, and Spafford et al. </w:t>
      </w:r>
      <w:r>
        <w:fldChar w:fldCharType="begin"/>
      </w:r>
      <w:r>
        <w:instrText xml:space="preserve"> ADDIN ZOTERO_ITEM CSL_CITATION {"citationID":"73727184","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make the same trade-off argument for early AMD APUs. Our M5 data agree: the cost sits in the hand-off, not in the bytes (Sect. 5).</w:t>
      </w:r>
    </w:p>
    <w:p>
      <w:pPr>
        <w:pStyle w:val="ListParagraph"/>
        <w:numPr>
          <w:ilvl w:val="0"/>
          <w:numId w:val="1"/>
        </w:numPr>
      </w:pPr>
      <w:r>
        <w:rPr>
          <w:b/>
          <w:bCs/>
        </w:rPr>
        <w:t xml:space="preserve">"Unified memory" means two different things.</w:t>
      </w:r>
      <w:r>
        <w:t xml:space="preserve"> On discrete NVIDIA GPUs it is CUDA's managed memory: one address space, pages migrating over PCIe on demand. Its overhead against explicit copies is well measured, including in this journal </w:t>
      </w:r>
      <w:r>
        <w:fldChar w:fldCharType="begin"/>
      </w:r>
      <w:r>
        <w:instrText xml:space="preserve"> ADDIN ZOTERO_ITEM CSL_CITATION {"citationID":"70626b67","properties":{"formattedCitation":"[5–7]","plainCitation":"[5–7]","noteIndex":0},"citationItems":[{"id":"W5GC85GQ","uris":["http://zotero.org/users/5591478/items/W5GC85GQ"],"itemData":{"id":"W5GC85GQ","type":"article-journal","container-title":"The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Tightly coupled nodes remove the migration: Grace Hopper through a coherent link and one page table </w:t>
      </w:r>
      <w:r>
        <w:fldChar w:fldCharType="begin"/>
      </w:r>
      <w:r>
        <w:instrText xml:space="preserve"> ADDIN ZOTERO_ITEM CSL_CITATION {"citationID":"66abc161","properties":{"formattedCitation":"[1]","plainCitation":"[1]","noteIndex":0},"citationItems":[{"id":"MF5ZZ8WX","uris":["http://zotero.org/users/5591478/items/MF5ZZ8WX"],"itemData":{"id":"MF5ZZ8WX","type":"paper-conference","collection-title":"ICPP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 MI300A and Apple's SoCs through one physical memory </w:t>
      </w:r>
      <w:r>
        <w:fldChar w:fldCharType="begin"/>
      </w:r>
      <w:r>
        <w:instrText xml:space="preserve"> ADDIN ZOTERO_ITEM CSL_CITATION {"citationID":"b4bcae2c","properties":{"formattedCitation":"[2–4]","plainCitation":"[2–4]","noteIndex":0},"citationItems":[{"id":"Z6B26CZ6","uris":["http://zotero.org/users/5591478/items/Z6B26CZ6"],"itemData":{"id":"Z6B26CZ6","type":"paper-conference","container-title":"2025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[2–4]</w:t>
      </w:r>
      <w:r>
        <w:fldChar w:fldCharType="end"/>
      </w:r>
      <w:r>
        <w:t xml:space="preserve">. Our M5 is in the second group and our PCIe baseline uses explicit buffers, not CUDA UM, so the CUDA UM results are context, not a competing measurement.</w:t>
      </w:r>
    </w:p>
    <w:p>
      <w:pPr>
        <w:pStyle w:val="ListParagraph"/>
        <w:numPr>
          <w:ilvl w:val="0"/>
          <w:numId w:val="1"/>
        </w:numPr>
      </w:pPr>
      <w:r>
        <w:rPr>
          <w:b/>
          <w:bCs/>
        </w:rPr>
        <w:t xml:space="preserve">Copy vs zero-copy is workload-dependent</w:t>
      </w:r>
      <w:r>
        <w:t xml:space="preserve">, on embedded iGPUs </w:t>
      </w:r>
      <w:r>
        <w:fldChar w:fldCharType="begin"/>
      </w:r>
      <w:r>
        <w:instrText xml:space="preserve"> ADDIN ZOTERO_ITEM CSL_CITATION {"citationID":"6635feeb","properties":{"formattedCitation":"[9]","plainCitation":"[9]","noteIndex":0},"citationItems":[{"id":"EAW8456R","uris":["http://zotero.org/users/5591478/items/EAW8456R"],"itemData":{"id":"EAW8456R","type":"paper-conference","container-title":"2021 58th ACM/IEEE Design Automation Conference (DAC)","DOI":"10.1109/dac18074.2021.9586304","note":"Citation Key: Lumpp21","page":"685-690","publisher":"IEEE","title":"A Framework for Optimizing CPU-iGPU Communication on Embedded Platforms","URL":"https://doi.org/10.1109/dac18074.2021.9586304","author":[{"family":"Lumpp","given":"Francesco"},{"family":"Patel","given":"Hiren D."},{"family":"Bombieri","given":"Nicola"}],"issued":{"date-parts":[[2021,12]]}}}],"schema":"https://github.com/citation-style-language/schema/raw/master/csl-citation.json"} </w:instrText>
      </w:r>
      <w:r>
        <w:fldChar w:fldCharType="separate"/>
      </w:r>
      <w:r>
        <w:t xml:space="preserve">[9]</w:t>
      </w:r>
      <w:r>
        <w:fldChar w:fldCharType="end"/>
      </w:r>
      <w:r>
        <w:t xml:space="preserve"> as on early APUs </w:t>
      </w:r>
      <w:r>
        <w:fldChar w:fldCharType="begin"/>
      </w:r>
      <w:r>
        <w:instrText xml:space="preserve"> ADDIN ZOTERO_ITEM CSL_CITATION {"citationID":"316c0262","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Our Sect. 6 crossover measures that dependence directly in payload size and GPU state, on one benchmark that runs unchanged on both platforms.</w:t>
      </w:r>
    </w:p>
    <w:p>
      <w:pPr>
        <w:pStyle w:val="ListParagraph"/>
        <w:numPr>
          <w:ilvl w:val="0"/>
          <w:numId w:val="1"/>
        </w:numPr>
      </w:pPr>
      <w:r>
        <w:rPr>
          <w:b/>
          <w:bCs/>
        </w:rPr>
        <w:t xml:space="preserve">Collaboration benchmarks</w:t>
      </w:r>
      <w:r>
        <w:t xml:space="preserve"> </w:t>
      </w:r>
      <w:r>
        <w:fldChar w:fldCharType="begin"/>
      </w:r>
      <w:r>
        <w:instrText xml:space="preserve"> ADDIN ZOTERO_ITEM CSL_CITATION {"citationID":"5b126fa5","properties":{"formattedCitation":"[10, 11]","plainCitation":"[10, 11]","noteIndex":0},"citationItems":[{"id":"IXIHP6NZ","uris":["http://zotero.org/users/5591478/items/IXIHP6NZ"],"itemData":{"id":"IXIHP6NZ","type":"paper-conference","container-title":"2017 IEEE International Symposium on Performance Analysis of Systems and Software (ISPASS)","DOI":"10.1109/ispass.2017.7975269","note":"Citation Key: GomezLuna17","page":"43-54","publisher":"IEEE","title":"Chai: Collaborative heterogeneous applications for integrated-architectures","URL":"https://doi.org/10.1109/ispass.2017.7975269","author":[{"family":"Gómez-Luna","given":"Juan"},{"family":"El Hajj","given":"Izzat"},{"family":"Chang","given":"Li-Wen"},{"family":"García-Flores","given":"Victor"},{"family":"Garcia de Gonzalo","given":"Simon"},{"family":"Jablin","given":"Thomas B."},{"family":"Peña","given":"Antonio J."},{"family":"Hwu","given":"Wen-mei"}],"issued":{"date-parts":[[2017,4]]}}},{"id":"S8VS4KSE","uris":["http://zotero.org/users/5591478/items/S8VS4KSE"],"itemData":{"id":"S8VS4KSE","type":"paper-conference","container-title":"2016 IEEE International Symposium on Workload Characterization (IISWC)","DOI":"10.1109/iiswc.2016.7581262","note":"Citation Key: Sun16","page":"1-10","publisher":"IEEE","title":"Hetero-mark, a benchmark suite for CPU-GPU collaborative computing","URL":"https://doi.org/10.1109/iiswc.2016.7581262","author":[{"family":"Sun","given":"Yifan"},{"family":"Gong","given":"Xiang"},{"family":"Ziabari","given":"Amir Kavyan"},{"family":"Yu","given":"Leiming"},{"family":"Li","given":"Xiangyu"},{"family":"Mukherjee","given":"Saoni"},{"family":"McCardwell","given":"Carter"},{"family":"Villegas","given":"Alejandro"},{"family":"Kaeli","given":"David"}],"issued":{"date-parts":[[2016,9]]}}}],"schema":"https://github.com/citation-style-language/schema/raw/master/csl-citation.json"} </w:instrText>
      </w:r>
      <w:r>
        <w:fldChar w:fldCharType="separate"/>
      </w:r>
      <w:r>
        <w:t xml:space="preserve">[10, 11]</w:t>
      </w:r>
      <w:r>
        <w:fldChar w:fldCharType="end"/>
      </w:r>
      <w:r>
        <w:t xml:space="preserve"> define the fine-grained CPU–GPU patterns, but they target integrated architectures through OpenCL, CUDA or C++ AMP, and Gera et al. </w:t>
      </w:r>
      <w:r>
        <w:fldChar w:fldCharType="begin"/>
      </w:r>
      <w:r>
        <w:instrText xml:space="preserve"> ADDIN ZOTERO_ITEM CSL_CITATION {"citationID":"599729fe","properties":{"formattedCitation":"[12]","plainCitation":"[12]","noteIndex":0},"citationItems":[{"id":"SUVUGF4V","uris":["http://zotero.org/users/5591478/items/SUVUGF4V"],"itemData":{"id":"SUVUGF4V","type":"paper-conference","container-title":"2018 IEEE International Symposium on Performance Analysis of Systems and Software (ISPASS)","DOI":"10.1109/ispass.2018.00027","note":"Citation Key: Gera18","page":"139-148","publisher":"IEEE","title":"Performance Characterisation and Simulation of Intel’s Integrated GPU Architecture","URL":"https://doi.org/10.1109/ispass.2018.00027","author":[{"family":"Gera","given":"Prasun"},{"family":"Kim","given":"Hyojong"},{"family":"Kim","given":"Hyesoon"},{"family":"Hong","given":"Sunpyo"},{"family":"George","given":"Vinod"},{"family":"Luk","given":"Chi-Keung"}],"issued":{"date-parts":[[2018,4]]}}}],"schema":"https://github.com/citation-style-language/schema/raw/master/csl-citation.json"} </w:instrText>
      </w:r>
      <w:r>
        <w:fldChar w:fldCharType="separate"/>
      </w:r>
      <w:r>
        <w:t xml:space="preserve">[12]</w:t>
      </w:r>
      <w:r>
        <w:fldChar w:fldCharType="end"/>
      </w:r>
      <w:r>
        <w:t xml:space="preserve"> characterize Intel's integrated GPU with microbenchmarks that include CPU–GPU cache sharing. Neither compares a unified-memory SoC with a discrete GPU on one shader source with identical buffer layouts.</w:t>
      </w:r>
    </w:p>
    <w:p>
      <w:pPr>
        <w:pStyle w:val="ListParagraph"/>
        <w:numPr>
          <w:ilvl w:val="0"/>
          <w:numId w:val="1"/>
        </w:numPr>
      </w:pPr>
      <w:r>
        <w:rPr>
          <w:b/>
          <w:bCs/>
        </w:rPr>
        <w:t xml:space="preserve">Apple Silicon studies</w:t>
      </w:r>
      <w:r>
        <w:t xml:space="preserve"> </w:t>
      </w:r>
      <w:r>
        <w:fldChar w:fldCharType="begin"/>
      </w:r>
      <w:r>
        <w:instrText xml:space="preserve"> ADDIN ZOTERO_ITEM CSL_CITATION {"citationID":"bdd12aee","properties":{"formattedCitation":"[3, 4, 13]","plainCitation":"[3, 4, 13]","noteIndex":0},"citationItems":[{"id":"B5Q9E3C9","uris":["http://zotero.org/users/5591478/items/B5Q9E3C9"],"itemData":{"id":"B5Q9E3C9","type":"article","DOI":"10.48550/arXiv.2502.05317","note":"Citation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[3, 4, 13]</w:t>
      </w:r>
      <w:r>
        <w:fldChar w:fldCharType="end"/>
      </w:r>
      <w:r>
        <w:t xml:space="preserve"> look at ML training, HPC kernels and databases.</w:t>
      </w:r>
    </w:p>
    <w:p>
      <w:pPr>
        <w:pStyle w:val="ListParagraph"/>
        <w:numPr>
          <w:ilvl w:val="1"/>
          <w:numId w:val="1"/>
        </w:numPr>
      </w:pPr>
      <w:r>
        <w:t xml:space="preserve">Feng et al. </w:t>
      </w:r>
      <w:r>
        <w:fldChar w:fldCharType="begin"/>
      </w:r>
      <w:r>
        <w:instrText xml:space="preserve"> ADDIN ZOTERO_ITEM CSL_CITATION {"citationID":"0f0bdfed","properties":{"formattedCitation":"[13]","plainCitation":"[13]","noteIndex":0},"citationItems":[{"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[13]</w:t>
      </w:r>
      <w:r>
        <w:fldChar w:fldCharType="end"/>
      </w:r>
      <w:r>
        <w:t xml:space="preserve"> already point to kernel launch time as a factor in the gap with NVIDIA.</w:t>
      </w:r>
    </w:p>
    <w:p>
      <w:pPr>
        <w:pStyle w:val="ListParagraph"/>
        <w:numPr>
          <w:ilvl w:val="1"/>
          <w:numId w:val="1"/>
        </w:numPr>
      </w:pPr>
      <w:r>
        <w:t xml:space="preserve">None measures repeated round trips within a real-time frame budget, or the GPU power-state effect we see in the CPU→GPU hand-off (Sect. 5, Sect. 6).</w:t>
      </w:r>
    </w:p>
    <w:p>
      <w:pPr>
        <w:pStyle w:val="ListParagraph"/>
        <w:numPr>
          <w:ilvl w:val="0"/>
          <w:numId w:val="1"/>
        </w:numPr>
      </w:pPr>
      <w:r>
        <w:rPr>
          <w:b/>
          <w:bCs/>
        </w:rPr>
        <w:t xml:space="preserve">Launch and dispatch overhead are known to be tens of µs, but measured one way.</w:t>
      </w:r>
      <w:r>
        <w:t xml:space="preserve"> Maczan </w:t>
      </w:r>
      <w:r>
        <w:fldChar w:fldCharType="begin"/>
      </w:r>
      <w:r>
        <w:instrText xml:space="preserve"> ADDIN ZOTERO_ITEM CSL_CITATION {"citationID":"b34883b6","properties":{"formattedCitation":"[14]","plainCitation":"[14]","noteIndex":0},"citationItems":[{"id":"Q7E37WC4","uris":["http://zotero.org/users/5591478/items/Q7E37WC4"],"itemData":{"id":"Q7E37WC4","type":"article","DOI":"10.48550/arXiv.2608.08730","note":"Citation Key: Maczan26","number":"arXiv:2608.08730","publisher":"arXiv","title":"Measuring and Reducing WebGPU Dispatch Overhead for LLM Inference","URL":"https://arxiv.org/abs/2608.08730","author":[{"family":"Maczan","given":"Jędrzej"}],"issued":{"date-parts":[[2026]]}}}],"schema":"https://github.com/citation-style-language/schema/raw/master/csl-citation.json"} </w:instrText>
      </w:r>
      <w:r>
        <w:fldChar w:fldCharType="separate"/>
      </w:r>
      <w:r>
        <w:t xml:space="preserve">[14]</w:t>
      </w:r>
      <w:r>
        <w:fldChar w:fldCharType="end"/>
      </w:r>
      <w:r>
        <w:t xml:space="preserve"> separates the marginal cost of a dispatch (24–36 µs Vulkan, 32–71 µs Metal) from the synchronization that a naive single-op timing folds in (450 of 497 µs). Cassagne et al. </w:t>
      </w:r>
      <w:r>
        <w:fldChar w:fldCharType="begin"/>
      </w:r>
      <w:r>
        <w:instrText xml:space="preserve"> ADDIN ZOTERO_ITEM CSL_CITATION {"citationID":"dba1fdf3","properties":{"formattedCitation":"[15]","plainCitation":"[15]","noteIndex":0},"citationItems":[{"id":"TE2TJ63A","uris":["http://zotero.org/users/5591478/items/TE2TJ63A"],"itemData":{"id":"TE2TJ63A","type":"article","DOI":"10.48550/arXiv.2508.10481","note":"Citation Key: Cassagne25","number":"arXiv:2508.10481","publisher":"arXiv","title":"Dalek: An Unconventional and Energy-Aware Heterogeneous Cluster","URL":"https://arxiv.org/abs/2508.10481","author":[{"family":"Cassagne","given":"Adrien"},{"family":"Amiot","given":"Noé"},{"family":"Bouyer","given":"Manuel"}],"issued":{"date-parts":[[2025]]}}}],"schema":"https://github.com/citation-style-language/schema/raw/master/csl-citation.json"} </w:instrText>
      </w:r>
      <w:r>
        <w:fldChar w:fldCharType="separate"/>
      </w:r>
      <w:r>
        <w:t xml:space="preserve">[15]</w:t>
      </w:r>
      <w:r>
        <w:fldChar w:fldCharType="end"/>
      </w:r>
      <w:r>
        <w:t xml:space="preserve"> report host-to-kernel-start latency from ≈ 5 µs (RTX 4090) to 35–40 µs (Intel iGPUs). Both measure the CPU→GPU direction only. Our round trip is exactly the part they exclude: the full hand-off in both directions, repeated within a frame, which is what a game pays for each K.</w:t>
      </w:r>
    </w:p>
    <w:p>
      <w:pPr>
        <w:pStyle w:val="ListParagraph"/>
        <w:numPr>
          <w:ilvl w:val="0"/>
          <w:numId w:val="1"/>
        </w:numPr>
      </w:pPr>
      <w:r>
        <w:rPr>
          <w:b/>
          <w:bCs/>
        </w:rPr>
        <w:t xml:space="preserve">GPU power-state transitions are slow and vendor-specific.</w:t>
      </w:r>
      <w:r>
        <w:t xml:space="preserve"> Velicka et al. </w:t>
      </w:r>
      <w:r>
        <w:fldChar w:fldCharType="begin"/>
      </w:r>
      <w:r>
        <w:instrText xml:space="preserve"> ADDIN ZOTERO_ITEM CSL_CITATION {"citationID":"2dc5e099","properties":{"formattedCitation":"[16, 17]","plainCitation":"[16, 17]","noteIndex":0},"citationItems":[{"id":"JH7NE5WJ","uris":["http://zotero.org/users/5591478/items/JH7NE5WJ"],"itemData":{"id":"JH7NE5WJ","type":"paper-conference","container-title":"2025 IEEE International Parallel and Distributed Processing Symposium Workshops (IPDPSW)","DOI":"10.1109/ipdpsw66978.2025.00133","note":"Citation Key: Velicka25","page":"830-839","publisher":"IEEE","title":"Methodology for GPU Frequency Switching Latency Measurement","URL":"https://doi.org/10.1109/ipdpsw66978.2025.00133","author":[{"family":"Velicka","given":"Daniel"},{"family":"Vysocky","given":"Ondrej"},{"family":"Riha","given":"Lubomir"}],"issued":{"date-parts":[[2025,6]]}}},{"id":"63M2D7IM","uris":["http://zotero.org/users/5591478/items/63M2D7IM"],"itemData":{"id":"63M2D7IM","type":"article-journal","container-title":"Future Generation Computer Systems","DOI":"10.1016/j.future.2025.108331","ISSN":"0167-739X","note":"Citation Key: Velicka26","page":"108331","title":"An in-depth study of GPU frequency-scaling latency and its optimization on modern architectures","URL":"https://doi.org/10.1016/j.future.2025.108331","volume":"179","author":[{"family":"Velicka","given":"Daniel"},{"family":"Vysocky","given":"Ondrej"},{"family":"Yasal","given":"Osman"},{"family":"Riha","given":"Lubomir"}],"issued":{"date-parts":[[2026,6]]}}}],"schema":"https://github.com/citation-style-language/schema/raw/master/csl-citation.json"} </w:instrText>
      </w:r>
      <w:r>
        <w:fldChar w:fldCharType="separate"/>
      </w:r>
      <w:r>
        <w:t xml:space="preserve">[16, 17]</w:t>
      </w:r>
      <w:r>
        <w:fldChar w:fldCharType="end"/>
      </w:r>
      <w:r>
        <w:t xml:space="preserve"> measure DVFS switching latency on data-centre NVIDIA GPUs and find that it differs widely between GPUs. We found no study of idle-state exit latency, on Apple or NVIDIA. So Sects. 5 and 6 can only say the multimodal M5 hand-off is "consistent with" a power-state effect, and the hot-GPU cells test that reading directly.</w:t>
      </w:r>
    </w:p>
    <w:p>
      <w:pPr>
        <w:pStyle w:val="ListParagraph"/>
        <w:numPr>
          <w:ilvl w:val="0"/>
          <w:numId w:val="1"/>
        </w:numPr>
      </w:pPr>
      <w:r>
        <w:rPr>
          <w:b/>
          <w:bCs/>
        </w:rPr>
        <w:t xml:space="preserve">Workload side.</w:t>
      </w:r>
      <w:r>
        <w:t xml:space="preserve"> Hybrid CPU+GPU crowd simulation exists as an HPC problem </w:t>
      </w:r>
      <w:r>
        <w:fldChar w:fldCharType="begin"/>
      </w:r>
      <w:r>
        <w:instrText xml:space="preserve"> ADDIN ZOTERO_ITEM CSL_CITATION {"citationID":"04c680c3","properties":{"formattedCitation":"[18]","plainCitation":"[18]","noteIndex":0},"citationItems":[{"id":"HHZZZEFU","uris":["http://zotero.org/users/5591478/items/HHZZZEFU"],"itemData":{"id":"HHZZZEFU","type":"article-journal","container-title":"Simulation Modelling Practice and Theory","DOI":"10.1016/j.simpat.2022.102691","ISSN":"1569-190X","note":"Citation Key: Skrzypczak23","page":"102691","title":"Efficient parallel implementation of crowd simulation using a hybrid CPU+GPU high performance computing system","URL":"https://doi.org/10.1016/j.simpat.2022.102691","volume":"123","author":[{"family":"Skrzypczak","given":"Jakub"},{"family":"Czarnul","given":"Paweł"}],"issued":{"date-parts":[[2023,2]]}}}],"schema":"https://github.com/citation-style-language/schema/raw/master/csl-citation.json"} </w:instrText>
      </w:r>
      <w:r>
        <w:fldChar w:fldCharType="separate"/>
      </w:r>
      <w:r>
        <w:t xml:space="preserve">[18]</w:t>
      </w:r>
      <w:r>
        <w:fldChar w:fldCharType="end"/>
      </w:r>
      <w:r>
        <w:t xml:space="preserve">: load balancing over 10k–1M agents, throughput-oriented. Real-time swarms with CPU-side decisions inside a 16.7 ms frame are not studied there.</w:t>
      </w:r>
    </w:p>
    <w:p>
      <w:pPr>
        <w:pStyle w:val="Normal"/>
      </w:pPr>
      <w:r>
        <w:rPr>
          <w:b/>
          <w:bCs/>
        </w:rPr>
        <w:t xml:space="preserve">Gap.</w:t>
      </w:r>
      <w:r>
        <w:t xml:space="preserve"> We are not aware of a peer-reviewed measurement of fine-grained, multiple-per-step CPU–GPU round trips that compares a shared-memory SoC with PCIe GPUs on identical algorithms, ties the result to a real-time agent workload, or studies ReBAR's effect on the CPU→GPU write path. The ReBAR measurements we found are consumer game benchmarks, not controlled latency studies.</w:t>
      </w:r>
    </w:p>
    <w:p>
      <w:pPr>
        <w:pStyle w:val="Heading1"/>
        <w:keepNext/>
      </w:pPr>
      <w:r>
        <w:t xml:space="preserve">3 Platforms</w:t>
      </w:r>
    </w:p>
    <w:p>
      <w:pPr>
        <w:pStyle w:val="Caption"/>
        <w:keepNext/>
      </w:pPr>
      <w:r>
        <w:rPr>
          <w:b/>
          <w:bCs/>
        </w:rPr>
        <w:t xml:space="preserve">Table 1 </w:t>
      </w:r>
      <w:r>
        <w:t xml:space="preserve">The two platforms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76"/>
        <w:gridCol w:w="3801"/>
        <w:gridCol w:w="3849"/>
      </w:tblGrid>
      <w:tr>
        <w:trPr>
          <w:cantSplit/>
          <w:tblHeader/>
        </w:trPr>
        <w:tc>
          <w:tcPr>
            <w:tcW w:w="1376" w:type="dxa"/>
            <w:tcBorders>
              <w:top w:val="single" w:sz="4" w:space="0" w:color="auto"/>
              <w:bottom w:val="single" w:sz="4" w:space="0" w:color="auto"/>
            </w:tcBorders>
          </w:tcPr>
          <w:p>
            <w:pPr>
              <w:pStyle w:val="TableCell"/>
              <w:jc w:val="left"/>
            </w:pPr>
          </w:p>
        </w:tc>
        <w:tc>
          <w:tcPr>
            <w:tcW w:w="3801" w:type="dxa"/>
            <w:tcBorders>
              <w:top w:val="single" w:sz="4" w:space="0" w:color="auto"/>
              <w:bottom w:val="single" w:sz="4" w:space="0" w:color="auto"/>
            </w:tcBorders>
          </w:tcPr>
          <w:p>
            <w:pPr>
              <w:pStyle w:val="TableCell"/>
              <w:jc w:val="left"/>
            </w:pPr>
            <w:r>
              <w:rPr>
                <w:b/>
                <w:bCs/>
              </w:rPr>
              <w:t xml:space="preserve">P-M5</w:t>
            </w:r>
          </w:p>
        </w:tc>
        <w:tc>
          <w:tcPr>
            <w:tcW w:w="3849" w:type="dxa"/>
            <w:tcBorders>
              <w:top w:val="single" w:sz="4" w:space="0" w:color="auto"/>
              <w:bottom w:val="single" w:sz="4" w:space="0" w:color="auto"/>
            </w:tcBorders>
          </w:tcPr>
          <w:p>
            <w:pPr>
              <w:pStyle w:val="TableCell"/>
              <w:jc w:val="left"/>
            </w:pPr>
            <w:r>
              <w:rPr>
                <w:b/>
                <w:bCs/>
              </w:rPr>
              <w:t xml:space="preserve">P-3060</w:t>
            </w:r>
          </w:p>
        </w:tc>
      </w:tr>
      <w:tr>
        <w:trPr>
          <w:cantSplit/>
        </w:trPr>
        <w:tc>
          <w:tcPr>
            <w:tcW w:w="1376" w:type="dxa"/>
            <w:tcBorders/>
          </w:tcPr>
          <w:p>
            <w:pPr>
              <w:pStyle w:val="TableCell"/>
              <w:jc w:val="left"/>
            </w:pPr>
            <w:r>
              <w:t xml:space="preserve">system</w:t>
            </w:r>
          </w:p>
        </w:tc>
        <w:tc>
          <w:tcPr>
            <w:tcW w:w="3801" w:type="dxa"/>
            <w:tcBorders/>
          </w:tcPr>
          <w:p>
            <w:pPr>
              <w:pStyle w:val="TableCell"/>
              <w:jc w:val="left"/>
            </w:pPr>
            <w:r>
              <w:t xml:space="preserve">MacBook Air 15" (Mac17,4), fanless</w:t>
            </w:r>
          </w:p>
        </w:tc>
        <w:tc>
          <w:tcPr>
            <w:tcW w:w="3849" w:type="dxa"/>
            <w:tcBorders/>
          </w:tcPr>
          <w:p>
            <w:pPr>
              <w:pStyle w:val="TableCell"/>
              <w:jc w:val="left"/>
            </w:pPr>
            <w:r>
              <w:t xml:space="preserve">desktop, MSI MS-B9241 board</w:t>
            </w:r>
          </w:p>
        </w:tc>
      </w:tr>
      <w:tr>
        <w:trPr>
          <w:cantSplit/>
        </w:trPr>
        <w:tc>
          <w:tcPr>
            <w:tcW w:w="1376" w:type="dxa"/>
            <w:tcBorders/>
          </w:tcPr>
          <w:p>
            <w:pPr>
              <w:pStyle w:val="TableCell"/>
              <w:jc w:val="left"/>
            </w:pPr>
            <w:r>
              <w:t xml:space="preserve">CPU</w:t>
            </w:r>
          </w:p>
        </w:tc>
        <w:tc>
          <w:tcPr>
            <w:tcW w:w="3801" w:type="dxa"/>
            <w:tcBorders/>
          </w:tcPr>
          <w:p>
            <w:pPr>
              <w:pStyle w:val="TableCell"/>
              <w:jc w:val="left"/>
            </w:pPr>
            <w:r>
              <w:t xml:space="preserve">Apple M5, 4 performance + 6 efficiency cores</w:t>
            </w:r>
          </w:p>
        </w:tc>
        <w:tc>
          <w:tcPr>
            <w:tcW w:w="3849" w:type="dxa"/>
            <w:tcBorders/>
          </w:tcPr>
          <w:p>
            <w:pPr>
              <w:pStyle w:val="TableCell"/>
              <w:jc w:val="left"/>
            </w:pPr>
            <w:r>
              <w:t xml:space="preserve">Intel Core i7-12700F, 12 cores / 20 threads</w:t>
            </w:r>
          </w:p>
        </w:tc>
      </w:tr>
      <w:tr>
        <w:trPr>
          <w:cantSplit/>
        </w:trPr>
        <w:tc>
          <w:tcPr>
            <w:tcW w:w="1376" w:type="dxa"/>
            <w:tcBorders/>
          </w:tcPr>
          <w:p>
            <w:pPr>
              <w:pStyle w:val="TableCell"/>
              <w:jc w:val="left"/>
            </w:pPr>
            <w:r>
              <w:t xml:space="preserve">GPU</w:t>
            </w:r>
          </w:p>
        </w:tc>
        <w:tc>
          <w:tcPr>
            <w:tcW w:w="3801" w:type="dxa"/>
            <w:tcBorders/>
          </w:tcPr>
          <w:p>
            <w:pPr>
              <w:pStyle w:val="TableCell"/>
              <w:jc w:val="left"/>
            </w:pPr>
            <w:r>
              <w:t xml:space="preserve">Apple M5, 10 cores, unified memory</w:t>
            </w:r>
          </w:p>
        </w:tc>
        <w:tc>
          <w:tcPr>
            <w:tcW w:w="3849" w:type="dxa"/>
            <w:tcBorders/>
          </w:tcPr>
          <w:p>
            <w:pPr>
              <w:pStyle w:val="TableCell"/>
              <w:jc w:val="left"/>
            </w:pPr>
            <w:r>
              <w:t xml:space="preserve">NVIDIA RTX 3060 Ti, 8 GB</w:t>
            </w:r>
          </w:p>
        </w:tc>
      </w:tr>
      <w:tr>
        <w:trPr>
          <w:cantSplit/>
        </w:trPr>
        <w:tc>
          <w:tcPr>
            <w:tcW w:w="1376" w:type="dxa"/>
            <w:tcBorders/>
          </w:tcPr>
          <w:p>
            <w:pPr>
              <w:pStyle w:val="TableCell"/>
              <w:jc w:val="left"/>
            </w:pPr>
            <w:r>
              <w:t xml:space="preserve">memory</w:t>
            </w:r>
          </w:p>
        </w:tc>
        <w:tc>
          <w:tcPr>
            <w:tcW w:w="3801" w:type="dxa"/>
            <w:tcBorders/>
          </w:tcPr>
          <w:p>
            <w:pPr>
              <w:pStyle w:val="TableCell"/>
              <w:jc w:val="left"/>
            </w:pPr>
            <w:r>
              <w:t xml:space="preserve">24 GiB unified</w:t>
            </w:r>
          </w:p>
        </w:tc>
        <w:tc>
          <w:tcPr>
            <w:tcW w:w="3849" w:type="dxa"/>
            <w:tcBorders/>
          </w:tcPr>
          <w:p>
            <w:pPr>
              <w:pStyle w:val="TableCell"/>
              <w:jc w:val="left"/>
            </w:pPr>
            <w:r>
              <w:t xml:space="preserve">32 GB system</w:t>
            </w:r>
          </w:p>
        </w:tc>
      </w:tr>
      <w:tr>
        <w:trPr>
          <w:cantSplit/>
        </w:trPr>
        <w:tc>
          <w:tcPr>
            <w:tcW w:w="1376" w:type="dxa"/>
            <w:tcBorders/>
          </w:tcPr>
          <w:p>
            <w:pPr>
              <w:pStyle w:val="TableCell"/>
              <w:jc w:val="left"/>
            </w:pPr>
            <w:r>
              <w:t xml:space="preserve">link</w:t>
            </w:r>
          </w:p>
        </w:tc>
        <w:tc>
          <w:tcPr>
            <w:tcW w:w="3801" w:type="dxa"/>
            <w:tcBorders/>
          </w:tcPr>
          <w:p>
            <w:pPr>
              <w:pStyle w:val="TableCell"/>
              <w:jc w:val="left"/>
            </w:pPr>
            <w:r>
              <w:t xml:space="preserve">none (shared memory)</w:t>
            </w:r>
          </w:p>
        </w:tc>
        <w:tc>
          <w:tcPr>
            <w:tcW w:w="3849" w:type="dxa"/>
            <w:tcBorders/>
          </w:tcPr>
          <w:p>
            <w:pPr>
              <w:pStyle w:val="TableCell"/>
              <w:jc w:val="left"/>
            </w:pPr>
            <w:r>
              <w:t xml:space="preserve">PCIe </w:t>
            </w:r>
            <w:r>
              <w:rPr>
                <w:b/>
                <w:bCs/>
              </w:rPr>
              <w:t xml:space="preserve">gen3</w:t>
            </w:r>
            <w:r>
              <w:t xml:space="preserve"> x16, measured under load in every run</w:t>
            </w:r>
          </w:p>
        </w:tc>
      </w:tr>
      <w:tr>
        <w:trPr>
          <w:cantSplit/>
        </w:trPr>
        <w:tc>
          <w:tcPr>
            <w:tcW w:w="1376" w:type="dxa"/>
            <w:tcBorders/>
          </w:tcPr>
          <w:p>
            <w:pPr>
              <w:pStyle w:val="TableCell"/>
              <w:jc w:val="left"/>
            </w:pPr>
            <w:r>
              <w:t xml:space="preserve">OS / driver</w:t>
            </w:r>
          </w:p>
        </w:tc>
        <w:tc>
          <w:tcPr>
            <w:tcW w:w="3801" w:type="dxa"/>
            <w:tcBorders/>
          </w:tcPr>
          <w:p>
            <w:pPr>
              <w:pStyle w:val="TableCell"/>
              <w:jc w:val="left"/>
            </w:pPr>
            <w:r>
              <w:t xml:space="preserve">macOS 26.6.2 (25G83)</w:t>
            </w:r>
          </w:p>
        </w:tc>
        <w:tc>
          <w:tcPr>
            <w:tcW w:w="3849" w:type="dxa"/>
            <w:tcBorders/>
          </w:tcPr>
          <w:p>
            <w:pPr>
              <w:pStyle w:val="TableCell"/>
              <w:jc w:val="left"/>
            </w:pPr>
            <w:r>
              <w:t xml:space="preserve">Windows 11 (10.0.26200), driver 566.36</w:t>
            </w:r>
          </w:p>
        </w:tc>
      </w:tr>
      <w:tr>
        <w:trPr>
          <w:cantSplit/>
        </w:trPr>
        <w:tc>
          <w:tcPr>
            <w:tcW w:w="1376" w:type="dxa"/>
            <w:tcBorders/>
          </w:tcPr>
          <w:p>
            <w:pPr>
              <w:pStyle w:val="TableCell"/>
              <w:jc w:val="left"/>
            </w:pPr>
            <w:r>
              <w:t xml:space="preserve">API</w:t>
            </w:r>
          </w:p>
        </w:tc>
        <w:tc>
          <w:tcPr>
            <w:tcW w:w="3801" w:type="dxa"/>
            <w:tcBorders/>
          </w:tcPr>
          <w:p>
            <w:pPr>
              <w:pStyle w:val="TableCell"/>
              <w:jc w:val="left"/>
            </w:pPr>
            <w:r>
              <w:t xml:space="preserve">Metal (metal-cpp)</w:t>
            </w:r>
          </w:p>
        </w:tc>
        <w:tc>
          <w:tcPr>
            <w:tcW w:w="3849" w:type="dxa"/>
            <w:tcBorders/>
          </w:tcPr>
          <w:p>
            <w:pPr>
              <w:pStyle w:val="TableCell"/>
              <w:jc w:val="left"/>
            </w:pPr>
            <w:r>
              <w:t xml:space="preserve">Vulkan 1.3.289</w:t>
            </w:r>
          </w:p>
        </w:tc>
      </w:tr>
      <w:tr>
        <w:trPr>
          <w:cantSplit/>
        </w:trPr>
        <w:tc>
          <w:tcPr>
            <w:tcW w:w="1376" w:type="dxa"/>
            <w:tcBorders/>
          </w:tcPr>
          <w:p>
            <w:pPr>
              <w:pStyle w:val="TableCell"/>
              <w:jc w:val="left"/>
            </w:pPr>
            <w:r>
              <w:t xml:space="preserve">power</w:t>
            </w:r>
          </w:p>
        </w:tc>
        <w:tc>
          <w:tcPr>
            <w:tcW w:w="3801" w:type="dxa"/>
            <w:tcBorders/>
          </w:tcPr>
          <w:p>
            <w:pPr>
              <w:pStyle w:val="TableCell"/>
              <w:jc w:val="left"/>
            </w:pPr>
            <w:r>
              <w:t xml:space="preserve">AC, Low Power Mode off; thermal state "fair" throughout</w:t>
            </w:r>
          </w:p>
        </w:tc>
        <w:tc>
          <w:tcPr>
            <w:tcW w:w="3849" w:type="dxa"/>
            <w:tcBorders/>
          </w:tcPr>
          <w:p>
            <w:pPr>
              <w:pStyle w:val="TableCell"/>
              <w:jc w:val="left"/>
            </w:pPr>
            <w:r>
              <w:t xml:space="preserve">Ultimate Performance plan, "Prefer maximum performance"</w:t>
            </w:r>
          </w:p>
        </w:tc>
      </w:tr>
      <w:tr>
        <w:trPr>
          <w:cantSplit/>
        </w:trPr>
        <w:tc>
          <w:tcPr>
            <w:tcW w:w="1376" w:type="dxa"/>
            <w:tcBorders>
              <w:bottom w:val="single" w:sz="4" w:space="0" w:color="auto"/>
            </w:tcBorders>
          </w:tcPr>
          <w:p>
            <w:pPr>
              <w:pStyle w:val="TableCell"/>
              <w:jc w:val="left"/>
            </w:pPr>
            <w:r>
              <w:t xml:space="preserve">ReBAR</w:t>
            </w:r>
          </w:p>
        </w:tc>
        <w:tc>
          <w:tcPr>
            <w:tcW w:w="3801" w:type="dxa"/>
            <w:tcBorders>
              <w:bottom w:val="single" w:sz="4" w:space="0" w:color="auto"/>
            </w:tcBorders>
          </w:tcPr>
          <w:p>
            <w:pPr>
              <w:pStyle w:val="TableCell"/>
              <w:jc w:val="left"/>
            </w:pPr>
            <w:r>
              <w:t xml:space="preserve">n/a</w:t>
            </w:r>
          </w:p>
        </w:tc>
        <w:tc>
          <w:tcPr>
            <w:tcW w:w="3849" w:type="dxa"/>
            <w:tcBorders>
              <w:bottom w:val="single" w:sz="4" w:space="0" w:color="auto"/>
            </w:tcBorders>
          </w:tcPr>
          <w:p>
            <w:pPr>
              <w:pStyle w:val="TableCell"/>
              <w:jc w:val="left"/>
            </w:pPr>
            <w:r>
              <w:t xml:space="preserve">on (BAR heap 8024 MB, primary) and off (214 MB, separate series)</w:t>
            </w:r>
          </w:p>
        </w:tc>
      </w:tr>
    </w:tbl>
    <w:p>
      <w:pPr>
        <w:pStyle w:val="Spacer"/>
      </w:pPr>
    </w:p>
    <w:p>
      <w:pPr>
        <w:pStyle w:val="Normal"/>
      </w:pPr>
      <w:r>
        <w:t xml:space="preserve">The protocol planned PCIe 4.0. The board's slot runs at gen3, so the measured link is the platform definition. For H5's link-width comparison, both RTX cards run in the same slot (x16 vs x8, both gen3). The RTX 4060 Ti (P-4060) is pending.</w:t>
      </w:r>
    </w:p>
    <w:p>
      <w:pPr>
        <w:pStyle w:val="Heading1"/>
        <w:keepNext/>
      </w:pPr>
      <w:r>
        <w:t xml:space="preserve">4 Microbenchmark method</w:t>
      </w:r>
    </w:p>
    <w:p>
      <w:pPr>
        <w:pStyle w:val="Heading2"/>
        <w:keepNext/>
      </w:pPr>
      <w:r>
        <w:t xml:space="preserve">4.1 What one iteration measures</w:t>
      </w:r>
    </w:p>
    <w:p>
      <w:pPr>
        <w:pStyle w:val="Normal"/>
      </w:pPr>
      <w:r>
        <w:t xml:space="preserve">One iteration is a CPU–GPU round trip of payload </w:t>
      </w:r>
      <w:r>
        <w:rPr>
          <w:i/>
          <w:iCs/>
        </w:rPr>
        <w:t xml:space="preserve">P</w:t>
      </w:r>
      <w:r>
        <w:t xml:space="preserve"> bytes:</w:t>
      </w:r>
    </w:p>
    <w:p>
      <w:pPr>
        <w:pStyle w:val="ListParagraph"/>
        <w:numPr>
          <w:ilvl w:val="0"/>
          <w:numId w:val="3"/>
        </w:numPr>
      </w:pPr>
      <w:r>
        <w:t xml:space="preserve">A GPU kernel writes </w:t>
      </w:r>
      <w:r>
        <w:rPr>
          <w:i/>
          <w:iCs/>
        </w:rPr>
        <w:t xml:space="preserve">P</w:t>
      </w:r>
      <w:r>
        <w:t xml:space="preserve"> bytes (one thread per 16 B, trivial arithmetic) and signals a timeline value.</w:t>
      </w:r>
    </w:p>
    <w:p>
      <w:pPr>
        <w:pStyle w:val="ListParagraph"/>
        <w:numPr>
          <w:ilvl w:val="0"/>
          <w:numId w:val="3"/>
        </w:numPr>
      </w:pPr>
      <w:r>
        <w:t xml:space="preserve">The CPU waits for that value, reads all </w:t>
      </w:r>
      <w:r>
        <w:rPr>
          <w:i/>
          <w:iCs/>
        </w:rPr>
        <w:t xml:space="preserve">P</w:t>
      </w:r>
      <w:r>
        <w:t xml:space="preserve"> bytes (summing them so the read cannot be elided), writes </w:t>
      </w:r>
      <w:r>
        <w:rPr>
          <w:i/>
          <w:iCs/>
        </w:rPr>
        <w:t xml:space="preserve">P</w:t>
      </w:r>
      <w:r>
        <w:t xml:space="preserve"> bytes back and signals the next value.</w:t>
      </w:r>
    </w:p>
    <w:p>
      <w:pPr>
        <w:pStyle w:val="ListParagraph"/>
        <w:numPr>
          <w:ilvl w:val="0"/>
          <w:numId w:val="3"/>
        </w:numPr>
      </w:pPr>
      <w:r>
        <w:t xml:space="preserve">A second GPU segment, which was submitted ahead and waits on that value, reads the </w:t>
      </w:r>
      <w:r>
        <w:rPr>
          <w:i/>
          <w:iCs/>
        </w:rPr>
        <w:t xml:space="preserve">P</w:t>
      </w:r>
      <w:r>
        <w:t xml:space="preserve"> bytes.</w:t>
      </w:r>
    </w:p>
    <w:p>
      <w:pPr>
        <w:pStyle w:val="Normal"/>
      </w:pPr>
      <w:r>
        <w:t xml:space="preserve">The </w:t>
      </w:r>
      <w:r>
        <w:rPr>
          <w:b/>
          <w:bCs/>
        </w:rPr>
        <w:t xml:space="preserve">round trip</w:t>
      </w:r>
      <w:r>
        <w:t xml:space="preserve"> </w:t>
      </w:r>
      <w:r>
        <w:rPr>
          <w:rStyle w:val="CodeChar"/>
        </w:rPr>
        <w:t xml:space="preserve">rt</w:t>
      </w:r>
      <w:r>
        <w:t xml:space="preserve"> is the time from the end of the GPU write pass to the start of the GPU read pass, both GPU timestamps converted to the CPU clock. It therefore contains the GPU→CPU hand-off (</w:t>
      </w:r>
      <w:r>
        <w:rPr>
          <w:rStyle w:val="CodeChar"/>
        </w:rPr>
        <w:t xml:space="preserve">g2c</w:t>
      </w:r>
      <w:r>
        <w:t xml:space="preserve">: GPU signal → CPU wake), the CPU's read and write, any copy the path needs, and the CPU→GPU hand-off (</w:t>
      </w:r>
      <w:r>
        <w:rPr>
          <w:rStyle w:val="CodeChar"/>
        </w:rPr>
        <w:t xml:space="preserve">c2g</w:t>
      </w:r>
      <w:r>
        <w:t xml:space="preserve">: CPU signal → consuming pass starts). The GPU's own read pass is outside </w:t>
      </w:r>
      <w:r>
        <w:rPr>
          <w:rStyle w:val="CodeChar"/>
        </w:rPr>
        <w:t xml:space="preserve">rt</w:t>
      </w:r>
      <w:r>
        <w:t xml:space="preserve"> and is reported separately (</w:t>
      </w:r>
      <w:r>
        <w:rPr>
          <w:rStyle w:val="CodeChar"/>
        </w:rPr>
        <w:t xml:space="preserve">gpu_read_us</w:t>
      </w:r>
      <w:r>
        <w:t xml:space="preserve">). </w:t>
      </w:r>
      <w:r>
        <w:rPr>
          <w:rStyle w:val="CodeChar"/>
        </w:rPr>
        <w:t xml:space="preserve">P = 0</w:t>
      </w:r>
      <w:r>
        <w:t xml:space="preserve"> gives the empty round trip, a pure signal–wait exchange.</w:t>
      </w:r>
    </w:p>
    <w:p>
      <w:pPr>
        <w:pStyle w:val="Normal"/>
      </w:pPr>
      <w:r>
        <w:t xml:space="preserve">Each cell (path × payload × submit mode × CPU-wait mode) runs 200 warm-up and 2,000 measured iterations; a separate cell measures raw copy bandwidth. Every iteration is verified: the CPU's sum must equal the pattern the GPU wrote, the GPU's checksum must equal the pattern the CPU wrote, and the count of research-buffer copies must be 2 for the copy path and 0 for the direct paths (invariant R7). Every reported series had 0 failures.</w:t>
      </w:r>
    </w:p>
    <w:p>
      <w:pPr>
        <w:pStyle w:val="Heading2"/>
        <w:keepNext/>
      </w:pPr>
      <w:r>
        <w:t xml:space="preserve">4.2 One algorithm, two APIs</w:t>
      </w:r>
    </w:p>
    <w:p>
      <w:pPr>
        <w:pStyle w:val="Normal"/>
      </w:pPr>
      <w:r>
        <w:t xml:space="preserve">Both backends implement the same thin interface: timeline objects with GPU signal and wait, CPU signal and wait, memory classes, GPU timestamps and clock calibration. Kernels come from a single Slang source, compiled to MSL and SPIR-V, with identical thread-group sizes and buffer layouts checked by a unit test (R1). Table 2 maps the interface to the two APIs.</w:t>
      </w:r>
    </w:p>
    <w:p>
      <w:pPr>
        <w:pStyle w:val="Caption"/>
        <w:keepNext/>
      </w:pPr>
      <w:r>
        <w:rPr>
          <w:b/>
          <w:bCs/>
        </w:rPr>
        <w:t xml:space="preserve">Table 2 </w:t>
      </w:r>
      <w:r>
        <w:t xml:space="preserve">The synchronization interface on the two APIs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0"/>
        <w:gridCol w:w="3638"/>
        <w:gridCol w:w="3848"/>
      </w:tblGrid>
      <w:tr>
        <w:trPr>
          <w:cantSplit/>
          <w:tblHeader/>
        </w:trPr>
        <w:tc>
          <w:tcPr>
            <w:tcW w:w="1540" w:type="dxa"/>
            <w:tcBorders>
              <w:top w:val="single" w:sz="4" w:space="0" w:color="auto"/>
              <w:bottom w:val="single" w:sz="4" w:space="0" w:color="auto"/>
            </w:tcBorders>
          </w:tcPr>
          <w:p>
            <w:pPr>
              <w:pStyle w:val="TableCell"/>
              <w:jc w:val="left"/>
            </w:pPr>
          </w:p>
        </w:tc>
        <w:tc>
          <w:tcPr>
            <w:tcW w:w="3638" w:type="dxa"/>
            <w:tcBorders>
              <w:top w:val="single" w:sz="4" w:space="0" w:color="auto"/>
              <w:bottom w:val="single" w:sz="4" w:space="0" w:color="auto"/>
            </w:tcBorders>
          </w:tcPr>
          <w:p>
            <w:pPr>
              <w:pStyle w:val="TableCell"/>
              <w:jc w:val="left"/>
            </w:pPr>
            <w:r>
              <w:rPr>
                <w:b/>
                <w:bCs/>
              </w:rPr>
              <w:t xml:space="preserve">Metal (M5)</w:t>
            </w:r>
          </w:p>
        </w:tc>
        <w:tc>
          <w:tcPr>
            <w:tcW w:w="3848" w:type="dxa"/>
            <w:tcBorders>
              <w:top w:val="single" w:sz="4" w:space="0" w:color="auto"/>
              <w:bottom w:val="single" w:sz="4" w:space="0" w:color="auto"/>
            </w:tcBorders>
          </w:tcPr>
          <w:p>
            <w:pPr>
              <w:pStyle w:val="TableCell"/>
              <w:jc w:val="left"/>
            </w:pPr>
            <w:r>
              <w:rPr>
                <w:b/>
                <w:bCs/>
              </w:rPr>
              <w:t xml:space="preserve">Vulkan 1.3 (RTX)</w:t>
            </w:r>
          </w:p>
        </w:tc>
      </w:tr>
      <w:tr>
        <w:trPr>
          <w:cantSplit/>
        </w:trPr>
        <w:tc>
          <w:tcPr>
            <w:tcW w:w="1540" w:type="dxa"/>
            <w:tcBorders/>
          </w:tcPr>
          <w:p>
            <w:pPr>
              <w:pStyle w:val="TableCell"/>
              <w:jc w:val="left"/>
            </w:pPr>
            <w:r>
              <w:t xml:space="preserve">timeline object</w:t>
            </w:r>
          </w:p>
        </w:tc>
        <w:tc>
          <w:tcPr>
            <w:tcW w:w="3638" w:type="dxa"/>
            <w:tcBorders/>
          </w:tcPr>
          <w:p>
            <w:pPr>
              <w:pStyle w:val="TableCell"/>
              <w:jc w:val="left"/>
            </w:pPr>
            <w:r>
              <w:rPr>
                <w:rStyle w:val="CodeChar"/>
              </w:rPr>
              <w:t xml:space="preserve">MTLSharedEvent</w:t>
            </w:r>
          </w:p>
        </w:tc>
        <w:tc>
          <w:tcPr>
            <w:tcW w:w="3848" w:type="dxa"/>
            <w:tcBorders/>
          </w:tcPr>
          <w:p>
            <w:pPr>
              <w:pStyle w:val="TableCell"/>
              <w:jc w:val="left"/>
            </w:pPr>
            <w:r>
              <w:t xml:space="preserve">timeline semaphore</w:t>
            </w:r>
          </w:p>
        </w:tc>
      </w:tr>
      <w:tr>
        <w:trPr>
          <w:cantSplit/>
        </w:trPr>
        <w:tc>
          <w:tcPr>
            <w:tcW w:w="1540" w:type="dxa"/>
            <w:tcBorders/>
          </w:tcPr>
          <w:p>
            <w:pPr>
              <w:pStyle w:val="TableCell"/>
              <w:jc w:val="left"/>
            </w:pPr>
            <w:r>
              <w:t xml:space="preserve">GPU waits / signals</w:t>
            </w:r>
          </w:p>
        </w:tc>
        <w:tc>
          <w:tcPr>
            <w:tcW w:w="3638" w:type="dxa"/>
            <w:tcBorders/>
          </w:tcPr>
          <w:p>
            <w:pPr>
              <w:pStyle w:val="TableCell"/>
              <w:jc w:val="left"/>
            </w:pPr>
            <w:r>
              <w:rPr>
                <w:rStyle w:val="CodeChar"/>
              </w:rPr>
              <w:t xml:space="preserve">encodeWait</w:t>
            </w:r>
            <w:r>
              <w:t xml:space="preserve"> / </w:t>
            </w:r>
            <w:r>
              <w:rPr>
                <w:rStyle w:val="CodeChar"/>
              </w:rPr>
              <w:t xml:space="preserve">encodeSignalEvent</w:t>
            </w:r>
          </w:p>
        </w:tc>
        <w:tc>
          <w:tcPr>
            <w:tcW w:w="3848" w:type="dxa"/>
            <w:tcBorders/>
          </w:tcPr>
          <w:p>
            <w:pPr>
              <w:pStyle w:val="TableCell"/>
              <w:jc w:val="left"/>
            </w:pPr>
            <w:r>
              <w:t xml:space="preserve">submit wait / signal values</w:t>
            </w:r>
          </w:p>
        </w:tc>
      </w:tr>
      <w:tr>
        <w:trPr>
          <w:cantSplit/>
        </w:trPr>
        <w:tc>
          <w:tcPr>
            <w:tcW w:w="1540" w:type="dxa"/>
            <w:tcBorders/>
          </w:tcPr>
          <w:p>
            <w:pPr>
              <w:pStyle w:val="TableCell"/>
              <w:jc w:val="left"/>
            </w:pPr>
            <w:r>
              <w:t xml:space="preserve">CPU waits</w:t>
            </w:r>
          </w:p>
        </w:tc>
        <w:tc>
          <w:tcPr>
            <w:tcW w:w="3638" w:type="dxa"/>
            <w:tcBorders/>
          </w:tcPr>
          <w:p>
            <w:pPr>
              <w:pStyle w:val="TableCell"/>
              <w:jc w:val="left"/>
            </w:pPr>
            <w:r>
              <w:t xml:space="preserve">spin on </w:t>
            </w:r>
            <w:r>
              <w:rPr>
                <w:rStyle w:val="CodeChar"/>
              </w:rPr>
              <w:t xml:space="preserve">signaledValue</w:t>
            </w:r>
            <w:r>
              <w:t xml:space="preserve">, or blocking </w:t>
            </w:r>
            <w:r>
              <w:rPr>
                <w:rStyle w:val="CodeChar"/>
              </w:rPr>
              <w:t xml:space="preserve">waitUntilSignaledValue</w:t>
            </w:r>
          </w:p>
        </w:tc>
        <w:tc>
          <w:tcPr>
            <w:tcW w:w="3848" w:type="dxa"/>
            <w:tcBorders/>
          </w:tcPr>
          <w:p>
            <w:pPr>
              <w:pStyle w:val="TableCell"/>
              <w:jc w:val="left"/>
            </w:pPr>
            <w:r>
              <w:t xml:space="preserve">spin on </w:t>
            </w:r>
            <w:r>
              <w:rPr>
                <w:rStyle w:val="CodeChar"/>
              </w:rPr>
              <w:t xml:space="preserve">vkGetSemaphoreCounterValue</w:t>
            </w:r>
            <w:r>
              <w:t xml:space="preserve">, or </w:t>
            </w:r>
            <w:r>
              <w:rPr>
                <w:rStyle w:val="CodeChar"/>
              </w:rPr>
              <w:t xml:space="preserve">vkWaitSemaphores</w:t>
            </w:r>
          </w:p>
        </w:tc>
      </w:tr>
      <w:tr>
        <w:trPr>
          <w:cantSplit/>
        </w:trPr>
        <w:tc>
          <w:tcPr>
            <w:tcW w:w="1540" w:type="dxa"/>
            <w:tcBorders>
              <w:bottom w:val="single" w:sz="4" w:space="0" w:color="auto"/>
            </w:tcBorders>
          </w:tcPr>
          <w:p>
            <w:pPr>
              <w:pStyle w:val="TableCell"/>
              <w:jc w:val="left"/>
            </w:pPr>
            <w:r>
              <w:t xml:space="preserve">CPU signals</w:t>
            </w:r>
          </w:p>
        </w:tc>
        <w:tc>
          <w:tcPr>
            <w:tcW w:w="3638" w:type="dxa"/>
            <w:tcBorders>
              <w:bottom w:val="single" w:sz="4" w:space="0" w:color="auto"/>
            </w:tcBorders>
          </w:tcPr>
          <w:p>
            <w:pPr>
              <w:pStyle w:val="TableCell"/>
              <w:jc w:val="left"/>
            </w:pPr>
            <w:r>
              <w:rPr>
                <w:rStyle w:val="CodeChar"/>
              </w:rPr>
              <w:t xml:space="preserve">setSignaledValue</w:t>
            </w:r>
            <w:r>
              <w:t xml:space="preserve"> after a release fence</w:t>
            </w:r>
          </w:p>
        </w:tc>
        <w:tc>
          <w:tcPr>
            <w:tcW w:w="3848" w:type="dxa"/>
            <w:tcBorders>
              <w:bottom w:val="single" w:sz="4" w:space="0" w:color="auto"/>
            </w:tcBorders>
          </w:tcPr>
          <w:p>
            <w:pPr>
              <w:pStyle w:val="TableCell"/>
              <w:jc w:val="left"/>
            </w:pPr>
            <w:r>
              <w:rPr>
                <w:rStyle w:val="CodeChar"/>
              </w:rPr>
              <w:t xml:space="preserve">vkSignalSemaphore</w:t>
            </w:r>
            <w:r>
              <w:t xml:space="preserve"> after flushing non-coherent ranges</w:t>
            </w:r>
          </w:p>
        </w:tc>
      </w:tr>
    </w:tbl>
    <w:p>
      <w:pPr>
        <w:pStyle w:val="Spacer"/>
      </w:pPr>
    </w:p>
    <w:p>
      <w:pPr>
        <w:pStyle w:val="Normal"/>
      </w:pPr>
      <w:r>
        <w:t xml:space="preserve">Each GPU segment is one command buffer on both backends (DECISIONS #22). Two submission modes are measured: </w:t>
      </w:r>
      <w:r>
        <w:rPr>
          <w:rStyle w:val="CodeChar"/>
        </w:rPr>
        <w:t xml:space="preserve">chain</w:t>
      </w:r>
      <w:r>
        <w:t xml:space="preserve"> (all segments of an iteration submitted ahead, each waiting on the previous value) and </w:t>
      </w:r>
      <w:r>
        <w:rPr>
          <w:rStyle w:val="CodeChar"/>
        </w:rPr>
        <w:t xml:space="preserve">perpass</w:t>
      </w:r>
      <w:r>
        <w:t xml:space="preserve"> (each segment submitted when its turn comes). CPU waiting is either </w:t>
      </w:r>
      <w:r>
        <w:rPr>
          <w:rStyle w:val="CodeChar"/>
        </w:rPr>
        <w:t xml:space="preserve">spin</w:t>
      </w:r>
      <w:r>
        <w:t xml:space="preserve"> or </w:t>
      </w:r>
      <w:r>
        <w:rPr>
          <w:rStyle w:val="CodeChar"/>
        </w:rPr>
        <w:t xml:space="preserve">block</w:t>
      </w:r>
      <w:r>
        <w:t xml:space="preserve">. The primary condition is chain/spin.</w:t>
      </w:r>
    </w:p>
    <w:p>
      <w:pPr>
        <w:pStyle w:val="Heading2"/>
        <w:keepNext/>
      </w:pPr>
      <w:r>
        <w:t xml:space="preserve">4.3 Memory paths</w:t>
      </w:r>
    </w:p>
    <w:p>
      <w:pPr>
        <w:pStyle w:val="Normal"/>
      </w:pPr>
      <w:r>
        <w:t xml:space="preserve">Table 3 lists the memory paths.</w:t>
      </w:r>
    </w:p>
    <w:p>
      <w:pPr>
        <w:pStyle w:val="Caption"/>
        <w:keepNext/>
      </w:pPr>
      <w:r>
        <w:rPr>
          <w:b/>
          <w:bCs/>
        </w:rPr>
        <w:t xml:space="preserve">Table 3 </w:t>
      </w:r>
      <w:r>
        <w:t xml:space="preserve">Memory paths, per direction</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6"/>
        <w:gridCol w:w="2350"/>
        <w:gridCol w:w="2256"/>
        <w:gridCol w:w="1312"/>
        <w:gridCol w:w="1602"/>
      </w:tblGrid>
      <w:tr>
        <w:trPr>
          <w:cantSplit/>
          <w:tblHeader/>
        </w:trPr>
        <w:tc>
          <w:tcPr>
            <w:tcW w:w="1506" w:type="dxa"/>
            <w:tcBorders>
              <w:top w:val="single" w:sz="4" w:space="0" w:color="auto"/>
              <w:bottom w:val="single" w:sz="4" w:space="0" w:color="auto"/>
            </w:tcBorders>
          </w:tcPr>
          <w:p>
            <w:pPr>
              <w:pStyle w:val="TableCell"/>
              <w:jc w:val="left"/>
            </w:pPr>
            <w:r>
              <w:rPr>
                <w:b/>
                <w:bCs/>
              </w:rPr>
              <w:t xml:space="preserve">path</w:t>
            </w:r>
          </w:p>
        </w:tc>
        <w:tc>
          <w:tcPr>
            <w:tcW w:w="2350" w:type="dxa"/>
            <w:tcBorders>
              <w:top w:val="single" w:sz="4" w:space="0" w:color="auto"/>
              <w:bottom w:val="single" w:sz="4" w:space="0" w:color="auto"/>
            </w:tcBorders>
          </w:tcPr>
          <w:p>
            <w:pPr>
              <w:pStyle w:val="TableCell"/>
              <w:jc w:val="left"/>
            </w:pPr>
            <w:r>
              <w:rPr>
                <w:b/>
                <w:bCs/>
              </w:rPr>
              <w:t xml:space="preserve">GPU-written, CPU-read</w:t>
            </w:r>
          </w:p>
        </w:tc>
        <w:tc>
          <w:tcPr>
            <w:tcW w:w="2256" w:type="dxa"/>
            <w:tcBorders>
              <w:top w:val="single" w:sz="4" w:space="0" w:color="auto"/>
              <w:bottom w:val="single" w:sz="4" w:space="0" w:color="auto"/>
            </w:tcBorders>
          </w:tcPr>
          <w:p>
            <w:pPr>
              <w:pStyle w:val="TableCell"/>
              <w:jc w:val="left"/>
            </w:pPr>
            <w:r>
              <w:rPr>
                <w:b/>
                <w:bCs/>
              </w:rPr>
              <w:t xml:space="preserve">CPU-written, GPU-read</w:t>
            </w:r>
          </w:p>
        </w:tc>
        <w:tc>
          <w:tcPr>
            <w:tcW w:w="1312" w:type="dxa"/>
            <w:tcBorders>
              <w:top w:val="single" w:sz="4" w:space="0" w:color="auto"/>
              <w:bottom w:val="single" w:sz="4" w:space="0" w:color="auto"/>
            </w:tcBorders>
          </w:tcPr>
          <w:p>
            <w:pPr>
              <w:pStyle w:val="TableCell"/>
              <w:jc w:val="left"/>
            </w:pPr>
          </w:p>
        </w:tc>
        <w:tc>
          <w:tcPr>
            <w:tcW w:w="1602" w:type="dxa"/>
            <w:tcBorders>
              <w:top w:val="single" w:sz="4" w:space="0" w:color="auto"/>
              <w:bottom w:val="single" w:sz="4" w:space="0" w:color="auto"/>
            </w:tcBorders>
          </w:tcPr>
          <w:p>
            <w:pPr>
              <w:pStyle w:val="TableCell"/>
              <w:jc w:val="left"/>
            </w:pPr>
          </w:p>
        </w:tc>
      </w:tr>
      <w:tr>
        <w:trPr>
          <w:cantSplit/>
        </w:trPr>
        <w:tc>
          <w:tcPr>
            <w:tcW w:w="1506" w:type="dxa"/>
            <w:tcBorders/>
          </w:tcPr>
          <w:p>
            <w:pPr>
              <w:pStyle w:val="TableCell"/>
              <w:jc w:val="left"/>
            </w:pPr>
            <w:r>
              <w:rPr>
                <w:rStyle w:val="CodeChar"/>
              </w:rPr>
              <w:t xml:space="preserve">s1_copy</w:t>
            </w:r>
          </w:p>
        </w:tc>
        <w:tc>
          <w:tcPr>
            <w:tcW w:w="2350" w:type="dxa"/>
            <w:tcBorders/>
          </w:tcPr>
          <w:p>
            <w:pPr>
              <w:pStyle w:val="TableCell"/>
              <w:jc w:val="left"/>
            </w:pPr>
            <w:r>
              <w:t xml:space="preserve">device memory + GPU copy into host-visible staging</w:t>
            </w:r>
          </w:p>
        </w:tc>
        <w:tc>
          <w:tcPr>
            <w:tcW w:w="2256" w:type="dxa"/>
            <w:tcBorders/>
          </w:tcPr>
          <w:p>
            <w:pPr>
              <w:pStyle w:val="TableCell"/>
              <w:jc w:val="left"/>
            </w:pPr>
            <w:r>
              <w:t xml:space="preserve">host-visible staging + GPU copy into device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(Metal)</w:t>
            </w:r>
          </w:p>
        </w:tc>
        <w:tc>
          <w:tcPr>
            <w:tcW w:w="2350" w:type="dxa"/>
            <w:tcBorders/>
          </w:tcPr>
          <w:p>
            <w:pPr>
              <w:pStyle w:val="TableCell"/>
              <w:jc w:val="left"/>
            </w:pPr>
            <w:r>
              <w:rPr>
                <w:rStyle w:val="CodeChar"/>
              </w:rPr>
              <w:t xml:space="preserve">MTLStorageModeShared</w:t>
            </w:r>
            <w:r>
              <w:t xml:space="preserve">, never blitted</w:t>
            </w:r>
          </w:p>
        </w:tc>
        <w:tc>
          <w:tcPr>
            <w:tcW w:w="2256" w:type="dxa"/>
            <w:tcBorders/>
          </w:tcPr>
          <w:p>
            <w:pPr>
              <w:pStyle w:val="TableCell"/>
              <w:jc w:val="left"/>
            </w:pPr>
            <w:r>
              <w:rPr>
                <w:rStyle w:val="CodeChar"/>
              </w:rPr>
              <w:t xml:space="preserve">MTLStorageModeShared</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(Vulkan)</w:t>
            </w:r>
          </w:p>
        </w:tc>
        <w:tc>
          <w:tcPr>
            <w:tcW w:w="2350" w:type="dxa"/>
            <w:tcBorders/>
          </w:tcPr>
          <w:p>
            <w:pPr>
              <w:pStyle w:val="TableCell"/>
              <w:jc w:val="left"/>
            </w:pPr>
            <w:r>
              <w:t xml:space="preserve">`HOST_VISIBLE \</w:t>
            </w:r>
          </w:p>
        </w:tc>
        <w:tc>
          <w:tcPr>
            <w:tcW w:w="2256" w:type="dxa"/>
            <w:tcBorders/>
          </w:tcPr>
          <w:p>
            <w:pPr>
              <w:pStyle w:val="TableCell"/>
              <w:jc w:val="left"/>
            </w:pPr>
            <w:r>
              <w:t xml:space="preserve">HOST_CACHED` system memory</w:t>
            </w:r>
          </w:p>
        </w:tc>
        <w:tc>
          <w:tcPr>
            <w:tcW w:w="1312" w:type="dxa"/>
            <w:tcBorders/>
          </w:tcPr>
          <w:p>
            <w:pPr>
              <w:pStyle w:val="TableCell"/>
              <w:jc w:val="left"/>
            </w:pPr>
            <w:r>
              <w:t xml:space="preserve">`DEVICE_LOCAL \</w:t>
            </w:r>
          </w:p>
        </w:tc>
        <w:tc>
          <w:tcPr>
            <w:tcW w:w="1602" w:type="dxa"/>
            <w:tcBorders/>
          </w:tcPr>
          <w:p>
            <w:pPr>
              <w:pStyle w:val="TableCell"/>
              <w:jc w:val="left"/>
            </w:pPr>
            <w:r>
              <w:t xml:space="preserve">HOST_VISIBLE` (ReBAR) when available, else host-coherent system memory</w:t>
            </w:r>
          </w:p>
        </w:tc>
      </w:tr>
      <w:tr>
        <w:trPr>
          <w:cantSplit/>
        </w:trPr>
        <w:tc>
          <w:tcPr>
            <w:tcW w:w="1506" w:type="dxa"/>
            <w:tcBorders/>
          </w:tcPr>
          <w:p>
            <w:pPr>
              <w:pStyle w:val="TableCell"/>
              <w:jc w:val="left"/>
            </w:pPr>
            <w:r>
              <w:rPr>
                <w:rStyle w:val="CodeChar"/>
              </w:rPr>
              <w:t xml:space="preserve">s2_hostcached</w:t>
            </w:r>
            <w:r>
              <w:t xml:space="preserve"> (Vulkan)</w:t>
            </w:r>
          </w:p>
        </w:tc>
        <w:tc>
          <w:tcPr>
            <w:tcW w:w="2350" w:type="dxa"/>
            <w:tcBorders/>
          </w:tcPr>
          <w:p>
            <w:pPr>
              <w:pStyle w:val="TableCell"/>
              <w:jc w:val="left"/>
            </w:pPr>
            <w:r>
              <w:t xml:space="preserve">host-cached system memory</w:t>
            </w:r>
          </w:p>
        </w:tc>
        <w:tc>
          <w:tcPr>
            <w:tcW w:w="2256" w:type="dxa"/>
            <w:tcBorders/>
          </w:tcPr>
          <w:p>
            <w:pPr>
              <w:pStyle w:val="TableCell"/>
              <w:jc w:val="left"/>
            </w:pPr>
            <w:r>
              <w:t xml:space="preserve">host-cached system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bottom w:val="single" w:sz="4" w:space="0" w:color="auto"/>
            </w:tcBorders>
          </w:tcPr>
          <w:p>
            <w:pPr>
              <w:pStyle w:val="TableCell"/>
              <w:jc w:val="left"/>
            </w:pPr>
            <w:r>
              <w:rPr>
                <w:rStyle w:val="CodeChar"/>
              </w:rPr>
              <w:t xml:space="preserve">s2_rebar</w:t>
            </w:r>
            <w:r>
              <w:t xml:space="preserve">, </w:t>
            </w:r>
            <w:r>
              <w:rPr>
                <w:rStyle w:val="CodeChar"/>
              </w:rPr>
              <w:t xml:space="preserve">s2_coherent</w:t>
            </w:r>
            <w:r>
              <w:t xml:space="preserve"> (Vulkan)</w:t>
            </w:r>
          </w:p>
        </w:tc>
        <w:tc>
          <w:tcPr>
            <w:tcW w:w="2350" w:type="dxa"/>
            <w:tcBorders>
              <w:bottom w:val="single" w:sz="4" w:space="0" w:color="auto"/>
            </w:tcBorders>
          </w:tcPr>
          <w:p>
            <w:pPr>
              <w:pStyle w:val="TableCell"/>
              <w:jc w:val="left"/>
            </w:pPr>
            <w:r>
              <w:t xml:space="preserve">sensitivity paths with both directions in that class</w:t>
            </w:r>
          </w:p>
        </w:tc>
        <w:tc>
          <w:tcPr>
            <w:tcW w:w="2256" w:type="dxa"/>
            <w:tcBorders>
              <w:bottom w:val="single" w:sz="4" w:space="0" w:color="auto"/>
            </w:tcBorders>
          </w:tcPr>
          <w:p>
            <w:pPr>
              <w:pStyle w:val="TableCell"/>
              <w:jc w:val="left"/>
            </w:pPr>
            <w:r>
              <w:t xml:space="preserve">same</w:t>
            </w:r>
          </w:p>
        </w:tc>
        <w:tc>
          <w:tcPr>
            <w:tcW w:w="1312" w:type="dxa"/>
            <w:tcBorders>
              <w:bottom w:val="single" w:sz="4" w:space="0" w:color="auto"/>
            </w:tcBorders>
          </w:tcPr>
          <w:p>
            <w:pPr>
              <w:pStyle w:val="TableCell"/>
              <w:jc w:val="left"/>
            </w:pPr>
          </w:p>
        </w:tc>
        <w:tc>
          <w:tcPr>
            <w:tcW w:w="1602" w:type="dxa"/>
            <w:tcBorders>
              <w:bottom w:val="single" w:sz="4" w:space="0" w:color="auto"/>
            </w:tcBorders>
          </w:tcPr>
          <w:p>
            <w:pPr>
              <w:pStyle w:val="TableCell"/>
              <w:jc w:val="left"/>
            </w:pPr>
          </w:p>
        </w:tc>
      </w:tr>
    </w:tbl>
    <w:p>
      <w:pPr>
        <w:pStyle w:val="Spacer"/>
      </w:pPr>
    </w:p>
    <w:p>
      <w:pPr>
        <w:pStyle w:val="Normal"/>
      </w:pPr>
      <w:r>
        <w:t xml:space="preserve">The CPU never reads ReBAR memory on the default path: uncached CPU reads across PCIe would be a strawman (DECISIONS #17). </w:t>
      </w:r>
      <w:r>
        <w:rPr>
          <w:rStyle w:val="CodeChar"/>
        </w:rPr>
        <w:t xml:space="preserve">s2_rebar</w:t>
      </w:r>
      <w:r>
        <w:t xml:space="preserve"> measures that slow path deliberately. Which variant was in effect is recorded in each CSV header.</w:t>
      </w:r>
    </w:p>
    <w:p>
      <w:pPr>
        <w:pStyle w:val="Heading2"/>
        <w:keepNext/>
      </w:pPr>
      <w:r>
        <w:t xml:space="preserve">4.4 Timing and clock correlation</w:t>
      </w:r>
    </w:p>
    <w:p>
      <w:pPr>
        <w:pStyle w:val="Normal"/>
      </w:pPr>
      <w:r>
        <w:t xml:space="preserve">GPU timestamps are taken at encoder boundaries on Metal (the M5 does not support dispatch-boundary sampling) and with </w:t>
      </w:r>
      <w:r>
        <w:rPr>
          <w:rStyle w:val="CodeChar"/>
        </w:rPr>
        <w:t xml:space="preserve">vkCmdWriteTimestamp2</w:t>
      </w:r>
      <w:r>
        <w:t xml:space="preserve"> directly around each command on Vulkan. GPU time is mapped to the CPU's monotonic clock by </w:t>
      </w:r>
      <w:r>
        <w:rPr>
          <w:rStyle w:val="CodeChar"/>
        </w:rPr>
        <w:t xml:space="preserve">sampleTimestamps</w:t>
      </w:r>
      <w:r>
        <w:t xml:space="preserve"> (Metal, </w:t>
      </w:r>
      <w:r>
        <w:rPr>
          <w:rStyle w:val="CodeChar"/>
        </w:rPr>
        <w:t xml:space="preserve">mach_absolute_time</w:t>
      </w:r>
      <w:r>
        <w:t xml:space="preserve"> domain) or calibrated timestamps (Vulkan, QPC on Windows), plus a bracketed offset to </w:t>
      </w:r>
      <w:r>
        <w:rPr>
          <w:rStyle w:val="CodeChar"/>
        </w:rPr>
        <w:t xml:space="preserve">steady_clock</w:t>
      </w:r>
      <w:r>
        <w:t xml:space="preserve">. The mapping is refreshed at the start of every cell and by elapsed time during it (about every 130 iterations for fast cells): with a mapping refreshed only every 500 iterations, the PC's g2c and c2g drifted while </w:t>
      </w:r>
      <w:r>
        <w:rPr>
          <w:rStyle w:val="CodeChar"/>
        </w:rPr>
        <w:t xml:space="preserve">rt</w:t>
      </w:r>
      <w:r>
        <w:t xml:space="preserve"> stayed valid (DECISIONS #23, #30). A drift check (g2c median of the first vs last 50 iterations of each block) shows no drift on the Mac, and on the PC the block drift fell from 2.1 to 0.2 µs (empty) after the fix.</w:t>
      </w:r>
    </w:p>
    <w:p>
      <w:pPr>
        <w:pStyle w:val="Heading2"/>
        <w:keepNext/>
      </w:pPr>
      <w:r>
        <w:t xml:space="preserve">4.5 GPU state: idle and hot</w:t>
      </w:r>
    </w:p>
    <w:p>
      <w:pPr>
        <w:pStyle w:val="Normal"/>
      </w:pPr>
      <w:r>
        <w:t xml:space="preserve">As specified, the microbenchmark runs with the GPU otherwise idle. A real frame keeps the GPU busy with independent work, and on the M5 the idle GPU's power state dominates </w:t>
      </w:r>
      <w:r>
        <w:rPr>
          <w:rStyle w:val="CodeChar"/>
        </w:rPr>
        <w:t xml:space="preserve">c2g</w:t>
      </w:r>
      <w:r>
        <w:t xml:space="preserve"> (Section 5). The extension therefore measures every cell a second time with the GPU </w:t>
      </w:r>
      <w:r>
        <w:rPr>
          <w:b/>
          <w:bCs/>
        </w:rPr>
        <w:t xml:space="preserve">hot</w:t>
      </w:r>
      <w:r>
        <w:t xml:space="preserve">: a second queue runs a calibrated compute kernel (one SIMD group, a dependent multiply-add chain, ≈ 200 µs per dispatch, two in flight) back to back for the whole cell (DECISIONS #32). The load is the lightest one that holds the power state: a probe showed that a load filling the whole GPU changes the result by only ≈ 3 µs. A hot cell is valid only if its load duty (dispatches × calibrated time / cell wall time) is ≈ 1. Idle cells always run before hot cells, because idle blocks measured after loaded ones come out faster (hysteresis).</w:t>
      </w:r>
    </w:p>
    <w:p>
      <w:pPr>
        <w:pStyle w:val="Heading2"/>
        <w:keepNext/>
      </w:pPr>
      <w:r>
        <w:t xml:space="preserve">4.6 Payload grid, repetitions, acceptance</w:t>
      </w:r>
    </w:p>
    <w:p>
      <w:pPr>
        <w:pStyle w:val="Normal"/>
      </w:pPr>
      <w:r>
        <w:t xml:space="preserve">Protocol grid: 4 KiB, 64 KiB, 256 KiB, 1 MiB, 4 MiB, 16 MiB, plus the empty round trip. Extension grid for the crossover (H1′): 4K, 64K, 256K, 1M, 1.5M, 2M, 3M, 4M, 8M, 16M, 32M, 64M, on </w:t>
      </w:r>
      <w:r>
        <w:rPr>
          <w:rStyle w:val="CodeChar"/>
        </w:rPr>
        <w:t xml:space="preserve">empty</w:t>
      </w:r>
      <w:r>
        <w:t xml:space="preserve">, </w:t>
      </w:r>
      <w:r>
        <w:rPr>
          <w:rStyle w:val="CodeChar"/>
        </w:rPr>
        <w:t xml:space="preserve">s1_copy</w:t>
      </w:r>
      <w:r>
        <w:t xml:space="preserve">, </w:t>
      </w:r>
      <w:r>
        <w:rPr>
          <w:rStyle w:val="CodeChar"/>
        </w:rPr>
        <w:t xml:space="preserve">s2_direct</w:t>
      </w:r>
      <w:r>
        <w:t xml:space="preserve"> (and </w:t>
      </w:r>
      <w:r>
        <w:rPr>
          <w:rStyle w:val="CodeChar"/>
        </w:rPr>
        <w:t xml:space="preserve">s2_hostcached</w:t>
      </w:r>
      <w:r>
        <w:t xml:space="preserve"> on Vulkan), idle and hot. Each series is three process restarts. A series is accepted when every cell's p50 varies by less than 10 % across the three runs. Medians and p99 are pooled over runs. Extension series are kept apart from the protocol series and never pooled with them.</w:t>
      </w:r>
    </w:p>
    <w:p>
      <w:pPr>
        <w:pStyle w:val="Heading2"/>
        <w:keepNext/>
      </w:pPr>
      <w:r>
        <w:t xml:space="preserve">4.7 Platforms (cross-reference to Sect. 3)</w:t>
      </w:r>
    </w:p>
    <w:p>
      <w:pPr>
        <w:pStyle w:val="ListParagraph"/>
        <w:numPr>
          <w:ilvl w:val="0"/>
          <w:numId w:val="1"/>
        </w:numPr>
      </w:pPr>
      <w:r>
        <w:rPr>
          <w:b/>
          <w:bCs/>
        </w:rPr>
        <w:t xml:space="preserve">P-M5:</w:t>
      </w:r>
      <w:r>
        <w:t xml:space="preserve"> MacBook Air 15" (Mac17,4), Apple M5 (4P + 6E CPU cores, 10 GPU cores), 24 GiB unified memory, macOS 26.6.2, on AC power, Low Power Mode off, fanless chassis.</w:t>
      </w:r>
    </w:p>
    <w:p>
      <w:pPr>
        <w:pStyle w:val="ListParagraph"/>
        <w:numPr>
          <w:ilvl w:val="0"/>
          <w:numId w:val="1"/>
        </w:numPr>
      </w:pPr>
      <w:r>
        <w:rPr>
          <w:b/>
          <w:bCs/>
        </w:rPr>
        <w:t xml:space="preserve">P-3060:</w:t>
      </w:r>
      <w:r>
        <w:t xml:space="preserve"> Intel Core i7-12700F, 32 GB, RTX 3060 Ti 8 GB, driver 566.36, Windows 11, power plan Ultimate Performance, GPU "Prefer maximum performance". The slot runs at </w:t>
      </w:r>
      <w:r>
        <w:rPr>
          <w:b/>
          <w:bCs/>
        </w:rPr>
        <w:t xml:space="preserve">PCIe gen3 x16</w:t>
      </w:r>
      <w:r>
        <w:t xml:space="preserve"> (measured under load in every run); the measured link is the platform definition. ReBAR on (BAR heap 8024 MB) is the primary condition, and ReBAR off is a separate series.</w:t>
      </w:r>
    </w:p>
    <w:p>
      <w:pPr>
        <w:pStyle w:val="ListParagraph"/>
        <w:numPr>
          <w:ilvl w:val="0"/>
          <w:numId w:val="1"/>
        </w:numPr>
      </w:pPr>
      <w:r>
        <w:rPr>
          <w:b/>
          <w:bCs/>
        </w:rPr>
        <w:t xml:space="preserve">P-4060:</w:t>
      </w:r>
      <w:r>
        <w:t xml:space="preserve"> RTX 4060 Ti, same PC and slot, gen3 x8 expected (pending, November).</w:t>
      </w:r>
    </w:p>
    <w:p>
      <w:pPr>
        <w:pStyle w:val="Heading1"/>
        <w:keepNext/>
      </w:pPr>
      <w:r>
        <w:t xml:space="preserve">5 Results with the GPU idle: the refuted hypothesis</w:t>
      </w:r>
    </w:p>
    <w:p>
      <w:pPr>
        <w:pStyle w:val="Figure"/>
        <w:keepNext/>
      </w:pPr>
      <w:r>
        <w:drawing>
          <wp:inline distT="0" distB="0" distL="0" distR="0">
            <wp:extent cx="5731510" cy="2593822"/>
            <wp:docPr id="101" name="Figure 1"/>
            <wp:cNvGraphicFramePr>
              <a:graphicFrameLocks noChangeAspect="1"/>
            </wp:cNvGraphicFramePr>
            <a:graphic>
              <a:graphicData uri="http://schemas.openxmlformats.org/drawingml/2006/picture">
                <pic:pic>
                  <pic:nvPicPr>
                    <pic:cNvPr id="101" name="fig1_roundtrip_vs_payload.png"/>
                    <pic:cNvPicPr/>
                  </pic:nvPicPr>
                  <pic:blipFill>
                    <a:blip r:embed="rIdFig1"/>
                    <a:stretch>
                      <a:fillRect/>
                    </a:stretch>
                  </pic:blipFill>
                  <pic:spPr>
                    <a:xfrm>
                      <a:off x="0" y="0"/>
                      <a:ext cx="5731510" cy="2593822"/>
                    </a:xfrm>
                    <a:prstGeom prst="rect">
                      <a:avLst/>
                    </a:prstGeom>
                  </pic:spPr>
                </pic:pic>
              </a:graphicData>
            </a:graphic>
          </wp:inline>
        </w:drawing>
      </w:r>
    </w:p>
    <w:p>
      <w:pPr>
        <w:pStyle w:val="FigureCaption"/>
      </w:pPr>
      <w:r>
        <w:rPr>
          <w:b/>
          <w:bCs/>
        </w:rPr>
        <w:t xml:space="preserve">Fig. 1 </w:t>
      </w:r>
      <w:r>
        <w:t xml:space="preserve">CPU↔GPU round trip against payload per direction, GPU otherwise idle, chain submission, spin wait; line = p50 pooled over three runs, band up to p99. (a) direct path, (b) copy path. The grey column in each panel spans where the M5's curve crosses the 3060 Ti's, interpolated in log–log between neighbouring grid points (min–max over the nine pairs of runs and both ReBAR settings); nothing was measured inside it.</w:t>
      </w:r>
    </w:p>
    <w:p>
      <w:pPr>
        <w:pStyle w:val="Normal"/>
      </w:pPr>
      <w:r>
        <w:rPr>
          <w:b/>
          <w:bCs/>
        </w:rPr>
        <w:t xml:space="preserve">The criterion, fixed in advance:</w:t>
      </w:r>
      <w:r>
        <w:t xml:space="preserve"> the M5's empty and 1 MiB round-trip p50 must be lower than both RTX cards' best Vulkan path by more than run-to-run noise. It fails on both cells, with and without ReBAR (Table 4).</w:t>
      </w:r>
    </w:p>
    <w:p>
      <w:pPr>
        <w:pStyle w:val="Caption"/>
        <w:keepNext/>
      </w:pPr>
      <w:r>
        <w:rPr>
          <w:b/>
          <w:bCs/>
        </w:rPr>
        <w:t xml:space="preserve">Table 4 </w:t>
      </w:r>
      <w:r>
        <w:t xml:space="preserve">Round trip p50 / p99 in µs with the GPU idle (chain submission, spin wait, three runs pooled), and raw copy bandwidth</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8"/>
        <w:gridCol w:w="1882"/>
        <w:gridCol w:w="2282"/>
        <w:gridCol w:w="1884"/>
      </w:tblGrid>
      <w:tr>
        <w:trPr>
          <w:cantSplit/>
          <w:tblHeader/>
        </w:trPr>
        <w:tc>
          <w:tcPr>
            <w:tcW w:w="2978" w:type="dxa"/>
            <w:tcBorders>
              <w:top w:val="single" w:sz="4" w:space="0" w:color="auto"/>
              <w:bottom w:val="single" w:sz="4" w:space="0" w:color="auto"/>
            </w:tcBorders>
          </w:tcPr>
          <w:p>
            <w:pPr>
              <w:pStyle w:val="TableCell"/>
              <w:jc w:val="left"/>
            </w:pPr>
          </w:p>
        </w:tc>
        <w:tc>
          <w:tcPr>
            <w:tcW w:w="1882" w:type="dxa"/>
            <w:tcBorders>
              <w:top w:val="single" w:sz="4" w:space="0" w:color="auto"/>
              <w:bottom w:val="single" w:sz="4" w:space="0" w:color="auto"/>
            </w:tcBorders>
          </w:tcPr>
          <w:p>
            <w:pPr>
              <w:pStyle w:val="TableCell"/>
              <w:jc w:val="right"/>
            </w:pPr>
            <w:r>
              <w:rPr>
                <w:b/>
                <w:bCs/>
              </w:rPr>
              <w:t xml:space="preserve">M5 (shared memory)</w:t>
            </w:r>
          </w:p>
        </w:tc>
        <w:tc>
          <w:tcPr>
            <w:tcW w:w="2282" w:type="dxa"/>
            <w:tcBorders>
              <w:top w:val="single" w:sz="4" w:space="0" w:color="auto"/>
              <w:bottom w:val="single" w:sz="4" w:space="0" w:color="auto"/>
            </w:tcBorders>
          </w:tcPr>
          <w:p>
            <w:pPr>
              <w:pStyle w:val="TableCell"/>
              <w:jc w:val="right"/>
            </w:pPr>
            <w:r>
              <w:rPr>
                <w:b/>
                <w:bCs/>
              </w:rPr>
              <w:t xml:space="preserve">3060 Ti, ReBAR on</w:t>
            </w:r>
          </w:p>
        </w:tc>
        <w:tc>
          <w:tcPr>
            <w:tcW w:w="1884" w:type="dxa"/>
            <w:tcBorders>
              <w:top w:val="single" w:sz="4" w:space="0" w:color="auto"/>
              <w:bottom w:val="single" w:sz="4" w:space="0" w:color="auto"/>
            </w:tcBorders>
          </w:tcPr>
          <w:p>
            <w:pPr>
              <w:pStyle w:val="TableCell"/>
              <w:jc w:val="right"/>
            </w:pPr>
            <w:r>
              <w:rPr>
                <w:b/>
                <w:bCs/>
              </w:rPr>
              <w:t xml:space="preserve">3060 Ti, ReBAR off</w:t>
            </w:r>
          </w:p>
        </w:tc>
      </w:tr>
      <w:tr>
        <w:trPr>
          <w:cantSplit/>
        </w:trPr>
        <w:tc>
          <w:tcPr>
            <w:tcW w:w="2978" w:type="dxa"/>
            <w:tcBorders/>
          </w:tcPr>
          <w:p>
            <w:pPr>
              <w:pStyle w:val="TableCell"/>
              <w:jc w:val="left"/>
            </w:pPr>
            <w:r>
              <w:t xml:space="preserve">empty round trip</w:t>
            </w:r>
          </w:p>
        </w:tc>
        <w:tc>
          <w:tcPr>
            <w:tcW w:w="1882" w:type="dxa"/>
            <w:tcBorders/>
          </w:tcPr>
          <w:p>
            <w:pPr>
              <w:pStyle w:val="TableCell"/>
              <w:jc w:val="right"/>
            </w:pPr>
            <w:r>
              <w:t xml:space="preserve">214 / 316</w:t>
            </w:r>
          </w:p>
        </w:tc>
        <w:tc>
          <w:tcPr>
            <w:tcW w:w="2282" w:type="dxa"/>
            <w:tcBorders/>
          </w:tcPr>
          <w:p>
            <w:pPr>
              <w:pStyle w:val="TableCell"/>
              <w:jc w:val="right"/>
            </w:pPr>
            <w:r>
              <w:t xml:space="preserve">60 / 85</w:t>
            </w:r>
          </w:p>
        </w:tc>
        <w:tc>
          <w:tcPr>
            <w:tcW w:w="1884" w:type="dxa"/>
            <w:tcBorders/>
          </w:tcPr>
          <w:p>
            <w:pPr>
              <w:pStyle w:val="TableCell"/>
              <w:jc w:val="right"/>
            </w:pPr>
            <w:r>
              <w:t xml:space="preserve">60 / 99</w:t>
            </w:r>
          </w:p>
        </w:tc>
      </w:tr>
      <w:tr>
        <w:trPr>
          <w:cantSplit/>
        </w:trPr>
        <w:tc>
          <w:tcPr>
            <w:tcW w:w="2978" w:type="dxa"/>
            <w:tcBorders/>
          </w:tcPr>
          <w:p>
            <w:pPr>
              <w:pStyle w:val="TableCell"/>
              <w:jc w:val="left"/>
            </w:pPr>
            <w:r>
              <w:t xml:space="preserve">1 MiB, best path</w:t>
            </w:r>
          </w:p>
        </w:tc>
        <w:tc>
          <w:tcPr>
            <w:tcW w:w="1882" w:type="dxa"/>
            <w:tcBorders/>
          </w:tcPr>
          <w:p>
            <w:pPr>
              <w:pStyle w:val="TableCell"/>
              <w:jc w:val="right"/>
            </w:pPr>
            <w:r>
              <w:t xml:space="preserve">305 / 349 (</w:t>
            </w:r>
            <w:r>
              <w:rPr>
                <w:rStyle w:val="CodeChar"/>
              </w:rPr>
              <w:t xml:space="preserve">s2_direct</w:t>
            </w:r>
            <w:r>
              <w:t xml:space="preserve">)</w:t>
            </w:r>
          </w:p>
        </w:tc>
        <w:tc>
          <w:tcPr>
            <w:tcW w:w="2282" w:type="dxa"/>
            <w:tcBorders/>
          </w:tcPr>
          <w:p>
            <w:pPr>
              <w:pStyle w:val="TableCell"/>
              <w:jc w:val="right"/>
            </w:pPr>
            <w:r>
              <w:t xml:space="preserve">160 / 230 (</w:t>
            </w:r>
            <w:r>
              <w:rPr>
                <w:rStyle w:val="CodeChar"/>
              </w:rPr>
              <w:t xml:space="preserve">s2_hostcached</w:t>
            </w:r>
            <w:r>
              <w:t xml:space="preserve">)</w:t>
            </w:r>
          </w:p>
        </w:tc>
        <w:tc>
          <w:tcPr>
            <w:tcW w:w="1884" w:type="dxa"/>
            <w:tcBorders/>
          </w:tcPr>
          <w:p>
            <w:pPr>
              <w:pStyle w:val="TableCell"/>
              <w:jc w:val="right"/>
            </w:pPr>
            <w:r>
              <w:t xml:space="preserve">142 / 212 (</w:t>
            </w:r>
            <w:r>
              <w:rPr>
                <w:rStyle w:val="CodeChar"/>
              </w:rPr>
              <w:t xml:space="preserve">s2_direct</w:t>
            </w:r>
            <w:r>
              <w:t xml:space="preserve">)</w:t>
            </w:r>
          </w:p>
        </w:tc>
      </w:tr>
      <w:tr>
        <w:trPr>
          <w:cantSplit/>
        </w:trPr>
        <w:tc>
          <w:tcPr>
            <w:tcW w:w="2978" w:type="dxa"/>
            <w:tcBorders/>
          </w:tcPr>
          <w:p>
            <w:pPr>
              <w:pStyle w:val="TableCell"/>
              <w:jc w:val="left"/>
            </w:pPr>
            <w:r>
              <w:t xml:space="preserve">1 MiB </w:t>
            </w:r>
            <w:r>
              <w:rPr>
                <w:rStyle w:val="CodeChar"/>
              </w:rPr>
              <w:t xml:space="preserve">s1_copy</w:t>
            </w:r>
          </w:p>
        </w:tc>
        <w:tc>
          <w:tcPr>
            <w:tcW w:w="1882" w:type="dxa"/>
            <w:tcBorders/>
          </w:tcPr>
          <w:p>
            <w:pPr>
              <w:pStyle w:val="TableCell"/>
              <w:jc w:val="right"/>
            </w:pPr>
            <w:r>
              <w:t xml:space="preserve">352 / 442</w:t>
            </w:r>
          </w:p>
        </w:tc>
        <w:tc>
          <w:tcPr>
            <w:tcW w:w="2282" w:type="dxa"/>
            <w:tcBorders/>
          </w:tcPr>
          <w:p>
            <w:pPr>
              <w:pStyle w:val="TableCell"/>
              <w:jc w:val="right"/>
            </w:pPr>
            <w:r>
              <w:t xml:space="preserve">312 / 412</w:t>
            </w:r>
          </w:p>
        </w:tc>
        <w:tc>
          <w:tcPr>
            <w:tcW w:w="1884" w:type="dxa"/>
            <w:tcBorders/>
          </w:tcPr>
          <w:p>
            <w:pPr>
              <w:pStyle w:val="TableCell"/>
              <w:jc w:val="right"/>
            </w:pPr>
            <w:r>
              <w:t xml:space="preserve">312 / 408</w:t>
            </w:r>
          </w:p>
        </w:tc>
      </w:tr>
      <w:tr>
        <w:trPr>
          <w:cantSplit/>
        </w:trPr>
        <w:tc>
          <w:tcPr>
            <w:tcW w:w="2978" w:type="dxa"/>
            <w:tcBorders/>
          </w:tcPr>
          <w:p>
            <w:pPr>
              <w:pStyle w:val="TableCell"/>
              <w:jc w:val="left"/>
            </w:pPr>
            <w:r>
              <w:t xml:space="preserve">16 MiB </w:t>
            </w:r>
            <w:r>
              <w:rPr>
                <w:rStyle w:val="CodeChar"/>
              </w:rPr>
              <w:t xml:space="preserve">s2_direct</w:t>
            </w:r>
          </w:p>
        </w:tc>
        <w:tc>
          <w:tcPr>
            <w:tcW w:w="1882" w:type="dxa"/>
            <w:tcBorders/>
          </w:tcPr>
          <w:p>
            <w:pPr>
              <w:pStyle w:val="TableCell"/>
              <w:jc w:val="right"/>
            </w:pPr>
            <w:r>
              <w:t xml:space="preserve">842 / 1814</w:t>
            </w:r>
          </w:p>
        </w:tc>
        <w:tc>
          <w:tcPr>
            <w:tcW w:w="2282" w:type="dxa"/>
            <w:tcBorders/>
          </w:tcPr>
          <w:p>
            <w:pPr>
              <w:pStyle w:val="TableCell"/>
              <w:jc w:val="right"/>
            </w:pPr>
            <w:r>
              <w:t xml:space="preserve">2395 / 2650</w:t>
            </w:r>
          </w:p>
        </w:tc>
        <w:tc>
          <w:tcPr>
            <w:tcW w:w="1884" w:type="dxa"/>
            <w:tcBorders/>
          </w:tcPr>
          <w:p>
            <w:pPr>
              <w:pStyle w:val="TableCell"/>
              <w:jc w:val="right"/>
            </w:pPr>
            <w:r>
              <w:t xml:space="preserve">1392 / 1684</w:t>
            </w:r>
          </w:p>
        </w:tc>
      </w:tr>
      <w:tr>
        <w:trPr>
          <w:cantSplit/>
        </w:trPr>
        <w:tc>
          <w:tcPr>
            <w:tcW w:w="2978" w:type="dxa"/>
            <w:tcBorders/>
          </w:tcPr>
          <w:p>
            <w:pPr>
              <w:pStyle w:val="TableCell"/>
              <w:jc w:val="left"/>
            </w:pPr>
            <w:r>
              <w:t xml:space="preserve">16 MiB </w:t>
            </w:r>
            <w:r>
              <w:rPr>
                <w:rStyle w:val="CodeChar"/>
              </w:rPr>
              <w:t xml:space="preserve">s1_copy</w:t>
            </w:r>
          </w:p>
        </w:tc>
        <w:tc>
          <w:tcPr>
            <w:tcW w:w="1882" w:type="dxa"/>
            <w:tcBorders/>
          </w:tcPr>
          <w:p>
            <w:pPr>
              <w:pStyle w:val="TableCell"/>
              <w:jc w:val="right"/>
            </w:pPr>
            <w:r>
              <w:t xml:space="preserve">1587 / 3001</w:t>
            </w:r>
          </w:p>
        </w:tc>
        <w:tc>
          <w:tcPr>
            <w:tcW w:w="2282" w:type="dxa"/>
            <w:tcBorders/>
          </w:tcPr>
          <w:p>
            <w:pPr>
              <w:pStyle w:val="TableCell"/>
              <w:jc w:val="right"/>
            </w:pPr>
            <w:r>
              <w:t xml:space="preserve">3940 / 4437</w:t>
            </w:r>
          </w:p>
        </w:tc>
        <w:tc>
          <w:tcPr>
            <w:tcW w:w="1884" w:type="dxa"/>
            <w:tcBorders/>
          </w:tcPr>
          <w:p>
            <w:pPr>
              <w:pStyle w:val="TableCell"/>
              <w:jc w:val="right"/>
            </w:pPr>
            <w:r>
              <w:t xml:space="preserve">3983 / 4583</w:t>
            </w:r>
          </w:p>
        </w:tc>
      </w:tr>
      <w:tr>
        <w:trPr>
          <w:cantSplit/>
        </w:trPr>
        <w:tc>
          <w:tcPr>
            <w:tcW w:w="2978" w:type="dxa"/>
            <w:tcBorders>
              <w:bottom w:val="single" w:sz="4" w:space="0" w:color="auto"/>
            </w:tcBorders>
          </w:tcPr>
          <w:p>
            <w:pPr>
              <w:pStyle w:val="TableCell"/>
              <w:jc w:val="left"/>
            </w:pPr>
            <w:r>
              <w:t xml:space="preserve">raw copy, 16 MiB (to host / to device)</w:t>
            </w:r>
          </w:p>
        </w:tc>
        <w:tc>
          <w:tcPr>
            <w:tcW w:w="1882" w:type="dxa"/>
            <w:tcBorders>
              <w:bottom w:val="single" w:sz="4" w:space="0" w:color="auto"/>
            </w:tcBorders>
          </w:tcPr>
          <w:p>
            <w:pPr>
              <w:pStyle w:val="TableCell"/>
              <w:jc w:val="right"/>
            </w:pPr>
            <w:r>
              <w:t xml:space="preserve">55.4 / 57.9 GB/s</w:t>
            </w:r>
          </w:p>
        </w:tc>
        <w:tc>
          <w:tcPr>
            <w:tcW w:w="2282" w:type="dxa"/>
            <w:tcBorders>
              <w:bottom w:val="single" w:sz="4" w:space="0" w:color="auto"/>
            </w:tcBorders>
          </w:tcPr>
          <w:p>
            <w:pPr>
              <w:pStyle w:val="TableCell"/>
              <w:jc w:val="right"/>
            </w:pPr>
            <w:r>
              <w:t xml:space="preserve">12.4 / 13.3 GB/s</w:t>
            </w:r>
          </w:p>
        </w:tc>
        <w:tc>
          <w:tcPr>
            <w:tcW w:w="1884" w:type="dxa"/>
            <w:tcBorders>
              <w:bottom w:val="single" w:sz="4" w:space="0" w:color="auto"/>
            </w:tcBorders>
          </w:tcPr>
          <w:p>
            <w:pPr>
              <w:pStyle w:val="TableCell"/>
              <w:jc w:val="right"/>
            </w:pPr>
            <w:r>
              <w:t xml:space="preserve">12.6 / 13.2 GB/s</w:t>
            </w:r>
          </w:p>
        </w:tc>
      </w:tr>
    </w:tbl>
    <w:p>
      <w:pPr>
        <w:pStyle w:val="Spacer"/>
      </w:pPr>
    </w:p>
    <w:p>
      <w:pPr>
        <w:pStyle w:val="Normal"/>
      </w:pPr>
      <w:r>
        <w:t xml:space="preserve">On the two criterion cells the M5 is 1.9–3.5× </w:t>
      </w:r>
      <w:r>
        <w:rPr>
          <w:b/>
          <w:bCs/>
        </w:rPr>
        <w:t xml:space="preserve">slower</w:t>
      </w:r>
      <w:r>
        <w:t xml:space="preserve">: 213.5 vs 60.4 µs empty, and 305.5 vs 159.8 µs (ReBAR on) or 142.3 µs (ReBAR off) at 1 MiB.</w:t>
      </w:r>
    </w:p>
    <w:p>
      <w:pPr>
        <w:pStyle w:val="Normal"/>
      </w:pPr>
      <w:r>
        <w:rPr>
          <w:b/>
          <w:bCs/>
        </w:rPr>
        <w:t xml:space="preserve">Where the time goes: the hand-off, not the bytes.</w:t>
      </w:r>
      <w:r>
        <w:t xml:space="preserve"> The PC's GPU→CPU and CPU→GPU hand-offs are each ≈ 30 µs and unimodal (g2c 30–35 µs in 73 % of samples). On the M5, g2c is similar (≈ 38 µs p50). The CPU→GPU hand-off, though, is </w:t>
      </w:r>
      <w:r>
        <w:rPr>
          <w:b/>
          <w:bCs/>
        </w:rPr>
        <w:t xml:space="preserve">multimodal</w:t>
      </w:r>
      <w:r>
        <w:t xml:space="preserve">, with modes at ≈ 50, 155 and 235 µs. Which mode dominates persists for minutes and changes between runs. This pattern is consistent with the GPU leaving an idle power state, and Sect. 6 tests that reading directly. The multimodality is also why the M5 fails the run-to-run acceptance (26 of 52 cells vary by ≥ 10 % across process restarts; worst primary cell 29 %). The PC passes (0 of 124 cells; worst 8.4 %).</w:t>
      </w:r>
    </w:p>
    <w:p>
      <w:pPr>
        <w:pStyle w:val="Normal"/>
      </w:pPr>
      <w:r>
        <w:rPr>
          <w:b/>
          <w:bCs/>
        </w:rPr>
        <w:t xml:space="preserve">Where the M5 wins: payload cost.</w:t>
      </w:r>
      <w:r>
        <w:t xml:space="preserve"> From 4 KiB to 1 MiB the M5's </w:t>
      </w:r>
      <w:r>
        <w:rPr>
          <w:rStyle w:val="CodeChar"/>
        </w:rPr>
        <w:t xml:space="preserve">s2_direct</w:t>
      </w:r>
      <w:r>
        <w:t xml:space="preserve"> round trip grows only from 201 to 305 µs. The 3060 Ti's grows from 60 to 207 µs (ReBAR on) and keeps growing linearly with payload. At 16 MiB the M5 is 1.7–2.8× faster on the direct path and ≈ 2.5× on the copy path. Raw copy bandwidth is ≈ 4.5× that of the gen3 x16 link. Against the 3060 Ti's best path, log–log interpolation between the 1 and 4 MiB grid points puts the crossover at ≈ 2.4 MiB per direction with ReBAR on (2.25–2.44 MiB over the nine pairs of runs) and ≈ 3.0 MiB with ReBAR off (2.78–3.06 MiB). Path by path, the curves of Fig. 1 cross at ≈ 1.6 MiB (direct path, ReBAR on), ≈ 3.0 MiB (direct path, ReBAR off) and ≈ 1.2 MiB (copy path, both settings). Nothing was measured between 1 and 4 MiB; the Sect. 6 extension measures it.</w:t>
      </w:r>
    </w:p>
    <w:p>
      <w:pPr>
        <w:pStyle w:val="Normal"/>
      </w:pPr>
      <w:r>
        <w:rPr>
          <w:b/>
          <w:bCs/>
        </w:rPr>
        <w:t xml:space="preserve">ReBAR changes only `s2_direct`.</w:t>
      </w:r>
      <w:r>
        <w:t xml:space="preserve"> With ReBAR on, the CPU→GPU buffer lives in device memory, so the CPU's 1 MiB write crosses PCIe (96 vs 33 µs), while the GPU's read pass, which </w:t>
      </w:r>
      <w:r>
        <w:rPr>
          <w:rStyle w:val="CodeChar"/>
        </w:rPr>
        <w:t xml:space="preserve">rt</w:t>
      </w:r>
      <w:r>
        <w:t xml:space="preserve"> excludes, becomes almost free (7 vs 86 µs). </w:t>
      </w:r>
      <w:r>
        <w:rPr>
          <w:rStyle w:val="CodeChar"/>
        </w:rPr>
        <w:t xml:space="preserve">rt</w:t>
      </w:r>
      <w:r>
        <w:t xml:space="preserve"> therefore rises from 142 to 207 µs. We report </w:t>
      </w:r>
      <w:r>
        <w:rPr>
          <w:rStyle w:val="CodeChar"/>
        </w:rPr>
        <w:t xml:space="preserve">rt</w:t>
      </w:r>
      <w:r>
        <w:t xml:space="preserve"> as defined and give </w:t>
      </w:r>
      <w:r>
        <w:rPr>
          <w:rStyle w:val="CodeChar"/>
        </w:rPr>
        <w:t xml:space="preserve">rt</w:t>
      </w:r>
      <w:r>
        <w:t xml:space="preserve"> + GPU read as a secondary figure. Every other path agrees within a few percent between the two series.</w:t>
      </w:r>
    </w:p>
    <w:p>
      <w:pPr>
        <w:pStyle w:val="Normal"/>
      </w:pPr>
      <w:r>
        <w:rPr>
          <w:b/>
          <w:bCs/>
        </w:rPr>
        <w:t xml:space="preserve">Outcome.</w:t>
      </w:r>
      <w:r>
        <w:t xml:space="preserve"> H1 ("lower for all payload sizes") is refuted. The data show a crossover, which the protocol named in advance as the expected honest outcome for the frame-level hypotheses. The study was re-scoped to H1′ (Sect. 1), with its predictions written down before the extension was measured.</w:t>
      </w:r>
    </w:p>
    <w:p>
      <w:pPr>
        <w:pStyle w:val="Heading1"/>
        <w:keepNext/>
      </w:pPr>
      <w:r>
        <w:t xml:space="preserve">6 Payload crossover and GPU state</w:t>
      </w:r>
    </w:p>
    <w:p>
      <w:pPr>
        <w:pStyle w:val="Heading2"/>
        <w:keepNext/>
      </w:pPr>
      <w:r>
        <w:t xml:space="preserve">6.1 The hypothesis, as written before the measurement</w:t>
      </w:r>
    </w:p>
    <w:p>
      <w:pPr>
        <w:pStyle w:val="Normal"/>
      </w:pPr>
      <w:r>
        <w:t xml:space="preserve">H1′ was formulated on 2026-10-13, after the idle-GPU results of Sect. 5 were known and before any of the cells that test it were measured, and adopted on 2026-10-16 when H1 was given up. It reads: on shared physical memory the cost of a round trip is nearly flat in payload up to ≈ 1 MiB per direction and grows slowly beyond; over PCIe it grows linearly from ≈ 256 KiB. The two curves cross, and the crossover moves to smaller payloads when the GPU is busy. Its predictions, fixed at the same time, are:</w:t>
      </w:r>
    </w:p>
    <w:p>
      <w:pPr>
        <w:pStyle w:val="ListParagraph"/>
        <w:numPr>
          <w:ilvl w:val="0"/>
          <w:numId w:val="4"/>
        </w:numPr>
      </w:pPr>
      <w:r>
        <w:t xml:space="preserve">with the GPU idle, the M5 and the RTX 3060 Ti cross at 2.0–2.6 MiB per direction;</w:t>
      </w:r>
    </w:p>
    <w:p>
      <w:pPr>
        <w:pStyle w:val="ListParagraph"/>
        <w:numPr>
          <w:ilvl w:val="0"/>
          <w:numId w:val="4"/>
        </w:numPr>
      </w:pPr>
      <w:r>
        <w:t xml:space="preserve">with the GPU busy, the M5 is ≈ 1.3× faster at 1 MiB and ≈ 1.8× faster at 4–16 MiB, and the crossover lies at or below 256 KiB.</w:t>
      </w:r>
    </w:p>
    <w:p>
      <w:pPr>
        <w:pStyle w:val="Normal"/>
      </w:pPr>
      <w:r>
        <w:t xml:space="preserve">The interpolation of Sect. 5, made on the protocol's coarse grid, puts the idle crossover at ≈ 2.4 MiB with ReBAR on, inside the predicted interval, and at ≈ 3.0 MiB with ReBAR off, above it. Nothing was measured between 1 and 4 MiB there; this section measures that range directly.</w:t>
      </w:r>
    </w:p>
    <w:p>
      <w:pPr>
        <w:pStyle w:val="Heading2"/>
        <w:keepNext/>
      </w:pPr>
      <w:r>
        <w:t xml:space="preserve">6.2 Measurement</w:t>
      </w:r>
    </w:p>
    <w:p>
      <w:pPr>
        <w:pStyle w:val="Normal"/>
      </w:pPr>
      <w:r>
        <w:t xml:space="preserve">The extension of Sect. 4.6 measures the paths </w:t>
      </w:r>
      <w:r>
        <w:rPr>
          <w:rStyle w:val="CodeChar"/>
        </w:rPr>
        <w:t xml:space="preserve">empty</w:t>
      </w:r>
      <w:r>
        <w:t xml:space="preserve">, </w:t>
      </w:r>
      <w:r>
        <w:rPr>
          <w:rStyle w:val="CodeChar"/>
        </w:rPr>
        <w:t xml:space="preserve">s1_copy</w:t>
      </w:r>
      <w:r>
        <w:t xml:space="preserve"> and </w:t>
      </w:r>
      <w:r>
        <w:rPr>
          <w:rStyle w:val="CodeChar"/>
        </w:rPr>
        <w:t xml:space="preserve">s2_direct</w:t>
      </w:r>
      <w:r>
        <w:t xml:space="preserve"> (and </w:t>
      </w:r>
      <w:r>
        <w:rPr>
          <w:rStyle w:val="CodeChar"/>
        </w:rPr>
        <w:t xml:space="preserve">s2_hostcached</w:t>
      </w:r>
      <w:r>
        <w:t xml:space="preserve"> on Vulkan) on twelve payloads from 4 KiB to 64 MiB, with five points between 1 and 8 MiB where the idle curves are expected to cross. Every cell is measured twice, with the GPU otherwise idle and with the GPU hot (Sect. 4.5), idle cells first, and each series is three process restarts. The crossover is read per platform pair and GPU state by log–log interpolation between the two neighbouring payloads, and its error bar is the spread of that estimate over the pairs of runs. Idle and hot results are reported separately and never pooled. The extension series are kept apart from the Sect. 5 series, and a two-minute reference check of the empty, </w:t>
      </w:r>
      <w:r>
        <w:rPr>
          <w:rStyle w:val="CodeChar"/>
        </w:rPr>
        <w:t xml:space="preserve">s1_copy</w:t>
      </w:r>
      <w:r>
        <w:t xml:space="preserve"> and </w:t>
      </w:r>
      <w:r>
        <w:rPr>
          <w:rStyle w:val="CodeChar"/>
        </w:rPr>
        <w:t xml:space="preserve">s2_direct</w:t>
      </w:r>
      <w:r>
        <w:t xml:space="preserve"> cells against the accepted Sect. 5 levels precedes every M5 series (Sect. 12.2).</w:t>
      </w:r>
    </w:p>
    <w:p>
      <w:pPr>
        <w:pStyle w:val="Heading2"/>
        <w:keepNext/>
      </w:pPr>
      <w:r>
        <w:t xml:space="preserve">6.3 Results</w:t>
      </w:r>
    </w:p>
    <w:p>
      <w:pPr>
        <w:pStyle w:val="Normal"/>
      </w:pPr>
      <w:r>
        <w:t xml:space="preserve">[Figure: round trip against payload per direction, idle and hot, both platforms, with the measured crossover bands. Table: crossover per path, GPU state and ReBAR setting with its run-to-run spread, against predictions 1 and 2. Text: whether holding the GPU busy collapses the M5's multimodal CPU→GPU hand-off (Sect. 5), the hot-GPU ratios at 1 MiB and 4–16 MiB, and the verdict on each prediction. Waits for </w:t>
      </w:r>
      <w:r>
        <w:rPr>
          <w:rStyle w:val="CodeChar"/>
        </w:rPr>
        <w:t xml:space="preserve">m1_mac_ext</w:t>
      </w:r>
      <w:r>
        <w:t xml:space="preserve"> and </w:t>
      </w:r>
      <w:r>
        <w:rPr>
          <w:rStyle w:val="CodeChar"/>
        </w:rPr>
        <w:t xml:space="preserve">m1_3060_ext</w:t>
      </w:r>
      <w:r>
        <w:t xml:space="preserve">.]</w:t>
      </w:r>
    </w:p>
    <w:p>
      <w:pPr>
        <w:pStyle w:val="Heading1"/>
        <w:keepNext/>
      </w:pPr>
      <w:r>
        <w:t xml:space="preserve">7 Simulation workload and pipeline</w:t>
      </w:r>
    </w:p>
    <w:p>
      <w:pPr>
        <w:pStyle w:val="Heading2"/>
        <w:keepNext/>
      </w:pPr>
      <w:r>
        <w:t xml:space="preserve">7.1 The game as a workload</w:t>
      </w:r>
    </w:p>
    <w:p>
      <w:pPr>
        <w:pStyle w:val="Normal"/>
      </w:pPr>
      <w:r>
        <w:t xml:space="preserve">Lightbound is a top-down survival-stealth roguelite. The player carries a lantern through procedurally generated cave floors swarming with thousands of light-sensitive shadow creatures. Light hurts the creatures, so every creature's behaviour depends on the light field around it, and the light field depends on the player, static lights and creatures being destroyed. That loop is what makes the workload useful for our question:</w:t>
      </w:r>
    </w:p>
    <w:p>
      <w:pPr>
        <w:pStyle w:val="ListParagraph"/>
        <w:numPr>
          <w:ilvl w:val="0"/>
          <w:numId w:val="1"/>
        </w:numPr>
      </w:pPr>
      <w:r>
        <w:t xml:space="preserve">the </w:t>
      </w:r>
      <w:r>
        <w:rPr>
          <w:b/>
          <w:bCs/>
        </w:rPr>
        <w:t xml:space="preserve">GPU</w:t>
      </w:r>
      <w:r>
        <w:t xml:space="preserve"> computes what each creature perceives: light, its gradient, line of sight, and neighbours;</w:t>
      </w:r>
    </w:p>
    <w:p>
      <w:pPr>
        <w:pStyle w:val="ListParagraph"/>
        <w:numPr>
          <w:ilvl w:val="0"/>
          <w:numId w:val="1"/>
        </w:numPr>
      </w:pPr>
      <w:r>
        <w:t xml:space="preserve">the </w:t>
      </w:r>
      <w:r>
        <w:rPr>
          <w:b/>
          <w:bCs/>
        </w:rPr>
        <w:t xml:space="preserve">CPU</w:t>
      </w:r>
      <w:r>
        <w:t xml:space="preserve"> decides what each creature does, with a pure decision function;</w:t>
      </w:r>
    </w:p>
    <w:p>
      <w:pPr>
        <w:pStyle w:val="ListParagraph"/>
        <w:numPr>
          <w:ilvl w:val="0"/>
          <w:numId w:val="1"/>
        </w:numPr>
      </w:pPr>
      <w:r>
        <w:t xml:space="preserve">the </w:t>
      </w:r>
      <w:r>
        <w:rPr>
          <w:b/>
          <w:bCs/>
        </w:rPr>
        <w:t xml:space="preserve">GPU</w:t>
      </w:r>
      <w:r>
        <w:t xml:space="preserve"> moves and draws them.</w:t>
      </w:r>
    </w:p>
    <w:p>
      <w:pPr>
        <w:pStyle w:val="Normal"/>
      </w:pPr>
      <w:r>
        <w:t xml:space="preserve">Every frame therefore needs at least one GPU→CPU→GPU round trip, and better decisions need more.</w:t>
      </w:r>
    </w:p>
    <w:p>
      <w:pPr>
        <w:pStyle w:val="Normal"/>
      </w:pPr>
      <w:r>
        <w:rPr>
          <w:b/>
          <w:bCs/>
        </w:rPr>
        <w:t xml:space="preserve">Floors</w:t>
      </w:r>
      <w:r>
        <w:t xml:space="preserve"> are generated from a seed and validated, so a seed reproduces a floor bit for bit across platforms (M2; the same golden hashes on macOS and Windows). Benchmarks use five fixed seeds at 200 × 200 tiles.</w:t>
      </w:r>
    </w:p>
    <w:p>
      <w:pPr>
        <w:pStyle w:val="Heading2"/>
        <w:keepNext/>
      </w:pPr>
      <w:r>
        <w:t xml:space="preserve">7.2 One frame</w:t>
      </w:r>
    </w:p>
    <w:p>
      <w:pPr>
        <w:pStyle w:val="Normal"/>
      </w:pPr>
      <w:r>
        <w:t xml:space="preserve">Per simulation tick (60 Hz fixed step; in bench mode one tick per rendered frame, vsync off), the passes are those of Table 5.</w:t>
      </w:r>
    </w:p>
    <w:p>
      <w:pPr>
        <w:pStyle w:val="Caption"/>
        <w:keepNext/>
      </w:pPr>
      <w:r>
        <w:rPr>
          <w:b/>
          <w:bCs/>
        </w:rPr>
        <w:t xml:space="preserve">Table 5 </w:t>
      </w:r>
      <w:r>
        <w:t xml:space="preserve">The passes of one simulation step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4"/>
        <w:gridCol w:w="774"/>
        <w:gridCol w:w="6978"/>
      </w:tblGrid>
      <w:tr>
        <w:trPr>
          <w:cantSplit/>
          <w:tblHeader/>
        </w:trPr>
        <w:tc>
          <w:tcPr>
            <w:tcW w:w="1274" w:type="dxa"/>
            <w:tcBorders>
              <w:top w:val="single" w:sz="4" w:space="0" w:color="auto"/>
              <w:bottom w:val="single" w:sz="4" w:space="0" w:color="auto"/>
            </w:tcBorders>
          </w:tcPr>
          <w:p>
            <w:pPr>
              <w:pStyle w:val="TableCell"/>
              <w:jc w:val="left"/>
            </w:pPr>
            <w:r>
              <w:rPr>
                <w:b/>
                <w:bCs/>
              </w:rPr>
              <w:t xml:space="preserve">pass</w:t>
            </w:r>
          </w:p>
        </w:tc>
        <w:tc>
          <w:tcPr>
            <w:tcW w:w="774" w:type="dxa"/>
            <w:tcBorders>
              <w:top w:val="single" w:sz="4" w:space="0" w:color="auto"/>
              <w:bottom w:val="single" w:sz="4" w:space="0" w:color="auto"/>
            </w:tcBorders>
          </w:tcPr>
          <w:p>
            <w:pPr>
              <w:pStyle w:val="TableCell"/>
              <w:jc w:val="left"/>
            </w:pPr>
            <w:r>
              <w:rPr>
                <w:b/>
                <w:bCs/>
              </w:rPr>
              <w:t xml:space="preserve">where</w:t>
            </w:r>
          </w:p>
        </w:tc>
        <w:tc>
          <w:tcPr>
            <w:tcW w:w="6978" w:type="dxa"/>
            <w:tcBorders>
              <w:top w:val="single" w:sz="4" w:space="0" w:color="auto"/>
              <w:bottom w:val="single" w:sz="4" w:space="0" w:color="auto"/>
            </w:tcBorders>
          </w:tcPr>
          <w:p>
            <w:pPr>
              <w:pStyle w:val="TableCell"/>
              <w:jc w:val="left"/>
            </w:pPr>
            <w:r>
              <w:rPr>
                <w:b/>
                <w:bCs/>
              </w:rPr>
              <w:t xml:space="preserve">work</w:t>
            </w:r>
          </w:p>
        </w:tc>
      </w:tr>
      <w:tr>
        <w:trPr>
          <w:cantSplit/>
        </w:trPr>
        <w:tc>
          <w:tcPr>
            <w:tcW w:w="1274" w:type="dxa"/>
            <w:tcBorders/>
          </w:tcPr>
          <w:p>
            <w:pPr>
              <w:pStyle w:val="TableCell"/>
              <w:jc w:val="left"/>
            </w:pPr>
            <w:r>
              <w:t xml:space="preserve">A</w:t>
            </w:r>
          </w:p>
        </w:tc>
        <w:tc>
          <w:tcPr>
            <w:tcW w:w="774" w:type="dxa"/>
            <w:tcBorders/>
          </w:tcPr>
          <w:p>
            <w:pPr>
              <w:pStyle w:val="TableCell"/>
              <w:jc w:val="left"/>
            </w:pPr>
            <w:r>
              <w:t xml:space="preserve">GPU</w:t>
            </w:r>
          </w:p>
        </w:tc>
        <w:tc>
          <w:tcPr>
            <w:tcW w:w="6978" w:type="dxa"/>
            <w:tcBorders/>
          </w:tcPr>
          <w:p>
            <w:pPr>
              <w:pStyle w:val="TableCell"/>
              <w:jc w:val="left"/>
            </w:pPr>
            <w:r>
              <w:t xml:space="preserve">light field, spatial hash (radix sort by 16 px cell), perception for all N agents → </w:t>
            </w:r>
            <w:r>
              <w:rPr>
                <w:rStyle w:val="CodeChar"/>
              </w:rPr>
              <w:t xml:space="preserve">Perception[N]</w:t>
            </w:r>
          </w:p>
        </w:tc>
      </w:tr>
      <w:tr>
        <w:trPr>
          <w:cantSplit/>
        </w:trPr>
        <w:tc>
          <w:tcPr>
            <w:tcW w:w="1274" w:type="dxa"/>
            <w:tcBorders/>
          </w:tcPr>
          <w:p>
            <w:pPr>
              <w:pStyle w:val="TableCell"/>
              <w:jc w:val="left"/>
            </w:pPr>
            <w:r>
              <w:t xml:space="preserve">B</w:t>
            </w:r>
          </w:p>
        </w:tc>
        <w:tc>
          <w:tcPr>
            <w:tcW w:w="774" w:type="dxa"/>
            <w:tcBorders/>
          </w:tcPr>
          <w:p>
            <w:pPr>
              <w:pStyle w:val="TableCell"/>
              <w:jc w:val="left"/>
            </w:pPr>
            <w:r>
              <w:t xml:space="preserve">CPU</w:t>
            </w:r>
          </w:p>
        </w:tc>
        <w:tc>
          <w:tcPr>
            <w:tcW w:w="6978" w:type="dxa"/>
            <w:tcBorders/>
          </w:tcPr>
          <w:p>
            <w:pPr>
              <w:pStyle w:val="TableCell"/>
              <w:jc w:val="left"/>
            </w:pPr>
            <w:r>
              <w:rPr>
                <w:rStyle w:val="CodeChar"/>
              </w:rPr>
              <w:t xml:space="preserve">decide()</w:t>
            </w:r>
            <w:r>
              <w:t xml:space="preserve"> for all agents on W worker threads, light damage, alarm propagation (BFS over the neighbour graph), events, list of ambiguous agents</w:t>
            </w:r>
          </w:p>
        </w:tc>
      </w:tr>
      <w:tr>
        <w:trPr>
          <w:cantSplit/>
        </w:trPr>
        <w:tc>
          <w:tcPr>
            <w:tcW w:w="1274" w:type="dxa"/>
            <w:tcBorders/>
          </w:tcPr>
          <w:p>
            <w:pPr>
              <w:pStyle w:val="TableCell"/>
              <w:jc w:val="left"/>
            </w:pPr>
            <w:r>
              <w:t xml:space="preserve">C, C′, C″</w:t>
            </w:r>
          </w:p>
        </w:tc>
        <w:tc>
          <w:tcPr>
            <w:tcW w:w="774" w:type="dxa"/>
            <w:tcBorders/>
          </w:tcPr>
          <w:p>
            <w:pPr>
              <w:pStyle w:val="TableCell"/>
              <w:jc w:val="left"/>
            </w:pPr>
            <w:r>
              <w:t xml:space="preserve">GPU</w:t>
            </w:r>
          </w:p>
        </w:tc>
        <w:tc>
          <w:tcPr>
            <w:tcW w:w="6978" w:type="dxa"/>
            <w:tcBorders/>
          </w:tcPr>
          <w:p>
            <w:pPr>
              <w:pStyle w:val="TableCell"/>
              <w:jc w:val="left"/>
            </w:pPr>
            <w:r>
              <w:t xml:space="preserve">K ≥ 2: refined queries for ambiguous agents (light at the exact position, then line-of-sight rays for alarms)</w:t>
            </w:r>
          </w:p>
        </w:tc>
      </w:tr>
      <w:tr>
        <w:trPr>
          <w:cantSplit/>
        </w:trPr>
        <w:tc>
          <w:tcPr>
            <w:tcW w:w="1274" w:type="dxa"/>
            <w:tcBorders/>
          </w:tcPr>
          <w:p>
            <w:pPr>
              <w:pStyle w:val="TableCell"/>
              <w:jc w:val="left"/>
            </w:pPr>
            <w:r>
              <w:t xml:space="preserve">D, D′, D″</w:t>
            </w:r>
          </w:p>
        </w:tc>
        <w:tc>
          <w:tcPr>
            <w:tcW w:w="774" w:type="dxa"/>
            <w:tcBorders/>
          </w:tcPr>
          <w:p>
            <w:pPr>
              <w:pStyle w:val="TableCell"/>
              <w:jc w:val="left"/>
            </w:pPr>
            <w:r>
              <w:t xml:space="preserve">CPU</w:t>
            </w:r>
          </w:p>
        </w:tc>
        <w:tc>
          <w:tcPr>
            <w:tcW w:w="6978" w:type="dxa"/>
            <w:tcBorders/>
          </w:tcPr>
          <w:p>
            <w:pPr>
              <w:pStyle w:val="TableCell"/>
              <w:jc w:val="left"/>
            </w:pPr>
            <w:r>
              <w:t xml:space="preserve">re-decide the refined agents, emit the next requests</w:t>
            </w:r>
          </w:p>
        </w:tc>
      </w:tr>
      <w:tr>
        <w:trPr>
          <w:cantSplit/>
        </w:trPr>
        <w:tc>
          <w:tcPr>
            <w:tcW w:w="1274" w:type="dxa"/>
            <w:tcBorders>
              <w:bottom w:val="single" w:sz="4" w:space="0" w:color="auto"/>
            </w:tcBorders>
          </w:tcPr>
          <w:p>
            <w:pPr>
              <w:pStyle w:val="TableCell"/>
              <w:jc w:val="left"/>
            </w:pPr>
            <w:r>
              <w:t xml:space="preserve">E</w:t>
            </w:r>
          </w:p>
        </w:tc>
        <w:tc>
          <w:tcPr>
            <w:tcW w:w="774" w:type="dxa"/>
            <w:tcBorders>
              <w:bottom w:val="single" w:sz="4" w:space="0" w:color="auto"/>
            </w:tcBorders>
          </w:tcPr>
          <w:p>
            <w:pPr>
              <w:pStyle w:val="TableCell"/>
              <w:jc w:val="left"/>
            </w:pPr>
            <w:r>
              <w:t xml:space="preserve">GPU</w:t>
            </w:r>
          </w:p>
        </w:tc>
        <w:tc>
          <w:tcPr>
            <w:tcW w:w="6978" w:type="dxa"/>
            <w:tcBorders>
              <w:bottom w:val="single" w:sz="4" w:space="0" w:color="auto"/>
            </w:tcBorders>
          </w:tcPr>
          <w:p>
            <w:pPr>
              <w:pStyle w:val="TableCell"/>
              <w:jc w:val="left"/>
            </w:pPr>
            <w:r>
              <w:t xml:space="preserve">read </w:t>
            </w:r>
            <w:r>
              <w:rPr>
                <w:rStyle w:val="CodeChar"/>
              </w:rPr>
              <w:t xml:space="preserve">Intent[N]</w:t>
            </w:r>
            <w:r>
              <w:t xml:space="preserve">, steer, separate, integrate, then render (albedo, lighting, particles, post, UI)</w:t>
            </w:r>
          </w:p>
        </w:tc>
      </w:tr>
    </w:tbl>
    <w:p>
      <w:pPr>
        <w:pStyle w:val="Spacer"/>
      </w:pPr>
    </w:p>
    <w:p>
      <w:pPr>
        <w:pStyle w:val="Normal"/>
      </w:pPr>
      <w:r>
        <w:rPr>
          <w:b/>
          <w:bCs/>
        </w:rPr>
        <w:t xml:space="preserve">K</w:t>
      </w:r>
      <w:r>
        <w:t xml:space="preserve"> is the number of round trips per frame, from 1 to 4, and each extra round trip buys a visible gameplay quality:</w:t>
      </w:r>
    </w:p>
    <w:p>
      <w:pPr>
        <w:pStyle w:val="ListParagraph"/>
        <w:numPr>
          <w:ilvl w:val="0"/>
          <w:numId w:val="1"/>
        </w:numPr>
      </w:pPr>
      <w:r>
        <w:t xml:space="preserve">K = 2: precise decisions at light edges;</w:t>
      </w:r>
    </w:p>
    <w:p>
      <w:pPr>
        <w:pStyle w:val="ListParagraph"/>
        <w:numPr>
          <w:ilvl w:val="0"/>
          <w:numId w:val="1"/>
        </w:numPr>
      </w:pPr>
      <w:r>
        <w:t xml:space="preserve">K = 3: alarms confirmed by line of sight;</w:t>
      </w:r>
    </w:p>
    <w:p>
      <w:pPr>
        <w:pStyle w:val="ListParagraph"/>
        <w:numPr>
          <w:ilvl w:val="0"/>
          <w:numId w:val="1"/>
        </w:numPr>
      </w:pPr>
      <w:r>
        <w:t xml:space="preserve">K = 4: a second alarm wave.</w:t>
      </w:r>
    </w:p>
    <w:p>
      <w:pPr>
        <w:pStyle w:val="Normal"/>
      </w:pPr>
      <w:r>
        <w:t xml:space="preserve">This gives the game a natural reason to pay for more round trips, rather than an artificial loop.</w:t>
      </w:r>
    </w:p>
    <w:p>
      <w:pPr>
        <w:pStyle w:val="Heading2"/>
        <w:keepNext/>
      </w:pPr>
      <w:r>
        <w:t xml:space="preserve">7.3 Strategies</w:t>
      </w:r>
    </w:p>
    <w:p>
      <w:pPr>
        <w:pStyle w:val="Normal"/>
      </w:pPr>
      <w:r>
        <w:t xml:space="preserve">The game code receives </w:t>
      </w:r>
      <w:r>
        <w:rPr>
          <w:rStyle w:val="CodeChar"/>
        </w:rPr>
        <w:t xml:space="preserve">const Perception*</w:t>
      </w:r>
      <w:r>
        <w:t xml:space="preserve"> and writes </w:t>
      </w:r>
      <w:r>
        <w:rPr>
          <w:rStyle w:val="CodeChar"/>
        </w:rPr>
        <w:t xml:space="preserve">Intent*</w:t>
      </w:r>
      <w:r>
        <w:t xml:space="preserve">, and never knows how they were supplied (invariant R2). The orchestrator implements four strategies (Table 6).</w:t>
      </w:r>
    </w:p>
    <w:p>
      <w:pPr>
        <w:pStyle w:val="Caption"/>
        <w:keepNext/>
      </w:pPr>
      <w:r>
        <w:rPr>
          <w:b/>
          <w:bCs/>
        </w:rPr>
        <w:t xml:space="preserve">Table 6 </w:t>
      </w:r>
      <w:r>
        <w:t xml:space="preserve">Transfer strategies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0"/>
        <w:gridCol w:w="1731"/>
        <w:gridCol w:w="4278"/>
        <w:gridCol w:w="2527"/>
      </w:tblGrid>
      <w:tr>
        <w:trPr>
          <w:cantSplit/>
          <w:tblHeader/>
        </w:trPr>
        <w:tc>
          <w:tcPr>
            <w:tcW w:w="490" w:type="dxa"/>
            <w:tcBorders>
              <w:top w:val="single" w:sz="4" w:space="0" w:color="auto"/>
              <w:bottom w:val="single" w:sz="4" w:space="0" w:color="auto"/>
            </w:tcBorders>
          </w:tcPr>
          <w:p>
            <w:pPr>
              <w:pStyle w:val="TableCell"/>
              <w:jc w:val="left"/>
            </w:pPr>
          </w:p>
        </w:tc>
        <w:tc>
          <w:tcPr>
            <w:tcW w:w="1731" w:type="dxa"/>
            <w:tcBorders>
              <w:top w:val="single" w:sz="4" w:space="0" w:color="auto"/>
              <w:bottom w:val="single" w:sz="4" w:space="0" w:color="auto"/>
            </w:tcBorders>
          </w:tcPr>
          <w:p>
            <w:pPr>
              <w:pStyle w:val="TableCell"/>
              <w:jc w:val="left"/>
            </w:pPr>
            <w:r>
              <w:rPr>
                <w:b/>
                <w:bCs/>
              </w:rPr>
              <w:t xml:space="preserve">name</w:t>
            </w:r>
          </w:p>
        </w:tc>
        <w:tc>
          <w:tcPr>
            <w:tcW w:w="4278" w:type="dxa"/>
            <w:tcBorders>
              <w:top w:val="single" w:sz="4" w:space="0" w:color="auto"/>
              <w:bottom w:val="single" w:sz="4" w:space="0" w:color="auto"/>
            </w:tcBorders>
          </w:tcPr>
          <w:p>
            <w:pPr>
              <w:pStyle w:val="TableCell"/>
              <w:jc w:val="left"/>
            </w:pPr>
            <w:r>
              <w:rPr>
                <w:b/>
                <w:bCs/>
              </w:rPr>
              <w:t xml:space="preserve">data path</w:t>
            </w:r>
          </w:p>
        </w:tc>
        <w:tc>
          <w:tcPr>
            <w:tcW w:w="2527" w:type="dxa"/>
            <w:tcBorders>
              <w:top w:val="single" w:sz="4" w:space="0" w:color="auto"/>
              <w:bottom w:val="single" w:sz="4" w:space="0" w:color="auto"/>
            </w:tcBorders>
          </w:tcPr>
          <w:p>
            <w:pPr>
              <w:pStyle w:val="TableCell"/>
              <w:jc w:val="left"/>
            </w:pPr>
            <w:r>
              <w:rPr>
                <w:b/>
                <w:bCs/>
              </w:rPr>
              <w:t xml:space="preserve">round trips per frame</w:t>
            </w:r>
          </w:p>
        </w:tc>
      </w:tr>
      <w:tr>
        <w:trPr>
          <w:cantSplit/>
        </w:trPr>
        <w:tc>
          <w:tcPr>
            <w:tcW w:w="490" w:type="dxa"/>
            <w:tcBorders/>
          </w:tcPr>
          <w:p>
            <w:pPr>
              <w:pStyle w:val="TableCell"/>
              <w:jc w:val="left"/>
            </w:pPr>
            <w:r>
              <w:t xml:space="preserve">S0</w:t>
            </w:r>
          </w:p>
        </w:tc>
        <w:tc>
          <w:tcPr>
            <w:tcW w:w="1731" w:type="dxa"/>
            <w:tcBorders/>
          </w:tcPr>
          <w:p>
            <w:pPr>
              <w:pStyle w:val="TableCell"/>
              <w:jc w:val="left"/>
            </w:pPr>
            <w:r>
              <w:t xml:space="preserve">delayed</w:t>
            </w:r>
          </w:p>
        </w:tc>
        <w:tc>
          <w:tcPr>
            <w:tcW w:w="4278" w:type="dxa"/>
            <w:tcBorders/>
          </w:tcPr>
          <w:p>
            <w:pPr>
              <w:pStyle w:val="TableCell"/>
              <w:jc w:val="left"/>
            </w:pPr>
            <w:r>
              <w:t xml:space="preserve">the CPU reads perception from L = 2 frames ago without waiting; its intents apply next frame</w:t>
            </w:r>
          </w:p>
        </w:tc>
        <w:tc>
          <w:tcPr>
            <w:tcW w:w="2527" w:type="dxa"/>
            <w:tcBorders/>
          </w:tcPr>
          <w:p>
            <w:pPr>
              <w:pStyle w:val="TableCell"/>
              <w:jc w:val="left"/>
            </w:pPr>
            <w:r>
              <w:t xml:space="preserve">0 (K forced to 1, delayed)</w:t>
            </w:r>
          </w:p>
        </w:tc>
      </w:tr>
      <w:tr>
        <w:trPr>
          <w:cantSplit/>
        </w:trPr>
        <w:tc>
          <w:tcPr>
            <w:tcW w:w="490" w:type="dxa"/>
            <w:tcBorders/>
          </w:tcPr>
          <w:p>
            <w:pPr>
              <w:pStyle w:val="TableCell"/>
              <w:jc w:val="left"/>
            </w:pPr>
            <w:r>
              <w:t xml:space="preserve">S1</w:t>
            </w:r>
          </w:p>
        </w:tc>
        <w:tc>
          <w:tcPr>
            <w:tcW w:w="1731" w:type="dxa"/>
            <w:tcBorders/>
          </w:tcPr>
          <w:p>
            <w:pPr>
              <w:pStyle w:val="TableCell"/>
              <w:jc w:val="left"/>
            </w:pPr>
            <w:r>
              <w:t xml:space="preserve">same-frame copy</w:t>
            </w:r>
          </w:p>
        </w:tc>
        <w:tc>
          <w:tcPr>
            <w:tcW w:w="4278" w:type="dxa"/>
            <w:tcBorders/>
          </w:tcPr>
          <w:p>
            <w:pPr>
              <w:pStyle w:val="TableCell"/>
              <w:jc w:val="left"/>
            </w:pPr>
            <w:r>
              <w:t xml:space="preserve">research buffers in GPU-private memory, copied to and from host-visible staging at each hand-off</w:t>
            </w:r>
          </w:p>
        </w:tc>
        <w:tc>
          <w:tcPr>
            <w:tcW w:w="2527" w:type="dxa"/>
            <w:tcBorders/>
          </w:tcPr>
          <w:p>
            <w:pPr>
              <w:pStyle w:val="TableCell"/>
              <w:jc w:val="left"/>
            </w:pPr>
            <w:r>
              <w:t xml:space="preserve">K, plus copies</w:t>
            </w:r>
          </w:p>
        </w:tc>
      </w:tr>
      <w:tr>
        <w:trPr>
          <w:cantSplit/>
        </w:trPr>
        <w:tc>
          <w:tcPr>
            <w:tcW w:w="490" w:type="dxa"/>
            <w:tcBorders/>
          </w:tcPr>
          <w:p>
            <w:pPr>
              <w:pStyle w:val="TableCell"/>
              <w:jc w:val="left"/>
            </w:pPr>
            <w:r>
              <w:t xml:space="preserve">S2</w:t>
            </w:r>
          </w:p>
        </w:tc>
        <w:tc>
          <w:tcPr>
            <w:tcW w:w="1731" w:type="dxa"/>
            <w:tcBorders/>
          </w:tcPr>
          <w:p>
            <w:pPr>
              <w:pStyle w:val="TableCell"/>
              <w:jc w:val="left"/>
            </w:pPr>
            <w:r>
              <w:t xml:space="preserve">same-frame direct</w:t>
            </w:r>
          </w:p>
        </w:tc>
        <w:tc>
          <w:tcPr>
            <w:tcW w:w="4278" w:type="dxa"/>
            <w:tcBorders/>
          </w:tcPr>
          <w:p>
            <w:pPr>
              <w:pStyle w:val="TableCell"/>
              <w:jc w:val="left"/>
            </w:pPr>
            <w:r>
              <w:t xml:space="preserve">research buffers accessed directly by both processors (Metal shared storage; on Vulkan, host-cached system memory for GPU→CPU and ReBAR device memory for CPU→GPU)</w:t>
            </w:r>
          </w:p>
        </w:tc>
        <w:tc>
          <w:tcPr>
            <w:tcW w:w="2527" w:type="dxa"/>
            <w:tcBorders/>
          </w:tcPr>
          <w:p>
            <w:pPr>
              <w:pStyle w:val="TableCell"/>
              <w:jc w:val="left"/>
            </w:pPr>
            <w:r>
              <w:t xml:space="preserve">K, no copies</w:t>
            </w:r>
          </w:p>
        </w:tc>
      </w:tr>
      <w:tr>
        <w:trPr>
          <w:cantSplit/>
        </w:trPr>
        <w:tc>
          <w:tcPr>
            <w:tcW w:w="490" w:type="dxa"/>
            <w:tcBorders>
              <w:bottom w:val="single" w:sz="4" w:space="0" w:color="auto"/>
            </w:tcBorders>
          </w:tcPr>
          <w:p>
            <w:pPr>
              <w:pStyle w:val="TableCell"/>
              <w:jc w:val="left"/>
            </w:pPr>
            <w:r>
              <w:t xml:space="preserve">S3</w:t>
            </w:r>
          </w:p>
        </w:tc>
        <w:tc>
          <w:tcPr>
            <w:tcW w:w="1731" w:type="dxa"/>
            <w:tcBorders>
              <w:bottom w:val="single" w:sz="4" w:space="0" w:color="auto"/>
            </w:tcBorders>
          </w:tcPr>
          <w:p>
            <w:pPr>
              <w:pStyle w:val="TableCell"/>
              <w:jc w:val="left"/>
            </w:pPr>
            <w:r>
              <w:t xml:space="preserve">all-GPU</w:t>
            </w:r>
          </w:p>
        </w:tc>
        <w:tc>
          <w:tcPr>
            <w:tcW w:w="4278" w:type="dxa"/>
            <w:tcBorders>
              <w:bottom w:val="single" w:sz="4" w:space="0" w:color="auto"/>
            </w:tcBorders>
          </w:tcPr>
          <w:p>
            <w:pPr>
              <w:pStyle w:val="TableCell"/>
              <w:jc w:val="left"/>
            </w:pPr>
            <w:r>
              <w:rPr>
                <w:rStyle w:val="CodeChar"/>
              </w:rPr>
              <w:t xml:space="preserve">decide()</w:t>
            </w:r>
            <w:r>
              <w:t xml:space="preserve"> ported to the GPU; alarm by grid diffusion; no refinement</w:t>
            </w:r>
          </w:p>
        </w:tc>
        <w:tc>
          <w:tcPr>
            <w:tcW w:w="2527" w:type="dxa"/>
            <w:tcBorders>
              <w:bottom w:val="single" w:sz="4" w:space="0" w:color="auto"/>
            </w:tcBorders>
          </w:tcPr>
          <w:p>
            <w:pPr>
              <w:pStyle w:val="TableCell"/>
              <w:jc w:val="left"/>
            </w:pPr>
            <w:r>
              <w:t xml:space="preserve">0</w:t>
            </w:r>
          </w:p>
        </w:tc>
      </w:tr>
    </w:tbl>
    <w:p>
      <w:pPr>
        <w:pStyle w:val="Spacer"/>
      </w:pPr>
    </w:p>
    <w:p>
      <w:pPr>
        <w:pStyle w:val="Normal"/>
      </w:pPr>
      <w:r>
        <w:t xml:space="preserve">S0 is what engines do today (asynchronous readback). S1 and S2 are the same-frame alternatives whose cost the microbenchmark measured. S3 is the "don't round-trip at all" baseline, at the price of simpler behaviour. Submission is </w:t>
      </w:r>
      <w:r>
        <w:rPr>
          <w:rStyle w:val="CodeChar"/>
        </w:rPr>
        <w:t xml:space="preserve">chain</w:t>
      </w:r>
      <w:r>
        <w:t xml:space="preserve"> (the frame's GPU work submitted up front, each segment waiting on a CPU-signalled value) for the main matrix, and </w:t>
      </w:r>
      <w:r>
        <w:rPr>
          <w:rStyle w:val="CodeChar"/>
        </w:rPr>
        <w:t xml:space="preserve">perpass</w:t>
      </w:r>
      <w:r>
        <w:t xml:space="preserve"> in a subset.</w:t>
      </w:r>
    </w:p>
    <w:p>
      <w:pPr>
        <w:pStyle w:val="Heading2"/>
        <w:keepNext/>
      </w:pPr>
      <w:r>
        <w:t xml:space="preserve">7.4 Control and determinism</w:t>
      </w:r>
    </w:p>
    <w:p>
      <w:pPr>
        <w:pStyle w:val="ListParagraph"/>
        <w:numPr>
          <w:ilvl w:val="0"/>
          <w:numId w:val="1"/>
        </w:numPr>
      </w:pPr>
      <w:r>
        <w:rPr>
          <w:b/>
          <w:bCs/>
        </w:rPr>
        <w:t xml:space="preserve">Fixed render workload</w:t>
      </w:r>
      <w:r>
        <w:t xml:space="preserve"> across conditions: internal resolution, light caps (≤ 64 static lights per floor), post-processing, vsync off (R5).</w:t>
      </w:r>
    </w:p>
    <w:p>
      <w:pPr>
        <w:pStyle w:val="ListParagraph"/>
        <w:numPr>
          <w:ilvl w:val="0"/>
          <w:numId w:val="1"/>
        </w:numPr>
      </w:pPr>
      <w:r>
        <w:rPr>
          <w:b/>
          <w:bCs/>
        </w:rPr>
        <w:t xml:space="preserve">Determinism:</w:t>
      </w:r>
      <w:r>
        <w:t xml:space="preserve"> fixed timestep, PCG32 streams per agent with explicit seeds, no unordered iteration. Worker results are merged in chunk order. </w:t>
      </w:r>
      <w:r>
        <w:rPr>
          <w:rStyle w:val="CodeChar"/>
        </w:rPr>
        <w:t xml:space="preserve">decide()</w:t>
      </w:r>
      <w:r>
        <w:t xml:space="preserve"> is a pure function of agent state, perception and world context (R3, R4). This is what makes the staleness oracle possible (Sect. 10): a same-frame run and a delayed run can be compared decision by decision.</w:t>
      </w:r>
    </w:p>
    <w:p>
      <w:pPr>
        <w:pStyle w:val="ListParagraph"/>
        <w:numPr>
          <w:ilvl w:val="0"/>
          <w:numId w:val="1"/>
        </w:numPr>
      </w:pPr>
      <w:r>
        <w:rPr>
          <w:b/>
          <w:bCs/>
        </w:rPr>
        <w:t xml:space="preserve">Driven player, constant N:</w:t>
      </w:r>
      <w:r>
        <w:t xml:space="preserve"> a deterministic bench bot walks the floor's critical path at 70 px/s, sweeps the lantern, and fires flares, strobes and focus beams on a fixed frame schedule, so the stimuli are the same on every platform. All N creatures spawn at t = 0 and do not die in bench mode. Damage is still computed, so the CPU cost stays, but N stays constant. Each run has 600 warm-up frames and 3,600 measured frames, with 4 worker threads on every platform.</w:t>
      </w:r>
    </w:p>
    <w:p>
      <w:pPr>
        <w:pStyle w:val="ListParagraph"/>
        <w:numPr>
          <w:ilvl w:val="0"/>
          <w:numId w:val="1"/>
        </w:numPr>
      </w:pPr>
      <w:r>
        <w:rPr>
          <w:b/>
          <w:bCs/>
        </w:rPr>
        <w:t xml:space="preserve">Matrix:</w:t>
      </w:r>
      <w:r>
        <w:t xml:space="preserve"> strategies × K (1–4, S1/S2 only) × N (1k–100k) × 5 seeds × 3 repetitions with a process restart, in randomized order with cooldowns. That is 900 runs per platform.</w:t>
      </w:r>
    </w:p>
    <w:p>
      <w:pPr>
        <w:pStyle w:val="Heading2"/>
        <w:keepNext/>
      </w:pPr>
      <w:r>
        <w:t xml:space="preserve">7.5 What the microbenchmark does not capture</w:t>
      </w:r>
    </w:p>
    <w:p>
      <w:pPr>
        <w:pStyle w:val="Normal"/>
      </w:pPr>
      <w:r>
        <w:t xml:space="preserve">The game's round trips differ from the microbenchmark's in three ways that Sect. 9 must model or bound:</w:t>
      </w:r>
    </w:p>
    <w:p>
      <w:pPr>
        <w:pStyle w:val="ListParagraph"/>
        <w:numPr>
          <w:ilvl w:val="0"/>
          <w:numId w:val="5"/>
        </w:numPr>
      </w:pPr>
      <w:r>
        <w:t xml:space="preserve">The GPU is busy between hand-offs (pass A and independent work), which is the reason for the hot-GPU extension.</w:t>
      </w:r>
    </w:p>
    <w:p>
      <w:pPr>
        <w:pStyle w:val="ListParagraph"/>
        <w:numPr>
          <w:ilvl w:val="0"/>
          <w:numId w:val="5"/>
        </w:numPr>
      </w:pPr>
      <w:r>
        <w:t xml:space="preserve">The CPU's work between hand-offs is real and parallel (W workers reading </w:t>
      </w:r>
      <w:r>
        <w:rPr>
          <w:rStyle w:val="CodeChar"/>
        </w:rPr>
        <w:t xml:space="preserve">Perception</w:t>
      </w:r>
      <w:r>
        <w:t xml:space="preserve"> and writing </w:t>
      </w:r>
      <w:r>
        <w:rPr>
          <w:rStyle w:val="CodeChar"/>
        </w:rPr>
        <w:t xml:space="preserve">Intent</w:t>
      </w:r>
      <w:r>
        <w:t xml:space="preserve">), not a single-threaded sum.</w:t>
      </w:r>
    </w:p>
    <w:p>
      <w:pPr>
        <w:pStyle w:val="ListParagraph"/>
        <w:numPr>
          <w:ilvl w:val="0"/>
          <w:numId w:val="5"/>
        </w:numPr>
      </w:pPr>
      <w:r>
        <w:t xml:space="preserve">The GPU→CPU payload has a fixed part independent of N (the spatial hash's </w:t>
      </w:r>
      <w:r>
        <w:rPr>
          <w:rStyle w:val="CodeChar"/>
        </w:rPr>
        <w:t xml:space="preserve">CellRange</w:t>
      </w:r>
      <w:r>
        <w:t xml:space="preserve">, ≈ 312 KiB per 200 × 200 floor).</w:t>
      </w:r>
    </w:p>
    <w:p>
      <w:pPr>
        <w:pStyle w:val="Heading1"/>
        <w:keepNext/>
      </w:pPr>
      <w:r>
        <w:t xml:space="preserve">8 Step-time results</w:t>
      </w:r>
    </w:p>
    <w:p>
      <w:pPr>
        <w:pStyle w:val="Normal"/>
      </w:pPr>
      <w:r>
        <w:rPr>
          <w:i/>
          <w:iCs/>
        </w:rPr>
        <w:t xml:space="preserve">[Written after the M4 and M8 run matrices (H2, H3, H5).]</w:t>
      </w:r>
    </w:p>
    <w:p>
      <w:pPr>
        <w:pStyle w:val="Heading1"/>
        <w:keepNext/>
      </w:pPr>
      <w:r>
        <w:t xml:space="preserve">9 Cost model</w:t>
      </w:r>
    </w:p>
    <w:p>
      <w:pPr>
        <w:pStyle w:val="Heading2"/>
        <w:keepNext/>
      </w:pPr>
      <w:r>
        <w:t xml:space="preserve">9.1 The model</w:t>
      </w:r>
    </w:p>
    <w:p>
      <w:pPr>
        <w:pStyle w:val="Normal"/>
      </w:pPr>
      <w:r>
        <w:t xml:space="preserve">The protocol fixes the model's form before any game run, per platform </w:t>
      </w:r>
      <w:r>
        <w:rPr>
          <w:i/>
          <w:iCs/>
        </w:rPr>
        <w:t xml:space="preserve">p</w:t>
      </w:r>
      <w:r>
        <w:t xml:space="preserve"> and strategy </w:t>
      </w:r>
      <w:r>
        <w:rPr>
          <w:i/>
          <w:iCs/>
        </w:rPr>
        <w:t xml:space="preserve">S</w:t>
      </w:r>
      <w:r>
        <w:t xml:space="preserve">:</w:t>
      </w:r>
    </w:p>
    <w:p>
      <w:pPr>
        <w:pStyle w:val="Normal"/>
        <w:jc w:val="left"/>
      </w:pPr>
      <m:oMathPara>
        <m:oMathParaPr>
          <m:jc m:val="left"/>
        </m:oMathParaPr>
        <m:oMath>
          <m:sSub>
            <m:e>
              <m:r>
                <m:t xml:space="preserve">T</m:t>
              </m:r>
            </m:e>
            <m:sub>
              <m:r>
                <m:rPr>
                  <m:sty m:val="p"/>
                </m:rPr>
                <m:t xml:space="preserve">frame</m:t>
              </m:r>
            </m:sub>
          </m:sSub>
          <m:d>
            <m:e>
              <m:r>
                <m:t xml:space="preserve">N, K, S</m:t>
              </m:r>
            </m:e>
          </m:d>
          <m:r>
            <m:t xml:space="preserve"> ≈ </m:t>
          </m:r>
          <m:sSub>
            <m:e>
              <m:r>
                <m:t xml:space="preserve">a</m:t>
              </m:r>
            </m:e>
            <m:sub>
              <m:r>
                <m:rPr>
                  <m:sty m:val="p"/>
                </m:rPr>
                <m:t xml:space="preserve">gpu</m:t>
              </m:r>
            </m:sub>
          </m:sSub>
          <m:r>
            <m:t xml:space="preserve"> · N + </m:t>
          </m:r>
          <m:sSub>
            <m:e>
              <m:r>
                <m:t xml:space="preserve">b</m:t>
              </m:r>
            </m:e>
            <m:sub>
              <m:r>
                <m:rPr>
                  <m:sty m:val="p"/>
                </m:rPr>
                <m:t xml:space="preserve">gpu</m:t>
              </m:r>
            </m:sub>
          </m:sSub>
          <m:r>
            <m:t xml:space="preserve"> + </m:t>
          </m:r>
          <m:sSub>
            <m:e>
              <m:r>
                <m:t xml:space="preserve">a</m:t>
              </m:r>
            </m:e>
            <m:sub>
              <m:r>
                <m:rPr>
                  <m:sty m:val="p"/>
                </m:rPr>
                <m:t xml:space="preserve">cpu</m:t>
              </m:r>
            </m:sub>
          </m:sSub>
          <m:r>
            <m:t xml:space="preserve"> · N + </m:t>
          </m:r>
          <m:sSub>
            <m:e>
              <m:r>
                <m:t xml:space="preserve">b</m:t>
              </m:r>
            </m:e>
            <m:sub>
              <m:r>
                <m:rPr>
                  <m:sty m:val="p"/>
                </m:rPr>
                <m:t xml:space="preserve">cpu</m:t>
              </m:r>
            </m:sub>
          </m:sSub>
        </m:oMath>
        <m:oMath>
          <m:r>
            <m:t xml:space="preserve">+ K · </m:t>
          </m:r>
          <m:d>
            <m:e>
              <m:sSub>
                <m:e>
                  <m:r>
                    <m:t xml:space="preserve">T</m:t>
                  </m:r>
                </m:e>
                <m:sub>
                  <m:r>
                    <m:rPr>
                      <m:sty m:val="p"/>
                    </m:rPr>
                    <m:t xml:space="preserve">sync</m:t>
                  </m:r>
                </m:sub>
              </m:sSub>
              <m:r>
                <m:t xml:space="preserve"> + </m:t>
              </m:r>
              <m:f>
                <m:num>
                  <m:sSub>
                    <m:e>
                      <m:r>
                        <m:t xml:space="preserve">P</m:t>
                      </m:r>
                    </m:e>
                    <m:sub>
                      <m:r>
                        <m:rPr>
                          <m:sty m:val="p"/>
                        </m:rPr>
                        <m:t xml:space="preserve">g2c</m:t>
                      </m:r>
                    </m:sub>
                  </m:sSub>
                  <m:d>
                    <m:e>
                      <m:r>
                        <m:t xml:space="preserve">N</m:t>
                      </m:r>
                    </m:e>
                  </m:d>
                  <m:r>
                    <m:t xml:space="preserve"> + </m:t>
                  </m:r>
                  <m:sSub>
                    <m:e>
                      <m:r>
                        <m:t xml:space="preserve">P</m:t>
                      </m:r>
                    </m:e>
                    <m:sub>
                      <m:r>
                        <m:rPr>
                          <m:sty m:val="p"/>
                        </m:rPr>
                        <m:t xml:space="preserve">c2g</m:t>
                      </m:r>
                    </m:sub>
                  </m:sSub>
                  <m:d>
                    <m:e>
                      <m:r>
                        <m:t xml:space="preserve">N</m:t>
                      </m:r>
                    </m:e>
                  </m:d>
                </m:num>
                <m:den>
                  <m:sSub>
                    <m:e>
                      <m:r>
                        <m:t xml:space="preserve">BW</m:t>
                      </m:r>
                    </m:e>
                    <m:sub>
                      <m:r>
                        <m:rPr>
                          <m:sty m:val="p"/>
                        </m:rPr>
                        <m:t xml:space="preserve">eff</m:t>
                      </m:r>
                    </m:sub>
                  </m:sSub>
                  <m:d>
                    <m:e>
                      <m:r>
                        <m:t xml:space="preserve">S</m:t>
                      </m:r>
                    </m:e>
                  </m:d>
                </m:den>
              </m:f>
            </m:e>
          </m:d>
        </m:oMath>
        <m:oMath>
          <m:r>
            <m:t xml:space="preserve">+ </m:t>
          </m:r>
          <m:r>
            <m:rPr>
              <m:sty m:val="p"/>
            </m:rPr>
            <m:t xml:space="preserve">[S1]</m:t>
          </m:r>
          <m:r>
            <m:t xml:space="preserve"> K · </m:t>
          </m:r>
          <m:sSub>
            <m:e>
              <m:r>
                <m:t xml:space="preserve">T</m:t>
              </m:r>
            </m:e>
            <m:sub>
              <m:r>
                <m:rPr>
                  <m:sty m:val="p"/>
                </m:rPr>
                <m:t xml:space="preserve">copy setup</m:t>
              </m:r>
            </m:sub>
          </m:sSub>
        </m:oMath>
      </m:oMathPara>
    </w:p>
    <w:p>
      <w:pPr>
        <w:pStyle w:val="ListParagraph"/>
        <w:numPr>
          <w:ilvl w:val="0"/>
          <w:numId w:val="1"/>
        </w:numPr>
      </w:pPr>
      <w:r>
        <w:rPr>
          <w:b/>
          <w:bCs/>
        </w:rPr>
        <w:t xml:space="preserve">The first line</w:t>
      </w:r>
      <w:r>
        <w:t xml:space="preserve"> is the work that does not depend on K: GPU passes A and E, and CPU pass B. It grows linearly in the agent count N. Its coefficients come only from the game at K = 1.</w:t>
      </w:r>
    </w:p>
    <w:p>
      <w:pPr>
        <w:pStyle w:val="ListParagraph"/>
        <w:numPr>
          <w:ilvl w:val="0"/>
          <w:numId w:val="1"/>
        </w:numPr>
      </w:pPr>
      <w:r>
        <w:rPr>
          <w:b/>
          <w:bCs/>
        </w:rPr>
        <w:t xml:space="preserve">The second line</w:t>
      </w:r>
      <w:r>
        <w:t xml:space="preserve"> is the cost of K round trips. </w:t>
      </w:r>
      <w:r>
        <w:rPr>
          <w:rStyle w:val="CodeChar"/>
        </w:rPr>
        <w:t xml:space="preserve">T_sync</w:t>
      </w:r>
      <w:r>
        <w:t xml:space="preserve"> is the payload-independent hand-off (GPU→CPU plus CPU→GPU), and the payload term is the bytes moved per round trip divided by an effective bandwidth. Both come only from the microbenchmark.</w:t>
      </w:r>
    </w:p>
    <w:p>
      <w:pPr>
        <w:pStyle w:val="ListParagraph"/>
        <w:numPr>
          <w:ilvl w:val="0"/>
          <w:numId w:val="1"/>
        </w:numPr>
      </w:pPr>
      <w:r>
        <w:rPr>
          <w:b/>
          <w:bCs/>
        </w:rPr>
        <w:t xml:space="preserve">The third line</w:t>
      </w:r>
      <w:r>
        <w:t xml:space="preserve"> adds, for the copy strategy, the fixed cost of setting up its copies.</w:t>
      </w:r>
    </w:p>
    <w:p>
      <w:pPr>
        <w:pStyle w:val="Normal"/>
      </w:pPr>
      <w:r>
        <w:t xml:space="preserve">Fitting the two halves on disjoint data is the point: if a model fitted on K = 1 runs and a microbenchmark predicts K = 2–4, the microbenchmark is a usable design tool for engine developers. We report the prediction error as MAPE per platform, and the predicted against measured crossover K*.</w:t>
      </w:r>
    </w:p>
    <w:p>
      <w:pPr>
        <w:pStyle w:val="Heading2"/>
        <w:keepNext/>
      </w:pPr>
      <w:r>
        <w:t xml:space="preserve">9.2 Payload per round trip, in agents</w:t>
      </w:r>
    </w:p>
    <w:p>
      <w:pPr>
        <w:pStyle w:val="Normal"/>
      </w:pPr>
      <w:r>
        <w:t xml:space="preserve">From the buffer layouts, one round trip moves the bytes of Table 7.</w:t>
      </w:r>
    </w:p>
    <w:p>
      <w:pPr>
        <w:pStyle w:val="Caption"/>
        <w:keepNext/>
      </w:pPr>
      <w:r>
        <w:rPr>
          <w:b/>
          <w:bCs/>
        </w:rPr>
        <w:t xml:space="preserve">Table 7 </w:t>
      </w:r>
      <w:r>
        <w:t xml:space="preserve">Bytes per round trip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3"/>
        <w:gridCol w:w="5350"/>
        <w:gridCol w:w="2653"/>
      </w:tblGrid>
      <w:tr>
        <w:trPr>
          <w:cantSplit/>
          <w:tblHeader/>
        </w:trPr>
        <w:tc>
          <w:tcPr>
            <w:tcW w:w="1023" w:type="dxa"/>
            <w:tcBorders>
              <w:top w:val="single" w:sz="4" w:space="0" w:color="auto"/>
              <w:bottom w:val="single" w:sz="4" w:space="0" w:color="auto"/>
            </w:tcBorders>
          </w:tcPr>
          <w:p>
            <w:pPr>
              <w:pStyle w:val="TableCell"/>
              <w:jc w:val="left"/>
            </w:pPr>
            <w:r>
              <w:rPr>
                <w:b/>
                <w:bCs/>
              </w:rPr>
              <w:t xml:space="preserve">direction</w:t>
            </w:r>
          </w:p>
        </w:tc>
        <w:tc>
          <w:tcPr>
            <w:tcW w:w="5350" w:type="dxa"/>
            <w:tcBorders>
              <w:top w:val="single" w:sz="4" w:space="0" w:color="auto"/>
              <w:bottom w:val="single" w:sz="4" w:space="0" w:color="auto"/>
            </w:tcBorders>
          </w:tcPr>
          <w:p>
            <w:pPr>
              <w:pStyle w:val="TableCell"/>
              <w:jc w:val="left"/>
            </w:pPr>
            <w:r>
              <w:rPr>
                <w:b/>
                <w:bCs/>
              </w:rPr>
              <w:t xml:space="preserve">buffers</w:t>
            </w:r>
          </w:p>
        </w:tc>
        <w:tc>
          <w:tcPr>
            <w:tcW w:w="2653" w:type="dxa"/>
            <w:tcBorders>
              <w:top w:val="single" w:sz="4" w:space="0" w:color="auto"/>
              <w:bottom w:val="single" w:sz="4" w:space="0" w:color="auto"/>
            </w:tcBorders>
          </w:tcPr>
          <w:p>
            <w:pPr>
              <w:pStyle w:val="TableCell"/>
              <w:jc w:val="left"/>
            </w:pPr>
            <w:r>
              <w:rPr>
                <w:b/>
                <w:bCs/>
              </w:rPr>
              <w:t xml:space="preserve">bytes</w:t>
            </w:r>
          </w:p>
        </w:tc>
      </w:tr>
      <w:tr>
        <w:trPr>
          <w:cantSplit/>
        </w:trPr>
        <w:tc>
          <w:tcPr>
            <w:tcW w:w="1023" w:type="dxa"/>
            <w:tcBorders/>
          </w:tcPr>
          <w:p>
            <w:pPr>
              <w:pStyle w:val="TableCell"/>
              <w:jc w:val="left"/>
            </w:pPr>
            <w:r>
              <w:t xml:space="preserve">GPU→CPU</w:t>
            </w:r>
          </w:p>
        </w:tc>
        <w:tc>
          <w:tcPr>
            <w:tcW w:w="5350" w:type="dxa"/>
            <w:tcBorders/>
          </w:tcPr>
          <w:p>
            <w:pPr>
              <w:pStyle w:val="TableCell"/>
              <w:jc w:val="left"/>
            </w:pPr>
            <w:r>
              <w:rPr>
                <w:rStyle w:val="CodeChar"/>
              </w:rPr>
              <w:t xml:space="preserve">Perception</w:t>
            </w:r>
            <w:r>
              <w:t xml:space="preserve"> 32 B + </w:t>
            </w:r>
            <w:r>
              <w:rPr>
                <w:rStyle w:val="CodeChar"/>
              </w:rPr>
              <w:t xml:space="preserve">SortedIds</w:t>
            </w:r>
            <w:r>
              <w:t xml:space="preserve"> 4 B per agent; </w:t>
            </w:r>
            <w:r>
              <w:rPr>
                <w:rStyle w:val="CodeChar"/>
              </w:rPr>
              <w:t xml:space="preserve">CellRange</w:t>
            </w:r>
            <w:r>
              <w:t xml:space="preserve"> 8 B per spatial-hash cell; </w:t>
            </w:r>
            <w:r>
              <w:rPr>
                <w:rStyle w:val="CodeChar"/>
              </w:rPr>
              <w:t xml:space="preserve">GpuEvents</w:t>
            </w:r>
            <w:r>
              <w:t xml:space="preserve"> ≤ 16 KiB</w:t>
            </w:r>
          </w:p>
        </w:tc>
        <w:tc>
          <w:tcPr>
            <w:tcW w:w="2653" w:type="dxa"/>
            <w:tcBorders/>
          </w:tcPr>
          <w:p>
            <w:pPr>
              <w:pStyle w:val="TableCell"/>
              <w:jc w:val="left"/>
            </w:pPr>
            <w:r>
              <w:t xml:space="preserve">≈ 36 B·N + 8 B·cells</w:t>
            </w:r>
          </w:p>
        </w:tc>
      </w:tr>
      <w:tr>
        <w:trPr>
          <w:cantSplit/>
        </w:trPr>
        <w:tc>
          <w:tcPr>
            <w:tcW w:w="1023" w:type="dxa"/>
            <w:tcBorders>
              <w:bottom w:val="single" w:sz="4" w:space="0" w:color="auto"/>
            </w:tcBorders>
          </w:tcPr>
          <w:p>
            <w:pPr>
              <w:pStyle w:val="TableCell"/>
              <w:jc w:val="left"/>
            </w:pPr>
            <w:r>
              <w:t xml:space="preserve">CPU→GPU</w:t>
            </w:r>
          </w:p>
        </w:tc>
        <w:tc>
          <w:tcPr>
            <w:tcW w:w="5350" w:type="dxa"/>
            <w:tcBorders>
              <w:bottom w:val="single" w:sz="4" w:space="0" w:color="auto"/>
            </w:tcBorders>
          </w:tcPr>
          <w:p>
            <w:pPr>
              <w:pStyle w:val="TableCell"/>
              <w:jc w:val="left"/>
            </w:pPr>
            <w:r>
              <w:rPr>
                <w:rStyle w:val="CodeChar"/>
              </w:rPr>
              <w:t xml:space="preserve">Intent</w:t>
            </w:r>
            <w:r>
              <w:t xml:space="preserve"> 16 B per agent; </w:t>
            </w:r>
            <w:r>
              <w:rPr>
                <w:rStyle w:val="CodeChar"/>
              </w:rPr>
              <w:t xml:space="preserve">RefineRequest</w:t>
            </w:r>
            <w:r>
              <w:t xml:space="preserve"> 16 B for ≤ N/4 agents (K ≥ 2)</w:t>
            </w:r>
          </w:p>
        </w:tc>
        <w:tc>
          <w:tcPr>
            <w:tcW w:w="2653" w:type="dxa"/>
            <w:tcBorders>
              <w:bottom w:val="single" w:sz="4" w:space="0" w:color="auto"/>
            </w:tcBorders>
          </w:tcPr>
          <w:p>
            <w:pPr>
              <w:pStyle w:val="TableCell"/>
              <w:jc w:val="left"/>
            </w:pPr>
            <w:r>
              <w:t xml:space="preserve">16 B·N, up to ≈ 20 B·N</w:t>
            </w:r>
          </w:p>
        </w:tc>
      </w:tr>
    </w:tbl>
    <w:p>
      <w:pPr>
        <w:pStyle w:val="Spacer"/>
      </w:pPr>
    </w:p>
    <w:p>
      <w:pPr>
        <w:pStyle w:val="Normal"/>
      </w:pPr>
      <w:r>
        <w:t xml:space="preserve">With a 16 px cell and 16 px tiles, a 200 × 200-tile floor has 40,000 cells, so </w:t>
      </w:r>
      <w:r>
        <w:rPr>
          <w:rStyle w:val="CodeChar"/>
        </w:rPr>
        <w:t xml:space="preserve">CellRange</w:t>
      </w:r>
      <w:r>
        <w:t xml:space="preserve"> adds ≈ 312 KiB per GPU→CPU hand-off, independent of N. This is a fixed term the microbenchmark does not have. It enters </w:t>
      </w:r>
      <w:r>
        <w:rPr>
          <w:rStyle w:val="CodeChar"/>
        </w:rPr>
        <w:t xml:space="preserve">P_g2c(N)</w:t>
      </w:r>
      <w:r>
        <w:t xml:space="preserve"> as an intercept, and the model must keep it rather than fold it into </w:t>
      </w:r>
      <w:r>
        <w:rPr>
          <w:rStyle w:val="CodeChar"/>
        </w:rPr>
        <w:t xml:space="preserve">T_sync</w:t>
      </w:r>
      <w:r>
        <w:t xml:space="preserve">.</w:t>
      </w:r>
    </w:p>
    <w:p>
      <w:pPr>
        <w:pStyle w:val="Normal"/>
      </w:pPr>
      <w:r>
        <w:t xml:space="preserve">Averaged over the two directions, a round trip moves ≈ 28 B per agent, so 1 MiB per direction is ≈ 37k agents. The idle-GPU crossover interpolated in Sect. 5 is therefore ≈ 89k agents with ReBAR on (≈ 2.4 MiB per direction), at the top of the protocol's N grid (1k–100k), and ≈ 112k with ReBAR off (≈ 3.0 MiB), beyond the grid but below the capacity of 131,072. The model thus makes a testable prediction about the game, not only about the benchmark. If the hot-GPU crossover moves down as H1′ predicts (to ≤ 256 KiB), the game's crossover in N moves to ≲ 10k agents.</w:t>
      </w:r>
    </w:p>
    <w:p>
      <w:pPr>
        <w:pStyle w:val="Normal"/>
      </w:pPr>
      <w:r>
        <w:t xml:space="preserve">These agent counts ignore the </w:t>
      </w:r>
      <w:r>
        <w:rPr>
          <w:rStyle w:val="CodeChar"/>
        </w:rPr>
        <w:t xml:space="preserve">CellRange</w:t>
      </w:r>
      <w:r>
        <w:t xml:space="preserve"> intercept. With it, the GPU→CPU direction reaches a given payload with ≈ 9k fewer agents (312 KiB / 36 B), which moves the crossover lower still. If the hot crossover is at or below ≈ 312 KiB, the game's GPU→CPU hand-off is past it at every N.</w:t>
      </w:r>
    </w:p>
    <w:p>
      <w:pPr>
        <w:pStyle w:val="Heading2"/>
        <w:keepNext/>
      </w:pPr>
      <w:r>
        <w:t xml:space="preserve">9.3 Estimating the round-trip terms</w:t>
      </w:r>
    </w:p>
    <w:p>
      <w:pPr>
        <w:pStyle w:val="ListParagraph"/>
        <w:numPr>
          <w:ilvl w:val="0"/>
          <w:numId w:val="1"/>
        </w:numPr>
      </w:pPr>
      <w:r>
        <w:rPr>
          <w:b/>
          <w:bCs/>
        </w:rPr>
        <w:t xml:space="preserve">`T_sync(p, state)`:</w:t>
      </w:r>
      <w:r>
        <w:t xml:space="preserve"> the empty round trip p50 (chain/spin), separately for idle and hot GPU. Idle values are known: 214 µs (M5) and 60 µs (3060 Ti). Hot values come from the extension.</w:t>
      </w:r>
    </w:p>
    <w:p>
      <w:pPr>
        <w:pStyle w:val="ListParagraph"/>
        <w:numPr>
          <w:ilvl w:val="0"/>
          <w:numId w:val="1"/>
        </w:numPr>
      </w:pPr>
      <w:r>
        <w:rPr>
          <w:b/>
          <w:bCs/>
        </w:rPr>
        <w:t xml:space="preserve">`BW_eff(S, p, state)`:</w:t>
      </w:r>
      <w:r>
        <w:t xml:space="preserve"> the slope of round trip against payload over the extension grid, fitted on log-spaced points with </w:t>
      </w:r>
      <w:r>
        <w:rPr>
          <w:rStyle w:val="CodeChar"/>
        </w:rPr>
        <w:t xml:space="preserve">T_sync</w:t>
      </w:r>
      <w:r>
        <w:t xml:space="preserve"> held fixed. For S1 the slope includes both copies, and </w:t>
      </w:r>
      <w:r>
        <w:rPr>
          <w:rStyle w:val="CodeChar"/>
        </w:rPr>
        <w:t xml:space="preserve">T_copy_setup</w:t>
      </w:r>
      <w:r>
        <w:t xml:space="preserve"> is the S1–S2 difference at the smallest payload.</w:t>
      </w:r>
    </w:p>
    <w:p>
      <w:pPr>
        <w:pStyle w:val="ListParagraph"/>
        <w:numPr>
          <w:ilvl w:val="0"/>
          <w:numId w:val="1"/>
        </w:numPr>
      </w:pPr>
      <w:r>
        <w:rPr>
          <w:b/>
          <w:bCs/>
        </w:rPr>
        <w:t xml:space="preserve">Piecewise behaviour.</w:t>
      </w:r>
      <w:r>
        <w:t xml:space="preserve"> The M5's curve is flat to ≈ 1 MiB and steepens after 4 MiB (figure 1); a single </w:t>
      </w:r>
      <w:r>
        <w:rPr>
          <w:rStyle w:val="CodeChar"/>
        </w:rPr>
        <w:t xml:space="preserve">BW_eff</w:t>
      </w:r>
      <w:r>
        <w:t xml:space="preserve"> will not fit both regimes. The model uses the measured curve, interpolated log–log at the game's actual </w:t>
      </w:r>
      <w:r>
        <w:rPr>
          <w:rStyle w:val="CodeChar"/>
        </w:rPr>
        <w:t xml:space="preserve">P(N)</w:t>
      </w:r>
      <w:r>
        <w:t xml:space="preserve">, instead of a straight line. This is a deviation from the protocol's linear form, to be recorded as a decision when the fit is made, not now.</w:t>
      </w:r>
    </w:p>
    <w:p>
      <w:pPr>
        <w:pStyle w:val="ListParagraph"/>
        <w:numPr>
          <w:ilvl w:val="0"/>
          <w:numId w:val="1"/>
        </w:numPr>
      </w:pPr>
      <w:r>
        <w:rPr>
          <w:b/>
          <w:bCs/>
        </w:rPr>
        <w:t xml:space="preserve">Which GPU state applies.</w:t>
      </w:r>
      <w:r>
        <w:t xml:space="preserve"> In the game the GPU is busy between hand-offs, because pass A and the independent work run there. So the </w:t>
      </w:r>
      <w:r>
        <w:rPr>
          <w:i/>
          <w:iCs/>
        </w:rPr>
        <w:t xml:space="preserve">hot</w:t>
      </w:r>
      <w:r>
        <w:t xml:space="preserve"> microbenchmark values are the a priori choice. The idle values give the bound for a GPU that finishes early. We report both predictions; neither is chosen after seeing the game data.</w:t>
      </w:r>
    </w:p>
    <w:p>
      <w:pPr>
        <w:pStyle w:val="Heading2"/>
        <w:keepNext/>
      </w:pPr>
      <w:r>
        <w:t xml:space="preserve">9.4 What would falsify it</w:t>
      </w:r>
    </w:p>
    <w:p>
      <w:pPr>
        <w:pStyle w:val="ListParagraph"/>
        <w:numPr>
          <w:ilvl w:val="0"/>
          <w:numId w:val="1"/>
        </w:numPr>
      </w:pPr>
      <w:r>
        <w:t xml:space="preserve">The model under-predicts K = 2–4 by more than the run-to-run spread. Then something per round trip is missing, for example cache effects on the CPU's read of freshly written GPU data, or the alarm BFS's random access to </w:t>
      </w:r>
      <w:r>
        <w:rPr>
          <w:rStyle w:val="CodeChar"/>
        </w:rPr>
        <w:t xml:space="preserve">CellRange</w:t>
      </w:r>
      <w:r>
        <w:t xml:space="preserve">.</w:t>
      </w:r>
    </w:p>
    <w:p>
      <w:pPr>
        <w:pStyle w:val="ListParagraph"/>
        <w:numPr>
          <w:ilvl w:val="0"/>
          <w:numId w:val="1"/>
        </w:numPr>
      </w:pPr>
      <w:r>
        <w:t xml:space="preserve">The predicted K* is on the wrong side of the measured one.</w:t>
      </w:r>
    </w:p>
    <w:p>
      <w:pPr>
        <w:pStyle w:val="ListParagraph"/>
        <w:numPr>
          <w:ilvl w:val="0"/>
          <w:numId w:val="1"/>
        </w:numPr>
      </w:pPr>
      <w:r>
        <w:t xml:space="preserve">On the M5, the multimodal hand-off (Sect. 5) makes </w:t>
      </w:r>
      <w:r>
        <w:rPr>
          <w:rStyle w:val="CodeChar"/>
        </w:rPr>
        <w:t xml:space="preserve">T_sync</w:t>
      </w:r>
      <w:r>
        <w:t xml:space="preserve"> a mixture, so per-frame times may be bimodal. The model predicts the median frame; p95/p99 frame times are reported but not modelled.</w:t>
      </w:r>
    </w:p>
    <w:p>
      <w:pPr>
        <w:pStyle w:val="Heading1"/>
        <w:keepNext/>
      </w:pPr>
      <w:r>
        <w:t xml:space="preserve">10 Decision staleness</w:t>
      </w:r>
    </w:p>
    <w:p>
      <w:pPr>
        <w:pStyle w:val="Normal"/>
      </w:pPr>
      <w:r>
        <w:rPr>
          <w:i/>
          <w:iCs/>
        </w:rPr>
        <w:t xml:space="preserve">[Written after the M3 oracle and the M8 audit runs (H4).]</w:t>
      </w:r>
    </w:p>
    <w:p>
      <w:pPr>
        <w:pStyle w:val="Heading1"/>
        <w:keepNext/>
      </w:pPr>
      <w:r>
        <w:t xml:space="preserve">11 Energy</w:t>
      </w:r>
    </w:p>
    <w:p>
      <w:pPr>
        <w:pStyle w:val="Normal"/>
      </w:pPr>
      <w:r>
        <w:rPr>
          <w:i/>
          <w:iCs/>
        </w:rPr>
        <w:t xml:space="preserve">[Written after M8 (H6, secondary).]</w:t>
      </w:r>
    </w:p>
    <w:p>
      <w:pPr>
        <w:pStyle w:val="Heading1"/>
        <w:keepNext/>
      </w:pPr>
      <w:r>
        <w:t xml:space="preserve">12 Threats to validity</w:t>
      </w:r>
    </w:p>
    <w:p>
      <w:pPr>
        <w:pStyle w:val="Heading2"/>
        <w:keepNext/>
      </w:pPr>
      <w:r>
        <w:t xml:space="preserve">12.1 Platform and API differences</w:t>
      </w:r>
    </w:p>
    <w:p>
      <w:pPr>
        <w:pStyle w:val="ListParagraph"/>
        <w:numPr>
          <w:ilvl w:val="0"/>
          <w:numId w:val="1"/>
        </w:numPr>
      </w:pPr>
      <w:r>
        <w:rPr>
          <w:b/>
          <w:bCs/>
        </w:rPr>
        <w:t xml:space="preserve">Different APIs.</w:t>
      </w:r>
      <w:r>
        <w:t xml:space="preserve"> The M5 runs Metal and the RTX cards run Vulkan, so an API's own overhead is part of every platform difference. Mitigations:</w:t>
      </w:r>
    </w:p>
    <w:p>
      <w:pPr>
        <w:pStyle w:val="ListParagraph"/>
        <w:numPr>
          <w:ilvl w:val="1"/>
          <w:numId w:val="1"/>
        </w:numPr>
      </w:pPr>
      <w:r>
        <w:t xml:space="preserve">One Slang source per kernel, identical buffer layouts, and one algorithm per path (R1).</w:t>
      </w:r>
    </w:p>
    <w:p>
      <w:pPr>
        <w:pStyle w:val="ListParagraph"/>
        <w:numPr>
          <w:ilvl w:val="1"/>
          <w:numId w:val="1"/>
        </w:numPr>
      </w:pPr>
      <w:r>
        <w:t xml:space="preserve">Each API's thinnest synchronization primitive: </w:t>
      </w:r>
      <w:r>
        <w:rPr>
          <w:rStyle w:val="CodeChar"/>
        </w:rPr>
        <w:t xml:space="preserve">MTLSharedEvent</w:t>
      </w:r>
      <w:r>
        <w:t xml:space="preserve"> and timeline semaphores.</w:t>
      </w:r>
    </w:p>
    <w:p>
      <w:pPr>
        <w:pStyle w:val="ListParagraph"/>
        <w:numPr>
          <w:ilvl w:val="1"/>
          <w:numId w:val="1"/>
        </w:numPr>
      </w:pPr>
      <w:r>
        <w:t xml:space="preserve">A MoltenVK control on the M5, which runs Vulkan on top of Metal: optional, not yet run.</w:t>
      </w:r>
    </w:p>
    <w:p>
      <w:pPr>
        <w:pStyle w:val="Normal"/>
        <w:ind w:left="720"/>
      </w:pPr>
      <w:r>
        <w:t xml:space="preserve">We report the M5–RTX differences as differences between platforms (hardware plus API), not between memory architectures alone.</w:t>
      </w:r>
    </w:p>
    <w:p>
      <w:pPr>
        <w:pStyle w:val="ListParagraph"/>
        <w:numPr>
          <w:ilvl w:val="0"/>
          <w:numId w:val="1"/>
        </w:numPr>
      </w:pPr>
      <w:r>
        <w:rPr>
          <w:b/>
          <w:bCs/>
        </w:rPr>
        <w:t xml:space="preserve">Different raw power.</w:t>
      </w:r>
      <w:r>
        <w:t xml:space="preserve"> The platforms differ in CPU, GPU and memory, not only in the link. We therefore report hand-off costs (</w:t>
      </w:r>
      <w:r>
        <w:rPr>
          <w:rStyle w:val="CodeChar"/>
        </w:rPr>
        <w:t xml:space="preserve">g2c</w:t>
      </w:r>
      <w:r>
        <w:t xml:space="preserve">, </w:t>
      </w:r>
      <w:r>
        <w:rPr>
          <w:rStyle w:val="CodeChar"/>
        </w:rPr>
        <w:t xml:space="preserve">c2g</w:t>
      </w:r>
      <w:r>
        <w:t xml:space="preserve">) and within-platform ablations (S1 vs S2, payload, GPU state) alongside absolute round trips.</w:t>
      </w:r>
    </w:p>
    <w:p>
      <w:pPr>
        <w:pStyle w:val="ListParagraph"/>
        <w:numPr>
          <w:ilvl w:val="0"/>
          <w:numId w:val="1"/>
        </w:numPr>
      </w:pPr>
      <w:r>
        <w:rPr>
          <w:b/>
          <w:bCs/>
        </w:rPr>
        <w:t xml:space="preserve">PCIe gen3.</w:t>
      </w:r>
      <w:r>
        <w:t xml:space="preserve"> The PC's slot runs at gen3, not the gen4 the protocol planned. The measured link is the platform definition (DECISIONS #33). Gen4 results may differ, especially in the payload-dependent part.</w:t>
      </w:r>
    </w:p>
    <w:p>
      <w:pPr>
        <w:pStyle w:val="ListParagraph"/>
        <w:numPr>
          <w:ilvl w:val="0"/>
          <w:numId w:val="1"/>
        </w:numPr>
      </w:pPr>
      <w:r>
        <w:rPr>
          <w:b/>
          <w:bCs/>
        </w:rPr>
        <w:t xml:space="preserve">ReBAR.</w:t>
      </w:r>
      <w:r>
        <w:t xml:space="preserve"> ReBAR moves the cost of the CPU→GPU direct path from the GPU's read into the CPU's write. We report </w:t>
      </w:r>
      <w:r>
        <w:rPr>
          <w:rStyle w:val="CodeChar"/>
        </w:rPr>
        <w:t xml:space="preserve">rt</w:t>
      </w:r>
      <w:r>
        <w:t xml:space="preserve"> as defined, plus </w:t>
      </w:r>
      <w:r>
        <w:rPr>
          <w:rStyle w:val="CodeChar"/>
        </w:rPr>
        <w:t xml:space="preserve">rt</w:t>
      </w:r>
      <w:r>
        <w:t xml:space="preserve"> + GPU read, and keep the ReBAR-off series separate (Sect. 5).</w:t>
      </w:r>
    </w:p>
    <w:p>
      <w:pPr>
        <w:pStyle w:val="ListParagraph"/>
        <w:numPr>
          <w:ilvl w:val="0"/>
          <w:numId w:val="1"/>
        </w:numPr>
      </w:pPr>
      <w:r>
        <w:rPr>
          <w:b/>
          <w:bCs/>
        </w:rPr>
        <w:t xml:space="preserve">One device per class.</w:t>
      </w:r>
      <w:r>
        <w:t xml:space="preserve"> Each platform is a single machine: one M5 and one 3060 Ti, with the 4060 Ti pending. We claim nothing about variation between units of the same model.</w:t>
      </w:r>
    </w:p>
    <w:p>
      <w:pPr>
        <w:pStyle w:val="Heading2"/>
        <w:keepNext/>
      </w:pPr>
      <w:r>
        <w:t xml:space="preserve">12.2 Measurement hygiene on a shared, fanless laptop</w:t>
      </w:r>
    </w:p>
    <w:p>
      <w:pPr>
        <w:pStyle w:val="Normal"/>
      </w:pPr>
      <w:r>
        <w:t xml:space="preserve">The M5 is the author's daily machine, not a dedicated benchmark host. Its round trips are latency-bound and sit close to the GPU's power-management decisions (Sect. 5), so they are far more sensitive to the environment than bandwidth figures. We found five ways the environment can bias a series or cast doubt on one, each with evidence from our own runs:</w:t>
      </w:r>
    </w:p>
    <w:p>
      <w:pPr>
        <w:pStyle w:val="ListParagraph"/>
        <w:numPr>
          <w:ilvl w:val="0"/>
          <w:numId w:val="6"/>
        </w:numPr>
      </w:pPr>
      <w:r>
        <w:rPr>
          <w:b/>
          <w:bCs/>
        </w:rPr>
        <w:t xml:space="preserve">Power source.</w:t>
      </w:r>
      <w:r>
        <w:t xml:space="preserve"> A series on battery was excluded, and the protocol requires the Mac to be plugged in. "Plugged in" is not a measurement, though: macOS reports "AC Power" on an under-powered 20 W adapter as well. Every series therefore logs the adapter's wattage (</w:t>
      </w:r>
      <w:r>
        <w:rPr>
          <w:rStyle w:val="CodeChar"/>
        </w:rPr>
        <w:t xml:space="preserve">pmset -g ac</w:t>
      </w:r>
      <w:r>
        <w:t xml:space="preserve">) and the battery current, and starts only on a supply of at least 35 W with the battery neither charging nor draining. We first suspected the 20 W adapter of the shift in item 5; a check on a 40 W supply with the battery at 0 mA showed the same shift, so the adapter was not its cause.</w:t>
      </w:r>
    </w:p>
    <w:p>
      <w:pPr>
        <w:pStyle w:val="ListParagraph"/>
        <w:numPr>
          <w:ilvl w:val="0"/>
          <w:numId w:val="6"/>
        </w:numPr>
      </w:pPr>
      <w:r>
        <w:rPr>
          <w:b/>
          <w:bCs/>
        </w:rPr>
        <w:t xml:space="preserve">Other processes using the GPU.</w:t>
      </w:r>
      <w:r>
        <w:t xml:space="preserve"> A browser tab that animates kept the GPU 17–30 % busy (IOAccelerator "Device Utilization") with no benchmark running. Under that load, idle cells were 1.5–3× slower and erratic: </w:t>
      </w:r>
      <w:r>
        <w:rPr>
          <w:rStyle w:val="CodeChar"/>
        </w:rPr>
        <w:t xml:space="preserve">s1_copy</w:t>
      </w:r>
      <w:r>
        <w:t xml:space="preserve"> 1 MiB p50 525 vs 351 µs, p99 1780 vs 516 µs. Rule: no other GPU client; a series starts only once GPU utilization has stayed ≤ 5 % and the 1-minute load average below 3 for two minutes.</w:t>
      </w:r>
    </w:p>
    <w:p>
      <w:pPr>
        <w:pStyle w:val="ListParagraph"/>
        <w:numPr>
          <w:ilvl w:val="0"/>
          <w:numId w:val="6"/>
        </w:numPr>
      </w:pPr>
      <w:r>
        <w:rPr>
          <w:b/>
          <w:bCs/>
        </w:rPr>
        <w:t xml:space="preserve">CPU contention.</w:t>
      </w:r>
      <w:r>
        <w:t xml:space="preserve"> A concurrent 8-core analysis job (load average 14–16) inflated the p99 of the first cells about twofold. The same start rule catches it.</w:t>
      </w:r>
    </w:p>
    <w:p>
      <w:pPr>
        <w:pStyle w:val="ListParagraph"/>
        <w:numPr>
          <w:ilvl w:val="0"/>
          <w:numId w:val="6"/>
        </w:numPr>
      </w:pPr>
      <w:r>
        <w:rPr>
          <w:b/>
          <w:bCs/>
        </w:rPr>
        <w:t xml:space="preserve">Display and sleep state.</w:t>
      </w:r>
      <w:r>
        <w:t xml:space="preserve"> The protocol keeps the display on. Preventing only system sleep (</w:t>
      </w:r>
      <w:r>
        <w:rPr>
          <w:rStyle w:val="CodeChar"/>
        </w:rPr>
        <w:t xml:space="preserve">caffeinate -is</w:t>
      </w:r>
      <w:r>
        <w:t xml:space="preserve">) lets the display sleep after 10 minutes, so runs use </w:t>
      </w:r>
      <w:r>
        <w:rPr>
          <w:rStyle w:val="CodeChar"/>
        </w:rPr>
        <w:t xml:space="preserve">caffeinate -dis</w:t>
      </w:r>
      <w:r>
        <w:t xml:space="preserve">. A sleep-prevention assertion does not end a maintenance </w:t>
      </w:r>
      <w:r>
        <w:rPr>
          <w:i/>
          <w:iCs/>
        </w:rPr>
        <w:t xml:space="preserve">dark wake</w:t>
      </w:r>
      <w:r>
        <w:t xml:space="preserve"> (display off, system partly awake), though, and one of our checks ran in a dark wake without our noticing. Runs now start only in full wake (</w:t>
      </w:r>
      <w:r>
        <w:rPr>
          <w:rStyle w:val="CodeChar"/>
        </w:rPr>
        <w:t xml:space="preserve">pmset -g systemstate</w:t>
      </w:r>
      <w:r>
        <w:t xml:space="preserve"> lists the graphics capability) and re-check it before every process. In that check, dark wake made no difference beyond item 5: full-wake runs three hours later were as slow.</w:t>
      </w:r>
    </w:p>
    <w:p>
      <w:pPr>
        <w:pStyle w:val="ListParagraph"/>
        <w:numPr>
          <w:ilvl w:val="0"/>
          <w:numId w:val="6"/>
        </w:numPr>
      </w:pPr>
      <w:r>
        <w:rPr>
          <w:b/>
          <w:bCs/>
        </w:rPr>
        <w:t xml:space="preserve">A persistent shift, traced to the processor clock on an idle machine.</w:t>
      </w:r>
      <w:r>
        <w:t xml:space="preserve"> Since at least 2026-10-17, every check on the M5 has measured </w:t>
      </w:r>
      <w:r>
        <w:rPr>
          <w:i/>
          <w:iCs/>
        </w:rPr>
        <w:t xml:space="preserve">spin-wait</w:t>
      </w:r>
      <w:r>
        <w:t xml:space="preserve"> round trips ≈ 100–280 µs slower than the accepted series of 2026-09-24, for example </w:t>
      </w:r>
      <w:r>
        <w:rPr>
          <w:rStyle w:val="CodeChar"/>
        </w:rPr>
        <w:t xml:space="preserve">s1_copy</w:t>
      </w:r>
      <w:r>
        <w:t xml:space="preserve"> 1 MiB (chained submit) p50 ≈ 575 vs 352 µs. </w:t>
      </w:r>
      <w:r>
        <w:rPr>
          <w:i/>
          <w:iCs/>
        </w:rPr>
        <w:t xml:space="preserve">Block-wait</w:t>
      </w:r>
      <w:r>
        <w:t xml:space="preserve"> cells are unaffected: within 13 µs at 4 KiB, and 62–140 µs faster at 1 MiB. In spin mode, the work on both processors slows down: the CPU's own read of 1 MiB takes 45 vs 14 µs and the GPU's 1 MiB copy 65 vs 21 µs. Each of the following was ruled out by a direct comparison: the binary (the accepted series' commit, rebuilt and alternated with the current binary, agrees within 2 %); the power supply (20 W and 40 W, item 1); the external display and display activity (internal panel only, and all displays asleep); dark versus full wake (item 4); the process's nice level (0 vs 5); the launch context (a terminal application, as for the accepted series, versus a detached terminal-session service: four alternating runs each, spin cells +109–243 vs +111–262 µs); and the benchmark thread's scheduling class and priority (a user-interactive QoS request plus a base priority of 47 against the default 31, alternated with the default over eight runs: the two agree within 12 µs on 16 of 20 cells, and the other four follow the run order, not the flag). What did move the cells was the clock. In that last series the first three runs executed at 2.2 GHz averaged over the process (exit resource counters: performance cores 2.6–2.8 GHz, efficiency cores 1.4–1.5 GHz) and showed the usual +170–290 µs. From the fourth run on, a macOS housekeeping process (iCloud file sync after a reboot, about half a core for four minutes) raised the load average from 1–2 to about 4 and the process clock to 2.8–3.2 GHz, and the spin cells sped up without any change on our side: the empty cells fell to the accepted levels or below (chained, 101–130 µs in the two fastest runs against 249), the </w:t>
      </w:r>
      <w:r>
        <w:rPr>
          <w:rStyle w:val="CodeChar"/>
        </w:rPr>
        <w:t xml:space="preserve">s2_direct</w:t>
      </w:r>
      <w:r>
        <w:t xml:space="preserve"> 4 KiB cells reached them in the last runs (210–214 against 201), and the </w:t>
      </w:r>
      <w:r>
        <w:rPr>
          <w:rStyle w:val="CodeChar"/>
        </w:rPr>
        <w:t xml:space="preserve">s1_copy</w:t>
      </w:r>
      <w:r>
        <w:t xml:space="preserve"> 4 KiB cells closed only part of the gap. Across the eight runs the spin round trips correlate with the clock (r = −0.81 to −0.95 for five of the six empty and 4 KiB cells, −0.58 for the sixth) and only weakly with the share of CPU time spent on performance cores (−0.52 to +0.16 for the same cells), which an earlier series had suggested as the cause. The 1 MiB spin cells stayed +180–230 µs in all but one run, so they carry a second component, the slow 1 MiB read in spin mode, that the clock alone does not remove. Our reading, not yet confirmed by a per-thread clock trace (root-level power sampling during a run is planned): on an otherwise idle M5 the governor leaves a lone spin-waiting thread at about 2.2 GHz, and another process's load raises the clock that the benchmark thread then shares. The accepted series ran with the chassis at thermal state "fair", that is with the machine busier than during any of our checks, which would make "what changed" the machine's background activity rather than a setting. Consequences: the M5's idle spin-wait numbers (Sect. 5) are governor-dependent, and a quiet machine is not the fastest machine for them. Sect. 5's verdict does not depend on it: in the present state the M5's block-wait cells are still slower than the 3060 Ti's best path (</w:t>
      </w:r>
      <w:r>
        <w:rPr>
          <w:rStyle w:val="CodeChar"/>
        </w:rPr>
        <w:t xml:space="preserve">s2_direct</w:t>
      </w:r>
      <w:r>
        <w:t xml:space="preserve"> 1 MiB, chained, p50 205–222 vs 145–161 µs; on the PC, block and spin wait differ by ≤ 6 µs). The interpolated crossover does depend on it: it rests on the M5's 1 MiB level and would move to smaller payloads if the present block-wait level held. Two responses are open: re-measure the idle reference in the present state and report the spin-wait cells as clock-dependent, or make a defined CPU-side companion load part of the microbenchmark condition, which is closer to the game, whose simulation thread never spins alone. No M5 extension series is measured before that decision.</w:t>
      </w:r>
    </w:p>
    <w:p>
      <w:pPr>
        <w:pStyle w:val="Normal"/>
      </w:pPr>
      <w:r>
        <w:t xml:space="preserve">In each case the first minute of cells showed the problem against the accepted levels, and the attempt was stopped and discarded, never repaired or pooled. A practical lesson for latency studies on laptops: "on AC", "idle" and "awake" have to be checked by measurement, not assumed, and a reference check before every series catches what the checklist misses. "Idle" also cuts both ways on a laptop-class SoC: a lone busy thread on a quiet machine can run at a lower clock than the same thread beside a background load, so single-thread latencies need the effective clock recorded next to them.</w:t>
      </w:r>
    </w:p>
    <w:p>
      <w:pPr>
        <w:pStyle w:val="Heading2"/>
        <w:keepNext/>
      </w:pPr>
      <w:r>
        <w:t xml:space="preserve">12.3 Run-to-run variation</w:t>
      </w:r>
    </w:p>
    <w:p>
      <w:pPr>
        <w:pStyle w:val="ListParagraph"/>
        <w:numPr>
          <w:ilvl w:val="0"/>
          <w:numId w:val="1"/>
        </w:numPr>
      </w:pPr>
      <w:r>
        <w:rPr>
          <w:b/>
          <w:bCs/>
        </w:rPr>
        <w:t xml:space="preserve">The M5 fails the protocol's run-to-run criterion</w:t>
      </w:r>
      <w:r>
        <w:t xml:space="preserve"> (26 of 52 cells vary by ≥ 10 % across process restarts; worst primary cell 29 %). The reason is the multimodal CPU→GPU hand-off, whose dominant mode persists for minutes. We report this as a result, not as noise to be averaged away: p50 and p99 are pooled over three restarts, and histograms show the modes. The PC passes (0 of 124 cells; worst 8.4 %).</w:t>
      </w:r>
    </w:p>
    <w:p>
      <w:pPr>
        <w:pStyle w:val="ListParagraph"/>
        <w:numPr>
          <w:ilvl w:val="0"/>
          <w:numId w:val="1"/>
        </w:numPr>
      </w:pPr>
      <w:r>
        <w:rPr>
          <w:b/>
          <w:bCs/>
        </w:rPr>
        <w:t xml:space="preserve">Thermal state.</w:t>
      </w:r>
      <w:r>
        <w:t xml:space="preserve"> The fanless chassis can throttle. Each series logs the thermal state at start and end. The accepted Mac series stayed at "fair" throughout (in hindsight also a sign that the machine was not idle then, Sect. 12.2 item 5), and the protocol flags throttled runs. Idle cells run before hot cells, because idle blocks measured after loaded ones come out faster (hysteresis, DECISIONS #32).</w:t>
      </w:r>
    </w:p>
    <w:p>
      <w:pPr>
        <w:pStyle w:val="ListParagraph"/>
        <w:numPr>
          <w:ilvl w:val="0"/>
          <w:numId w:val="1"/>
        </w:numPr>
      </w:pPr>
      <w:r>
        <w:rPr>
          <w:b/>
          <w:bCs/>
        </w:rPr>
        <w:t xml:space="preserve">Clock correlation.</w:t>
      </w:r>
      <w:r>
        <w:t xml:space="preserve"> The GPU→CPU time mapping drifts on the PC unless it is refreshed by elapsed time. Before the fix, </w:t>
      </w:r>
      <w:r>
        <w:rPr>
          <w:rStyle w:val="CodeChar"/>
        </w:rPr>
        <w:t xml:space="preserve">g2c</w:t>
      </w:r>
      <w:r>
        <w:t xml:space="preserve"> and </w:t>
      </w:r>
      <w:r>
        <w:rPr>
          <w:rStyle w:val="CodeChar"/>
        </w:rPr>
        <w:t xml:space="preserve">c2g</w:t>
      </w:r>
      <w:r>
        <w:t xml:space="preserve"> drifted while </w:t>
      </w:r>
      <w:r>
        <w:rPr>
          <w:rStyle w:val="CodeChar"/>
        </w:rPr>
        <w:t xml:space="preserve">rt</w:t>
      </w:r>
      <w:r>
        <w:t xml:space="preserve"> stayed valid. The split between </w:t>
      </w:r>
      <w:r>
        <w:rPr>
          <w:rStyle w:val="CodeChar"/>
        </w:rPr>
        <w:t xml:space="preserve">g2c</w:t>
      </w:r>
      <w:r>
        <w:t xml:space="preserve"> and </w:t>
      </w:r>
      <w:r>
        <w:rPr>
          <w:rStyle w:val="CodeChar"/>
        </w:rPr>
        <w:t xml:space="preserve">c2g</w:t>
      </w:r>
      <w:r>
        <w:t xml:space="preserve"> is therefore reported only for series measured after the fix (DECISIONS #23, #30).</w:t>
      </w:r>
    </w:p>
    <w:p>
      <w:pPr>
        <w:pStyle w:val="Heading2"/>
        <w:keepNext/>
      </w:pPr>
      <w:r>
        <w:t xml:space="preserve">12.4 Interpretation</w:t>
      </w:r>
    </w:p>
    <w:p>
      <w:pPr>
        <w:pStyle w:val="ListParagraph"/>
        <w:numPr>
          <w:ilvl w:val="0"/>
          <w:numId w:val="1"/>
        </w:numPr>
      </w:pPr>
      <w:r>
        <w:rPr>
          <w:b/>
          <w:bCs/>
        </w:rPr>
        <w:t xml:space="preserve">Power-state explanation.</w:t>
      </w:r>
      <w:r>
        <w:t xml:space="preserve"> That the M5's multimodal </w:t>
      </w:r>
      <w:r>
        <w:rPr>
          <w:rStyle w:val="CodeChar"/>
        </w:rPr>
        <w:t xml:space="preserve">c2g</w:t>
      </w:r>
      <w:r>
        <w:t xml:space="preserve"> comes from GPU idle states is an inference. We found no published idle-exit latencies for Apple or NVIDIA GPUs (Sect. 2), and macOS does not expose GPU power states to user code. The hot-GPU cells test the inference indirectly: if holding the GPU busy collapses the modes, the reading is supported. Until then the text says "consistent with".</w:t>
      </w:r>
    </w:p>
    <w:p>
      <w:pPr>
        <w:pStyle w:val="ListParagraph"/>
        <w:numPr>
          <w:ilvl w:val="0"/>
          <w:numId w:val="1"/>
        </w:numPr>
      </w:pPr>
      <w:r>
        <w:rPr>
          <w:b/>
          <w:bCs/>
        </w:rPr>
        <w:t xml:space="preserve">Hypotheses after the fact.</w:t>
      </w:r>
      <w:r>
        <w:t xml:space="preserve"> H1′ was written after M1's idle results were known (2026-10-13), but before the extension that tests it was measured. We state this, and keep the refuted H1 and its criterion in the paper unchanged.</w:t>
      </w:r>
    </w:p>
    <w:p>
      <w:pPr>
        <w:pStyle w:val="Heading1"/>
        <w:keepNext/>
      </w:pPr>
      <w:r>
        <w:t xml:space="preserve">13 Conclusion</w:t>
      </w:r>
    </w:p>
    <w:p>
      <w:pPr>
        <w:pStyle w:val="Normal"/>
      </w:pPr>
      <w:r>
        <w:rPr>
          <w:i/>
          <w:iCs/>
        </w:rPr>
        <w:t xml:space="preserve">[Written last.]</w:t>
      </w:r>
    </w:p>
    <w:p>
      <w:pPr>
        <w:pStyle w:val="Heading1"/>
        <w:keepNext/>
      </w:pPr>
      <w:r>
        <w:t xml:space="preserve">Declarations</w:t>
      </w:r>
    </w:p>
    <w:p>
      <w:pPr>
        <w:pStyle w:val="Normal"/>
      </w:pPr>
      <w:r>
        <w:rPr>
          <w:b/>
          <w:bCs/>
        </w:rPr>
        <w:t xml:space="preserve">Funding. </w:t>
      </w:r>
      <w:r>
        <w:t xml:space="preserve">[None / to state.]</w:t>
      </w:r>
    </w:p>
    <w:p>
      <w:pPr>
        <w:pStyle w:val="Normal"/>
      </w:pPr>
      <w:r>
        <w:rPr>
          <w:b/>
          <w:bCs/>
        </w:rPr>
        <w:t xml:space="preserve">Competing interests. </w:t>
      </w:r>
      <w:r>
        <w:t xml:space="preserve">[The author declares no competing interests. / to state]</w:t>
      </w:r>
    </w:p>
    <w:p>
      <w:pPr>
        <w:pStyle w:val="Normal"/>
      </w:pPr>
      <w:r>
        <w:rPr>
          <w:b/>
          <w:bCs/>
        </w:rPr>
        <w:t xml:space="preserve">Data and code availability. </w:t>
      </w:r>
      <w:r>
        <w:t xml:space="preserve">The benchmark, the simulation, the analysis scripts and the measured series are in the public repository https://github.com/jttarigan/Lightbound [archived DOI: to decide].</w:t>
      </w:r>
    </w:p>
    <w:p>
      <w:pPr>
        <w:pStyle w:val="Normal"/>
      </w:pPr>
      <w:r>
        <w:rPr>
          <w:b/>
          <w:bCs/>
        </w:rPr>
        <w:t xml:space="preserve">Use of AI tools. </w:t>
      </w:r>
      <w:r>
        <w:t xml:space="preserve">[Wording: the author's decision. Springer Nature asks for AI use beyond copy-editing to be declared in the Methods section; this draft was written with an AI assistant.]</w:t>
      </w:r>
    </w:p>
    <w:p>
      <w:pPr>
        <w:pStyle w:val="Heading1"/>
        <w:keepNext/>
      </w:pPr>
      <w:r>
        <w:t xml:space="preserve">References</w:t>
      </w:r>
    </w:p>
    <w:p>
      <w:pPr>
        <w:pStyle w:val="Bibliography"/>
      </w:pPr>
      <w:r>
        <w:fldChar w:fldCharType="begin"/>
      </w:r>
      <w:r>
        <w:instrText xml:space="preserve"> ADDIN ZOTERO_BIBL {"uncited":[],"omitted":[],"custom":[]} CSL_BIBLIOGRAPHY </w:instrText>
      </w:r>
      <w:r>
        <w:fldChar w:fldCharType="separate"/>
      </w:r>
      <w:r>
        <w:t xml:space="preserve">1.</w:t>
      </w:r>
      <w:r>
        <w:tab/>
      </w:r>
      <w:r>
        <w:t xml:space="preserve">Schieffer G, Wahlgren J, Ren J, et al (2024) Harnessing Integrated CPU-GPU System Memory for HPC: a first look into Grace Hopper. In: Proceedings of the 53rd International Conference on Parallel Processing. ACM, pp 199–209</w:t>
      </w:r>
    </w:p>
    <w:p>
      <w:pPr>
        <w:pStyle w:val="Bibliography"/>
      </w:pPr>
      <w:r>
        <w:t xml:space="preserve">2.</w:t>
      </w:r>
      <w:r>
        <w:tab/>
      </w:r>
      <w:r>
        <w:t xml:space="preserve">Wahlgren J, Schieffer G, Shi R, et al (2025) Dissecting CPU-GPU Unified Physical Memory on AMD MI300A APUs. In: 2025 IEEE International Symposium on Workload Characterization (IISWC). IEEE, pp 368–380</w:t>
      </w:r>
    </w:p>
    <w:p>
      <w:pPr>
        <w:pStyle w:val="Bibliography"/>
      </w:pPr>
      <w:r>
        <w:t xml:space="preserve">3.</w:t>
      </w:r>
      <w:r>
        <w:tab/>
      </w:r>
      <w:r>
        <w:t xml:space="preserve">Hübner P, Hu A, Peng I, Markidis S (2025) Apple vs. Oranges: Evaluating the Apple Silicon M-Series SoCs for HPC Performance and Efficiency</w:t>
      </w:r>
    </w:p>
    <w:p>
      <w:pPr>
        <w:pStyle w:val="Bibliography"/>
      </w:pPr>
      <w:r>
        <w:t xml:space="preserve">4.</w:t>
      </w:r>
      <w:r>
        <w:tab/>
      </w:r>
      <w:r>
        <w:t xml:space="preserve">Beischl A, Morozov M, Jungmair M, et al (2026) Evaluating Apple Silicon for Data Processing. In: Proceedings of the 22nd International Workshop on Data Management on New Hardware. ACM, pp 1–10</w:t>
      </w:r>
    </w:p>
    <w:p>
      <w:pPr>
        <w:pStyle w:val="Bibliography"/>
      </w:pPr>
      <w:r>
        <w:t xml:space="preserve">5.</w:t>
      </w:r>
      <w:r>
        <w:tab/>
      </w:r>
      <w:r>
        <w:t xml:space="preserve">Knap M, Czarnul P (2019) Performance evaluation of Unified Memory with prefetching and oversubscription for selected parallel CUDA applications on NVIDIA Pascal and Volta GPUs. The Journal of Supercomputing 75:7625–7645. https://doi.org/10.1007/s11227-019-02966-8</w:t>
      </w:r>
    </w:p>
    <w:p>
      <w:pPr>
        <w:pStyle w:val="Bibliography"/>
      </w:pPr>
      <w:r>
        <w:t xml:space="preserve">6.</w:t>
      </w:r>
      <w:r>
        <w:tab/>
      </w:r>
      <w:r>
        <w:t xml:space="preserve">Jarząbek Ł, Czarnul P (2017) Performance evaluation of unified memory and dynamic parallelism for selected parallel CUDA applications. The Journal of Supercomputing 73:5378–5401. https://doi.org/10.1007/s11227-017-2091-x</w:t>
      </w:r>
    </w:p>
    <w:p>
      <w:pPr>
        <w:pStyle w:val="Bibliography"/>
      </w:pPr>
      <w:r>
        <w:t xml:space="preserve">7.</w:t>
      </w:r>
      <w:r>
        <w:tab/>
      </w:r>
      <w:r>
        <w:t xml:space="preserve">Yu Q, Childers B, Huang L, et al (2020) A quantitative evaluation of unified memory in GPUs. The Journal of Supercomputing 76:2958–2985. https://doi.org/10.1007/s11227-019-03079-y</w:t>
      </w:r>
    </w:p>
    <w:p>
      <w:pPr>
        <w:pStyle w:val="Bibliography"/>
      </w:pPr>
      <w:r>
        <w:t xml:space="preserve">8.</w:t>
      </w:r>
      <w:r>
        <w:tab/>
      </w:r>
      <w:r>
        <w:t xml:space="preserve">Spafford KL, Meredith JS, Lee S, et al (2012) The tradeoffs of fused memory hierarchies in heterogeneous computing architectures. In: Proceedings of the 9th conference on Computing Frontiers. ACM, pp 103–112</w:t>
      </w:r>
    </w:p>
    <w:p>
      <w:pPr>
        <w:pStyle w:val="Bibliography"/>
      </w:pPr>
      <w:r>
        <w:t xml:space="preserve">9.</w:t>
      </w:r>
      <w:r>
        <w:tab/>
      </w:r>
      <w:r>
        <w:t xml:space="preserve">Lumpp F, Patel HD, Bombieri N (2021) A Framework for Optimizing CPU-iGPU Communication on Embedded Platforms. In: 2021 58th ACM/IEEE Design Automation Conference (DAC). IEEE, pp 685–690</w:t>
      </w:r>
    </w:p>
    <w:p>
      <w:pPr>
        <w:pStyle w:val="Bibliography"/>
      </w:pPr>
      <w:r>
        <w:t xml:space="preserve">10.</w:t>
      </w:r>
      <w:r>
        <w:tab/>
      </w:r>
      <w:r>
        <w:t xml:space="preserve">Gómez-Luna J, El Hajj I, Chang L-W, et al (2017) Chai: Collaborative heterogeneous applications for integrated-architectures. In: 2017 IEEE International Symposium on Performance Analysis of Systems and Software (ISPASS). IEEE, pp 43–54</w:t>
      </w:r>
    </w:p>
    <w:p>
      <w:pPr>
        <w:pStyle w:val="Bibliography"/>
      </w:pPr>
      <w:r>
        <w:t xml:space="preserve">11.</w:t>
      </w:r>
      <w:r>
        <w:tab/>
      </w:r>
      <w:r>
        <w:t xml:space="preserve">Sun Y, Gong X, Ziabari AK, et al (2016) Hetero-mark, a benchmark suite for CPU-GPU collaborative computing. In: 2016 IEEE International Symposium on Workload Characterization (IISWC). IEEE, pp 1–10</w:t>
      </w:r>
    </w:p>
    <w:p>
      <w:pPr>
        <w:pStyle w:val="Bibliography"/>
      </w:pPr>
      <w:r>
        <w:t xml:space="preserve">12.</w:t>
      </w:r>
      <w:r>
        <w:tab/>
      </w:r>
      <w:r>
        <w:t xml:space="preserve">Gera P, Kim H, Kim H, et al (2018) Performance Characterisation and Simulation of Intel’s Integrated GPU Architecture. In: 2018 IEEE International Symposium on Performance Analysis of Systems and Software (ISPASS). IEEE, pp 139–148</w:t>
      </w:r>
    </w:p>
    <w:p>
      <w:pPr>
        <w:pStyle w:val="Bibliography"/>
      </w:pPr>
      <w:r>
        <w:t xml:space="preserve">13.</w:t>
      </w:r>
      <w:r>
        <w:tab/>
      </w:r>
      <w:r>
        <w:t xml:space="preserve">Feng D, Xu Z, Wang R, Lin FX (2025) Profiling Apple Silicon Performance for ML Training</w:t>
      </w:r>
    </w:p>
    <w:p>
      <w:pPr>
        <w:pStyle w:val="Bibliography"/>
      </w:pPr>
      <w:r>
        <w:t xml:space="preserve">14.</w:t>
      </w:r>
      <w:r>
        <w:tab/>
      </w:r>
      <w:r>
        <w:t xml:space="preserve">Maczan J (2026) Measuring and Reducing WebGPU Dispatch Overhead for LLM Inference</w:t>
      </w:r>
    </w:p>
    <w:p>
      <w:pPr>
        <w:pStyle w:val="Bibliography"/>
      </w:pPr>
      <w:r>
        <w:t xml:space="preserve">15.</w:t>
      </w:r>
      <w:r>
        <w:tab/>
      </w:r>
      <w:r>
        <w:t xml:space="preserve">Cassagne A, Amiot N, Bouyer M (2025) Dalek: An Unconventional and Energy-Aware Heterogeneous Cluster</w:t>
      </w:r>
    </w:p>
    <w:p>
      <w:pPr>
        <w:pStyle w:val="Bibliography"/>
      </w:pPr>
      <w:r>
        <w:t xml:space="preserve">16.</w:t>
      </w:r>
      <w:r>
        <w:tab/>
      </w:r>
      <w:r>
        <w:t xml:space="preserve">Velicka D, Vysocky O, Riha L (2025) Methodology for GPU Frequency Switching Latency Measurement. In: 2025 IEEE International Parallel and Distributed Processing Symposium Workshops (IPDPSW). IEEE, pp 830–839</w:t>
      </w:r>
    </w:p>
    <w:p>
      <w:pPr>
        <w:pStyle w:val="Bibliography"/>
      </w:pPr>
      <w:r>
        <w:t xml:space="preserve">17.</w:t>
      </w:r>
      <w:r>
        <w:tab/>
      </w:r>
      <w:r>
        <w:t xml:space="preserve">Velicka D, Vysocky O, Yasal O, Riha L (2026) An in-depth study of GPU frequency-scaling latency and its optimization on modern architectures. Future Generation Computer Systems 179:108331. https://doi.org/10.1016/j.future.2025.108331</w:t>
      </w:r>
    </w:p>
    <w:p>
      <w:pPr>
        <w:pStyle w:val="Bibliography"/>
      </w:pPr>
      <w:r>
        <w:t xml:space="preserve">18.</w:t>
      </w:r>
      <w:r>
        <w:tab/>
      </w:r>
      <w:r>
        <w:t xml:space="preserve">Skrzypczak J, Czarnul P (2023) Efficient parallel implementation of crowd simulation using a hybrid CPU+GPU high performance computing system. Simulation Modelling Practice and Theory 123:102691. https://doi.org/10.1016/j.simpat.2022.102691</w:t>
      </w:r>
      <w:r>
        <w:fldChar w:fldCharType="end"/>
      </w:r>
    </w:p>
    <w:sectPr>
      <w:footerReference w:type="default" r:id="rIdFooter1"/>
      <w:pgSz w:w="11906" w:h="16838"/>
      <w:pgMar w:top="1440" w:right="1440" w:bottom="1440" w:left="1440" w:header="708" w:footer="708"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p>
    <w:pP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abstractNum w:abstractNumId="0">
    <w:multiLevelType w:val="hybridMultilevel"/>
    <w:lvl w:ilvl="0">
      <w:start w:val="1"/>
      <w:numFmt w:val="bullet"/>
      <w:lvlText w:val="•"/>
      <w:lvlJc w:val="left"/>
      <w:pPr>
        <w:tabs>
          <w:tab w:val="num" w:pos="720"/>
        </w:tabs>
        <w:ind w:left="720" w:hanging="360"/>
      </w:pPr>
    </w:lvl>
    <w:lvl w:ilvl="1">
      <w:start w:val="1"/>
      <w:numFmt w:val="bullet"/>
      <w:lvlText w:val="–"/>
      <w:lvlJc w:val="left"/>
      <w:pPr>
        <w:tabs>
          <w:tab w:val="num" w:pos="1440"/>
        </w:tabs>
        <w:ind w:left="1440" w:hanging="360"/>
      </w:pPr>
    </w:lvl>
  </w:abstractNum>
  <w:abstractNum w:abstractNumId="1">
    <w:multiLevelType w:val="hybridMultilevel"/>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ocDefaults>
    <w:rPrDefault>
      <w:rPr>
        <w:rFonts w:ascii="Times New Roman" w:hAnsi="Times New Roman" w:cs="Times New Roman" w:eastAsia="Times New Roman"/>
        <w:sz w:val="22"/>
        <w:szCs w:val="22"/>
        <w:lang w:val="en-GB"/>
      </w:rPr>
    </w:rPrDefault>
    <w:pPrDefault>
      <w:pPr>
        <w:spacing w:before="0" w:after="120" w:line="240" w:lineRule="auto"/>
      </w:pPr>
    </w:pPrDefault>
  </w:docDefaults>
  <w:style w:type="paragraph" w:styleId="Normal" w:default="1">
    <w:name w:val="Normal"/>
    <w:qFormat/>
    <w:pPr>
      <w:spacing w:before="0" w:after="120" w:line="240" w:lineRule="auto"/>
    </w:pPr>
    <w:rPr>
      <w:rFonts w:ascii="Times New Roman" w:hAnsi="Times New Roman" w:cs="Times New Roman" w:eastAsia="Times New Roman"/>
      <w:sz w:val="22"/>
      <w:szCs w:val="22"/>
    </w:rPr>
  </w:style>
  <w:style w:type="paragraph" w:styleId="Title">
    <w:name w:val="Title"/>
    <w:basedOn w:val="Normal"/>
    <w:next w:val="Normal"/>
    <w:qFormat/>
    <w:pPr>
      <w:keepNext/>
      <w:spacing w:before="0" w:after="240" w:line="240" w:lineRule="auto"/>
    </w:pPr>
    <w:rPr>
      <w:b/>
      <w:bCs/>
      <w:sz w:val="32"/>
      <w:szCs w:val="32"/>
    </w:rPr>
  </w:style>
  <w:style w:type="paragraph" w:styleId="Author">
    <w:name w:val="Author"/>
    <w:basedOn w:val="Normal"/>
    <w:next w:val="Normal"/>
    <w:qFormat/>
    <w:pPr>
      <w:spacing w:before="0" w:after="60" w:line="240" w:lineRule="auto"/>
    </w:pPr>
    <w:rPr>
      <w:sz w:val="24"/>
      <w:szCs w:val="24"/>
    </w:rPr>
  </w:style>
  <w:style w:type="paragraph" w:styleId="Affiliation">
    <w:name w:val="Affiliation"/>
    <w:basedOn w:val="Normal"/>
    <w:next w:val="Normal"/>
    <w:qFormat/>
    <w:pPr>
      <w:spacing w:before="0" w:after="60" w:line="240" w:lineRule="auto"/>
    </w:pPr>
    <w:rPr>
      <w:i/>
      <w:iCs/>
      <w:sz w:val="20"/>
      <w:szCs w:val="20"/>
    </w:rPr>
  </w:style>
  <w:style w:type="paragraph" w:styleId="Abstract">
    <w:name w:val="Abstract"/>
    <w:basedOn w:val="Normal"/>
    <w:next w:val="Normal"/>
    <w:qFormat/>
    <w:pPr>
      <w:spacing w:before="0" w:after="120" w:line="240" w:lineRule="auto"/>
      <w:ind w:left="567" w:right="567"/>
    </w:pPr>
    <w:rPr>
      <w:sz w:val="21"/>
      <w:szCs w:val="21"/>
    </w:rPr>
  </w:style>
  <w:style w:type="paragraph" w:styleId="Keywords">
    <w:name w:val="Keywords"/>
    <w:basedOn w:val="Normal"/>
    <w:next w:val="Normal"/>
    <w:qFormat/>
    <w:pPr>
      <w:spacing w:before="0" w:after="240" w:line="240" w:lineRule="auto"/>
      <w:ind w:left="567" w:right="567"/>
    </w:pPr>
    <w:rPr>
      <w:sz w:val="21"/>
      <w:szCs w:val="21"/>
    </w:rPr>
  </w:style>
  <w:style w:type="paragraph" w:styleId="Heading1">
    <w:name w:val="heading 1"/>
    <w:basedOn w:val="Normal"/>
    <w:next w:val="Normal"/>
    <w:qFormat/>
    <w:pPr>
      <w:keepNext/>
      <w:keepLines/>
      <w:spacing w:before="360" w:after="120" w:line="240" w:lineRule="auto"/>
      <w:outlineLvl w:val="0"/>
    </w:pPr>
    <w:rPr>
      <w:b/>
      <w:bCs/>
      <w:sz w:val="26"/>
      <w:szCs w:val="26"/>
    </w:rPr>
  </w:style>
  <w:style w:type="paragraph" w:styleId="Heading2">
    <w:name w:val="heading 2"/>
    <w:basedOn w:val="Normal"/>
    <w:next w:val="Normal"/>
    <w:qFormat/>
    <w:pPr>
      <w:keepNext/>
      <w:keepLines/>
      <w:spacing w:before="240" w:after="120" w:line="240" w:lineRule="auto"/>
      <w:outlineLvl w:val="1"/>
    </w:pPr>
    <w:rPr>
      <w:b/>
      <w:bCs/>
      <w:sz w:val="23"/>
      <w:szCs w:val="23"/>
    </w:rPr>
  </w:style>
  <w:style w:type="paragraph" w:styleId="Heading3">
    <w:name w:val="heading 3"/>
    <w:basedOn w:val="Normal"/>
    <w:next w:val="Normal"/>
    <w:qFormat/>
    <w:pPr>
      <w:keepNext/>
      <w:keepLines/>
      <w:spacing w:before="200" w:after="80" w:line="240" w:lineRule="auto"/>
      <w:outlineLvl w:val="2"/>
    </w:pPr>
    <w:rPr>
      <w:b/>
      <w:bCs/>
      <w:i/>
      <w:iCs/>
      <w:sz w:val="22"/>
      <w:szCs w:val="22"/>
    </w:rPr>
  </w:style>
  <w:style w:type="paragraph" w:styleId="ListParagraph">
    <w:name w:val="List Paragraph"/>
    <w:basedOn w:val="Normal"/>
    <w:next w:val="Normal"/>
    <w:qFormat/>
    <w:pPr>
      <w:spacing w:before="0" w:after="60" w:line="240" w:lineRule="auto"/>
      <w:contextualSpacing/>
    </w:pPr>
  </w:style>
  <w:style w:type="paragraph" w:styleId="Caption">
    <w:name w:val="caption"/>
    <w:basedOn w:val="Normal"/>
    <w:next w:val="Normal"/>
    <w:qFormat/>
    <w:pPr>
      <w:keepNext/>
      <w:spacing w:before="120" w:after="60" w:line="240" w:lineRule="auto"/>
    </w:pPr>
    <w:rPr>
      <w:sz w:val="20"/>
      <w:szCs w:val="20"/>
    </w:rPr>
  </w:style>
  <w:style w:type="paragraph" w:styleId="FigureCaption">
    <w:name w:val="Figure Caption"/>
    <w:basedOn w:val="Normal"/>
    <w:next w:val="Normal"/>
    <w:qFormat/>
    <w:pPr>
      <w:spacing w:before="60" w:after="240" w:line="240" w:lineRule="auto"/>
    </w:pPr>
    <w:rPr>
      <w:sz w:val="20"/>
      <w:szCs w:val="20"/>
    </w:rPr>
  </w:style>
  <w:style w:type="paragraph" w:styleId="Figure">
    <w:name w:val="Figure"/>
    <w:basedOn w:val="Normal"/>
    <w:next w:val="Normal"/>
    <w:qFormat/>
    <w:pPr>
      <w:keepNext/>
      <w:spacing w:before="120" w:after="0" w:line="240" w:lineRule="auto"/>
      <w:jc w:val="center"/>
    </w:pPr>
  </w:style>
  <w:style w:type="paragraph" w:styleId="TableCell">
    <w:name w:val="Table Cell"/>
    <w:basedOn w:val="Normal"/>
    <w:next w:val="Normal"/>
    <w:qFormat/>
    <w:pPr>
      <w:spacing w:before="20" w:after="20" w:line="240" w:lineRule="auto"/>
    </w:pPr>
    <w:rPr>
      <w:sz w:val="19"/>
      <w:szCs w:val="19"/>
    </w:rPr>
  </w:style>
  <w:style w:type="paragraph" w:styleId="Spacer">
    <w:name w:val="Spacer"/>
    <w:basedOn w:val="Normal"/>
    <w:next w:val="Normal"/>
    <w:qFormat/>
    <w:pPr>
      <w:spacing w:before="0" w:after="0" w:line="240" w:lineRule="auto"/>
    </w:pPr>
    <w:rPr>
      <w:sz w:val="8"/>
      <w:szCs w:val="8"/>
    </w:rPr>
  </w:style>
  <w:style w:type="paragraph" w:styleId="Code">
    <w:name w:val="Code"/>
    <w:basedOn w:val="Normal"/>
    <w:next w:val="Normal"/>
    <w:qFormat/>
    <w:pPr>
      <w:spacing w:before="0" w:after="0" w:line="240" w:lineRule="auto"/>
      <w:ind w:left="567"/>
      <w:contextualSpacing/>
    </w:pPr>
    <w:rPr>
      <w:rFonts w:ascii="Courier New" w:hAnsi="Courier New" w:cs="Courier New" w:eastAsia="Courier New"/>
      <w:sz w:val="19"/>
      <w:szCs w:val="19"/>
    </w:rPr>
  </w:style>
  <w:style w:type="paragraph" w:styleId="Bibliography">
    <w:name w:val="Bibliography"/>
    <w:basedOn w:val="Normal"/>
    <w:next w:val="Normal"/>
    <w:qFormat/>
    <w:pPr>
      <w:spacing w:before="0" w:after="60" w:line="240" w:lineRule="auto"/>
      <w:ind w:left="360" w:hanging="360"/>
    </w:pPr>
    <w:rPr>
      <w:sz w:val="20"/>
      <w:szCs w:val="20"/>
    </w:rPr>
  </w:style>
  <w:style w:type="character" w:styleId="CodeChar">
    <w:name w:val="Code Char"/>
    <w:qFormat/>
    <w:rPr>
      <w:rFonts w:ascii="Courier New" w:hAnsi="Courier New" w:cs="Courier New" w:eastAsia="Courier New"/>
      <w:sz w:val="20"/>
      <w:szCs w:val="20"/>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Fig1" Type="http://schemas.openxmlformats.org/officeDocument/2006/relationships/image" Target="media/fig1_roundtrip_vs_payload.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shared CPU–GPU memory pay off? Fine-grained round trips on an Apple M5 and PCIe GPUs, measured in a real-time agent simulation</dc:title>
  <dc:creator>Jos Timanta Tarigan</dc:creator>
  <dcterms:created xsi:type="dcterms:W3CDTF">2026-10-23T04:56:45Z</dcterms:created>
  <dcterms:modified xsi:type="dcterms:W3CDTF">2026-10-23T04:56:45Z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id="407a6f5a"/&gt;&lt;style id="http://www.zotero.org/styles/springer-basic-brackets"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