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and launch condition we tried (Sect. 12). </w:t>
      </w:r>
      <w:r>
        <w:rPr>
          <w:i/>
          <w:iCs/>
        </w:rPr>
        <w:t xml:space="preserve">(evidence in hand; the shift's cause is still open, 2026-10-21)</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Beischl26 measures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Wahlgren25 characterizes coherence overhead on MI300A's unified physical memory, and Spafford12 makes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our target journal (Jarzabek17, Knap19, Yu20). Tightly coupled nodes remove the migration: Grace Hopper through a coherent link and one page table (Schieffer24), MI300A and Apple's SoCs through one physical memory (Wahlgren25, Huebner25, Beischl26).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(Lumpp21 on embedded iGPUs; Spafford12).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(GomezLuna17, Sun16) define the fine-grained CPU–GPU patterns, but they target integrated architectures through OpenCL, CUDA or C++ AMP.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(Feng25, Huebner25, Beischl26) look at ML training, HPC kernels and databases.</w:t>
      </w:r>
    </w:p>
    <w:p>
      <w:pPr>
        <w:pStyle w:val="ListParagraph"/>
        <w:numPr>
          <w:ilvl w:val="1"/>
          <w:numId w:val="1"/>
        </w:numPr>
      </w:pPr>
      <w:r>
        <w:t xml:space="preserve">Feng25 already points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Maczan26 separates the marginal cost of a dispatch (24–36 µs Vulkan, 32–71 µs Metal) from the synchronization that a naive single-op timing folds in (450 of 497 µs). Cassagne25 reports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Velicka25 measures DVFS switching latency on data-centre NVIDIA GPUs. We found no study of idle-state exit latency, on Apple or NVIDIA. So Sect. 5/Sect.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(Skrzypczak23: load balancing over 10k–1M agents, throughput-oriented). Real-time swarms with CPU-side decisions inside a 16.7 ms frame are not studied there.</w:t>
      </w:r>
    </w:p>
    <w:p>
      <w:pPr>
        <w:pStyle w:val="Normal"/>
      </w:pPr>
      <w:r>
        <w:rPr>
          <w:b/>
          <w:bCs/>
        </w:rPr>
        <w:t xml:space="preserve">Gap (to state carefully, "we are not aware of"):</w:t>
      </w:r>
      <w:r>
        <w:t xml:space="preserve"> this search found no peer-reviewed measurement of fine-grained, multiple-per-frame CPU–GPU round trips that compares a unified-memory SoC with PCIe GPUs on identical algorithms, ties the result to a game workload, or studies ReBAR's effect on the CPU→GPU write path. ReBAR coverage found so far is consumer game benchmarks only (TechPowerUp, Guru3D, PCGH), which is not citable as evidence.</w:t>
      </w:r>
    </w:p>
    <w:p>
      <w:pPr>
        <w:pStyle w:val="Heading1"/>
        <w:keepNext/>
      </w:pPr>
      <w:r>
        <w:t xml:space="preserve">3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 Regenerate with </w:t>
      </w:r>
      <w:r>
        <w:rPr>
          <w:rStyle w:val="CodeChar"/>
        </w:rPr>
        <w:t xml:space="preserve">python3 tools/analysis/paper_fig1.py</w:t>
      </w:r>
      <w:r>
        <w:t xml:space="preserve"> (reads </w:t>
      </w:r>
      <w:r>
        <w:rPr>
          <w:rStyle w:val="CodeChar"/>
        </w:rPr>
        <w:t xml:space="preserve">results/m1_report*/summary.csv</w:t>
      </w:r>
      <w:r>
        <w:t xml:space="preserve"> and </w:t>
      </w:r>
      <w:r>
        <w:rPr>
          <w:rStyle w:val="CodeChar"/>
        </w:rPr>
        <w:t xml:space="preserve">results/m1_crossover/crossover.csv</w:t>
      </w:r>
      <w:r>
        <w:t xml:space="preserve">).</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Normal"/>
      </w:pPr>
      <w:r>
        <w:rPr>
          <w:i/>
          <w:iCs/>
        </w:rPr>
        <w:t xml:space="preserve">[Written after the extension series on both platforms (H1′, predictions of 2026-10-13 in the protocol).]</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4"/>
        </w:numPr>
      </w:pPr>
      <w:r>
        <w:t xml:space="preserve">The GPU is busy between hand-offs (pass A and independent work), which is the reason for the hot-GPU extension.</w:t>
      </w:r>
    </w:p>
    <w:p>
      <w:pPr>
        <w:pStyle w:val="ListParagraph"/>
        <w:numPr>
          <w:ilvl w:val="0"/>
          <w:numId w:val="4"/>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4"/>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Code"/>
      </w:pPr>
      <w:r>
        <w:t xml:space="preserve">T_frame(N, K, S) ≈ a_gpu·N + b_gpu + a_cpu·N + b_cpu</w:t>
      </w:r>
    </w:p>
    <w:p>
      <w:pPr>
        <w:pStyle w:val="Code"/>
      </w:pPr>
      <w:r>
        <w:t xml:space="preserve">                   + K · ( T_sync + (P_g2c(N) + P_c2g(N)) / BW_eff(S) )</w:t>
      </w:r>
    </w:p>
    <w:p>
      <w:pPr>
        <w:pStyle w:val="Code"/>
      </w:pPr>
      <w:r>
        <w:t xml:space="preserve">                   + [S1] K · T_copy_setup</w:t>
      </w:r>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(docs/05 Sect. 5), one round trip moves: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5"/>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7"/>
        </w:numPr>
      </w:pPr>
      <w:r>
        <w:rPr>
          <w:b/>
          <w:bCs/>
        </w:rPr>
        <w:t xml:space="preserve">A persistent shift we have not explained.</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11 µs at 4 KiB, and 84–140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and the launch context (a terminal application, as for the accepted series, versus a detached terminal-session service: four alternating runs each, spin cells +109–243 vs +111–262 µs). One process-level clue: the benchmark spent only 68–90 % of its CPU time on the performance cores, and across eight runs the share correlates with the empty spin round trip (r = −0.89; the 90 % run measured 299 µs against 434–471 µs). This is consistent with the spinning thread being placed on efficiency cores part of the time, but whole-process counters cannot show it. Consequences: the accepted M5 idle numbers (Sect. 5) describe a machine state that we can no longer reproduce, and whether that state or the present one is typical of the platform is open.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No M5 extension series is measured until a two-minute reference check of the empty, </w:t>
      </w:r>
      <w:r>
        <w:rPr>
          <w:rStyle w:val="CodeChar"/>
        </w:rPr>
        <w:t xml:space="preserve">s1_copy</w:t>
      </w:r>
      <w:r>
        <w:t xml:space="preserve"> and </w:t>
      </w:r>
      <w:r>
        <w:rPr>
          <w:rStyle w:val="CodeChar"/>
        </w:rPr>
        <w:t xml:space="preserve">s2_direct</w:t>
      </w:r>
      <w:r>
        <w:t xml:space="preserve"> cells reproduces the accepted levels.</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lvl w:ilvl="1">
      <w:start w:val="1"/>
      <w:numFmt w:val="bullet"/>
      <w:lvlText w:val="–"/>
      <w:lvlJc w:val="left"/>
      <w:pPr>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spacing w:before="0" w:after="240" w:line="240" w:lineRule="auto"/>
      <w:keepNext/>
    </w:pPr>
    <w:rPr>
      <w:sz w:val="32"/>
      <w:szCs w:val="32"/>
      <w:b/>
      <w:bCs/>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sz w:val="20"/>
      <w:szCs w:val="20"/>
      <w:i/>
      <w:iCs/>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spacing w:before="360" w:after="120" w:line="240" w:lineRule="auto"/>
      <w:keepNext/>
      <w:keepLines/>
      <w:outlineLvl w:val="0"/>
    </w:pPr>
    <w:rPr>
      <w:sz w:val="26"/>
      <w:szCs w:val="26"/>
      <w:b/>
      <w:bCs/>
    </w:rPr>
  </w:style>
  <w:style w:type="paragraph" w:styleId="Heading2">
    <w:name w:val="heading 2"/>
    <w:basedOn w:val="Normal"/>
    <w:next w:val="Normal"/>
    <w:qFormat/>
    <w:pPr>
      <w:spacing w:before="240" w:after="120" w:line="240" w:lineRule="auto"/>
      <w:keepNext/>
      <w:keepLines/>
      <w:outlineLvl w:val="1"/>
    </w:pPr>
    <w:rPr>
      <w:sz w:val="23"/>
      <w:szCs w:val="23"/>
      <w:b/>
      <w:bCs/>
    </w:rPr>
  </w:style>
  <w:style w:type="paragraph" w:styleId="Heading3">
    <w:name w:val="heading 3"/>
    <w:basedOn w:val="Normal"/>
    <w:next w:val="Normal"/>
    <w:qFormat/>
    <w:pPr>
      <w:spacing w:before="200" w:after="80" w:line="240" w:lineRule="auto"/>
      <w:keepNext/>
      <w:keepLines/>
      <w:outlineLvl w:val="2"/>
    </w:pPr>
    <w:rPr>
      <w:sz w:val="22"/>
      <w:szCs w:val="22"/>
      <w:b/>
      <w:bCs/>
      <w:i/>
      <w:iCs/>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spacing w:before="120" w:after="60" w:line="240" w:lineRule="auto"/>
      <w:keepNext/>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spacing w:before="120" w:after="0" w:line="240" w:lineRule="auto"/>
      <w:keepNext/>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2026-10-21T13:56:38Z</dcterms:created>
  <dcterms:modified xsi:type="dcterms:W3CDTF">2026-10-21T13:56:38Z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