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launch and scheduling condition we tried, until the processor clock explained it: on an otherwise idle laptop a lone spin-waiting thread runs at 2.7 GHz, beside a two-thread background load at 4.3–4.5 GHz, and the load speeds spin waits but slows block waits (Sect. 12). </w:t>
      </w:r>
      <w:r>
        <w:rPr>
          <w:i/>
          <w:iCs/>
        </w:rPr>
        <w:t xml:space="preserve">(evidence in hand, clock trace 2026-10-25; the protocol's response is open)</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{"citationID":"48378a89","properties":{"formattedCitation":"[3, 4]","plainCitation":"[3, 4]","noteIndex":0},"citationItems":[{"id":"B5Q9E3C9","uris":["http://zotero.org/users/5591478/items/B5Q9E3C9"],"itemData":{"id":"B5Q9E3C9","type":"paper-conference","container-title":"2025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 look at HPC kernels and databases.</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overhead is known to be tens of µs, but measured one way.</w:t>
      </w:r>
      <w:r>
        <w:t xml:space="preserve"> On Apple Silicon, a Metal kernel costs tens of µs to encode and dispatch before it starts </w:t>
      </w:r>
      <w:r>
        <w:fldChar w:fldCharType="begin"/>
      </w:r>
      <w:r>
        <w:instrText xml:space="preserve"> ADDIN ZOTERO_ITEM CSL_CITATION {"citationID":"d369a427","properties":{"formattedCitation":"[4]","plainCitation":"[4]","noteIndex":0},"citationItems":[{"id":"9RHUAUDT","uris":["http://zotero.org/users/5591478/items/9RHUAUDT"],"itemData":{"id":"9RHUAUDT","type":"paper-conference","collection-title":"DaMoN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Such figures cover the CPU→GPU direction only. Our round trip adds what they leave out: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{"citationID":"c7ce173e","properties":{"formattedCitation":"[13, 14]","plainCitation":"[13, 14]","noteIndex":0},"citationItems":[{"id":"JH7NE5WJ","uris":["http://zotero.org/users/5591478/items/JH7NE5WJ"],"itemData":{"id":"JH7NE5WJ","type":"paper-conference","container-title":"2025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[13, 14]</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{"citationID":"4d083ff2","properties":{"formattedCitation":"[15]","plainCitation":"[15]","noteIndex":0},"citationItems":[{"id":"HHZZZEFU","uris":["http://zotero.org/users/5591478/items/HHZZZEFU"],"itemData":{"id":"HHZZZEFU","type":"article-journal","container-title":"Simulation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[15]</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shared physical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of memory shared by the CPU and GPU (Apple's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traced to the processor clock on an idle machine.</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13 µs at 4 KiB, and 62–140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the launch context (a terminal application, as for the accepted series, versus a detached terminal-session service: four alternating runs each, spin cells +109–243 vs +111–262 µs); and the benchmark thread's scheduling class and priority (a user-interactive QoS request plus a base priority of 47 against the default 31, alternated with the default over eight runs: the two agree within 12 µs on 16 of 20 cells, and the other four follow the run order, not the flag). What did move the cells was the clock. In that last series the first three runs executed at 2.2 GHz averaged over the process (exit resource counters: performance cores 2.6–2.8 GHz, efficiency cores 1.4–1.5 GHz) and showed the usual +170–290 µs. From the fourth run on, a macOS housekeeping process (iCloud file sync after a reboot, about half a core for four minutes) raised the load average from 1–2 to about 4 and the process clock to 2.8–3.2 GHz, and the spin cells sped up without any change on our side: the empty cells fell to the accepted levels or below (chained, 101–130 µs in the two fastest runs against 249), the </w:t>
      </w:r>
      <w:r>
        <w:rPr>
          <w:rStyle w:val="CodeChar"/>
        </w:rPr>
        <w:t xml:space="preserve">s2_direct</w:t>
      </w:r>
      <w:r>
        <w:t xml:space="preserve"> 4 KiB cells reached them in the last runs (210–214 against 201), and the </w:t>
      </w:r>
      <w:r>
        <w:rPr>
          <w:rStyle w:val="CodeChar"/>
        </w:rPr>
        <w:t xml:space="preserve">s1_copy</w:t>
      </w:r>
      <w:r>
        <w:t xml:space="preserve"> 4 KiB cells closed only part of the gap. Across the eight runs the spin round trips correlate with the clock (r = −0.81 to −0.95 for five of the six empty and 4 KiB cells, −0.58 for the sixth) and only weakly with the share of CPU time spent on performance cores (−0.52 to +0.16 for the same cells), which an earlier series had suggested as the cause. The 1 MiB spin cells stayed +180–230 µs in all but one run of that series. A per-thread view came from root-level power sampling (</w:t>
      </w:r>
      <w:r>
        <w:rPr>
          <w:rStyle w:val="CodeChar"/>
        </w:rPr>
        <w:t xml:space="preserve">powermetrics</w:t>
      </w:r>
      <w:r>
        <w:t xml:space="preserve">, CPU and GPU samplers, 250 ms) over four alternating runs on 2026-10-25: two with the benchmark alone and two beside a defined companion load of two busy threads. Alone, the spin-waiting thread migrated across the four performance cores, each about 30 % active, with the cluster at 2.7 GHz; the spin cells were again +65–268 µs slower than the accepted series. Beside the load, the cluster ran at 4.3–4.5 GHz and the spin cells returned to within 34 µs of the accepted series, the 1 MiB cells included (+4–20 µs), except three 4 KiB cells at +80–88 µs. So the 1 MiB component seen at 2.8–3.2 GHz is also a clock effect, at a higher clock. The GPU sat in its lowest performance state (338 MHz) in all four runs, so it does not separate the two conditions. The load had the opposite effect on block-wait cells: +85–96 µs at 4 KiB and +6–18 µs at 1 MiB, where they had matched or beaten the accepted series alone. The process-level counters are a weaker guide than the sampled cluster clock: they read 2.8 GHz for the slow solo runs of 2026-10-25, about the process clock at which the 2026-10-22 runs had already recovered. Our reading: on an otherwise idle M5 the governor leaves a lone spin-waiting thread at a low clock, and another process's load raises the clock that the benchmark thread then shares. Neither condition reproduces the accepted series as a whole (its 4 KiB block-wait cells match the solo runs, its spin-wait and 1 MiB block-wait cells the loaded ones), consistent with its having run under an uncontrolled background load: the chassis was at thermal state "fair", busier than during any of our checks. Consequences: the M5's spin- and block-wait numbers (Sect. 5) depend on the CPU-side load, in opposite directions, and a quiet machine is not the fastest machine for spin waits.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solo block-wait level held. Three responses are open: re-measure the reference with the machine idle and report the load dependence, make the defined companion load part of the microbenchmark condition (closer to the game, whose simulation thread never spins alone), or measure both as named conditions. No M5 extension series is measured before that decision.</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 "Idle" also cuts both ways on a laptop-class SoC: a lone busy thread on a quiet machine can run at a lower clock than the same thread beside a background load, so single-thread latencies need the effective clock recorded next to them.</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(in hindsight also a sign that the machine was not idle then, Sect. 12.2 item 5),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 funding was received for this work. / to state]</w:t>
      </w:r>
    </w:p>
    <w:p>
      <w:pPr>
        <w:pStyle w:val="Normal"/>
      </w:pPr>
      <w:r>
        <w:rPr>
          <w:b/>
          <w:bCs/>
        </w:rPr>
        <w:t xml:space="preserve">Competing interests. </w:t>
      </w:r>
      <w:r>
        <w:t xml:space="preserve">[The author declares no competing interests. / to state]</w:t>
      </w:r>
    </w:p>
    <w:p>
      <w:pPr>
        <w:pStyle w:val="Normal"/>
      </w:pPr>
      <w:r>
        <w:rPr>
          <w:b/>
          <w:bCs/>
        </w:rPr>
        <w:t xml:space="preserve">Ethics approval and consent to participate. </w:t>
      </w:r>
      <w:r>
        <w:t xml:space="preserve">Not applicable: the study involves no human or animal participants.</w:t>
      </w:r>
    </w:p>
    <w:p>
      <w:pPr>
        <w:pStyle w:val="Normal"/>
      </w:pPr>
      <w:r>
        <w:rPr>
          <w:b/>
          <w:bCs/>
        </w:rPr>
        <w:t xml:space="preserve">Data availability. </w:t>
      </w:r>
      <w:r>
        <w:t xml:space="preserve">The measured series behind every number in this paper are in the public repository https://github.com/jttarigan/Lightbound under </w:t>
      </w:r>
      <w:r>
        <w:rPr>
          <w:rStyle w:val="CodeChar"/>
        </w:rPr>
        <w:t xml:space="preserve">results/</w:t>
      </w:r>
      <w:r>
        <w:t xml:space="preserve">: the per-iteration CSV files of the microbenchmark with their environment headers, the pooled summaries and reports (</w:t>
      </w:r>
      <w:r>
        <w:rPr>
          <w:rStyle w:val="CodeChar"/>
        </w:rPr>
        <w:t xml:space="preserve">results/m1_report</w:t>
      </w:r>
      <w:r>
        <w:t xml:space="preserve">, </w:t>
      </w:r>
      <w:r>
        <w:rPr>
          <w:rStyle w:val="CodeChar"/>
        </w:rPr>
        <w:t xml:space="preserve">results/m1_report_rebar-off</w:t>
      </w:r>
      <w:r>
        <w:t xml:space="preserve">), the crossover tables (</w:t>
      </w:r>
      <w:r>
        <w:rPr>
          <w:rStyle w:val="CodeChar"/>
        </w:rPr>
        <w:t xml:space="preserve">results/m1_crossover</w:t>
      </w:r>
      <w:r>
        <w:t xml:space="preserve">) and the diagnostic checks of Sect. 12.2 (</w:t>
      </w:r>
      <w:r>
        <w:rPr>
          <w:rStyle w:val="CodeChar"/>
        </w:rPr>
        <w:t xml:space="preserve">results/m1_mac_20w_check</w:t>
      </w:r>
      <w:r>
        <w:t xml:space="preserve">, </w:t>
      </w:r>
      <w:r>
        <w:rPr>
          <w:rStyle w:val="CodeChar"/>
        </w:rPr>
        <w:t xml:space="preserve">results/m1_mac_40w_check</w:t>
      </w:r>
      <w:r>
        <w:t xml:space="preserve">). [An archived snapshot with a DOI (Zenodo) at submission: to decide.]</w:t>
      </w:r>
    </w:p>
    <w:p>
      <w:pPr>
        <w:pStyle w:val="Normal"/>
      </w:pPr>
      <w:r>
        <w:rPr>
          <w:b/>
          <w:bCs/>
        </w:rPr>
        <w:t xml:space="preserve">Code availability. </w:t>
      </w:r>
      <w:r>
        <w:t xml:space="preserve">The benchmark, the simulation, the shader sources, the analysis scripts (</w:t>
      </w:r>
      <w:r>
        <w:rPr>
          <w:rStyle w:val="CodeChar"/>
        </w:rPr>
        <w:t xml:space="preserve">tools/analysis/</w:t>
      </w:r>
      <w:r>
        <w:t xml:space="preserve">) and the build files are in the same repository; the commit measured for each series is recorded in that series' report, and the macOS and Windows binaries are built from one source tree with CMake (Sect. 4). [Licence: the repository has no licence file yet; to choose before submission.]</w:t>
      </w:r>
    </w:p>
    <w:p>
      <w:pPr>
        <w:pStyle w:val="Normal"/>
      </w:pPr>
      <w:r>
        <w:rPr>
          <w:b/>
          <w:bCs/>
        </w:rPr>
        <w:t xml:space="preserve">Author contributions. </w:t>
      </w:r>
      <w:r>
        <w:t xml:space="preserve">Single author. [Entered in the submission system.]</w:t>
      </w:r>
    </w:p>
    <w:p>
      <w:pPr>
        <w:pStyle w:val="Normal"/>
      </w:pPr>
      <w:r>
        <w:rPr>
          <w:b/>
          <w:bCs/>
        </w:rPr>
        <w:t xml:space="preserve">Use of AI tools. </w:t>
      </w:r>
      <w:r>
        <w:t xml:space="preserve">[Wording = the user's decision; Springer Nature asks for use beyond copy-editing to be declared in the Methods section. Proposed text, to move into Sect. 4 if adopted: "The author used an AI assistant (Claude, Anthropic) to draft code, analysis scripts and manuscript text under the author's direction. The author designed the study, fixed the hypotheses in advance, ran every measurement, checked every number against the recorded data and takes responsibility for the content."]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 In: 2025 IEEE International Parallel and Distributed Processing Symposium Workshops (IPDPSW). IEEE, pp 45–54</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14.</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15.</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2026-10-26T02:22:44Z</dcterms:created>
  <dcterms:modified xsi:type="dcterms:W3CDTF">2026-10-26T02:22:44Z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