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launch and scheduling condition we tried, until the processor clock explained most of it: on an otherwise idle laptop a lone spin-waiting thread runs slower than the same thread beside a background load (Sect. 12). </w:t>
      </w:r>
      <w:r>
        <w:rPr>
          <w:i/>
          <w:iCs/>
        </w:rPr>
        <w:t xml:space="preserve">(evidence in hand; a per-thread clock trace and the protocol's response are open, 2026-10-23)</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shared physical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of memory shared by the CPU and GPU (Apple's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Normal"/>
        <w:jc w:val="left"/>
      </w:pPr>
      <m:oMathPara>
        <m:oMathParaPr>
          <m:jc m:val="left"/>
        </m:oMathParaPr>
        <m:oMath>
          <m:sSub>
            <m:e>
              <m:r>
                <m:t xml:space="preserve">T</m:t>
              </m:r>
            </m:e>
            <m:sub>
              <m:r>
                <m:rPr>
                  <m:sty m:val="p"/>
                </m:rPr>
                <m:t xml:space="preserve">frame</m:t>
              </m:r>
            </m:sub>
          </m:sSub>
          <m:d>
            <m:e>
              <m:r>
                <m:t xml:space="preserve">N, K, S</m:t>
              </m:r>
            </m:e>
          </m:d>
          <m:r>
            <m:t xml:space="preserve"> ≈ </m:t>
          </m:r>
          <m:sSub>
            <m:e>
              <m:r>
                <m:t xml:space="preserve">a</m:t>
              </m:r>
            </m:e>
            <m:sub>
              <m:r>
                <m:rPr>
                  <m:sty m:val="p"/>
                </m:rPr>
                <m:t xml:space="preserve">gpu</m:t>
              </m:r>
            </m:sub>
          </m:sSub>
          <m:r>
            <m:t xml:space="preserve"> · N + </m:t>
          </m:r>
          <m:sSub>
            <m:e>
              <m:r>
                <m:t xml:space="preserve">b</m:t>
              </m:r>
            </m:e>
            <m:sub>
              <m:r>
                <m:rPr>
                  <m:sty m:val="p"/>
                </m:rPr>
                <m:t xml:space="preserve">gpu</m:t>
              </m:r>
            </m:sub>
          </m:sSub>
          <m:r>
            <m:t xml:space="preserve"> + </m:t>
          </m:r>
          <m:sSub>
            <m:e>
              <m:r>
                <m:t xml:space="preserve">a</m:t>
              </m:r>
            </m:e>
            <m:sub>
              <m:r>
                <m:rPr>
                  <m:sty m:val="p"/>
                </m:rPr>
                <m:t xml:space="preserve">cpu</m:t>
              </m:r>
            </m:sub>
          </m:sSub>
          <m:r>
            <m:t xml:space="preserve"> · N + </m:t>
          </m:r>
          <m:sSub>
            <m:e>
              <m:r>
                <m:t xml:space="preserve">b</m:t>
              </m:r>
            </m:e>
            <m:sub>
              <m:r>
                <m:rPr>
                  <m:sty m:val="p"/>
                </m:rPr>
                <m:t xml:space="preserve">cpu</m:t>
              </m:r>
            </m:sub>
          </m:sSub>
        </m:oMath>
        <m:oMath>
          <m:r>
            <m:t xml:space="preserve">+ K · </m:t>
          </m:r>
          <m:d>
            <m:e>
              <m:sSub>
                <m:e>
                  <m:r>
                    <m:t xml:space="preserve">T</m:t>
                  </m:r>
                </m:e>
                <m:sub>
                  <m:r>
                    <m:rPr>
                      <m:sty m:val="p"/>
                    </m:rPr>
                    <m:t xml:space="preserve">sync</m:t>
                  </m:r>
                </m:sub>
              </m:sSub>
              <m:r>
                <m:t xml:space="preserve"> + </m:t>
              </m:r>
              <m:f>
                <m:num>
                  <m:sSub>
                    <m:e>
                      <m:r>
                        <m:t xml:space="preserve">P</m:t>
                      </m:r>
                    </m:e>
                    <m:sub>
                      <m:r>
                        <m:rPr>
                          <m:sty m:val="p"/>
                        </m:rPr>
                        <m:t xml:space="preserve">g2c</m:t>
                      </m:r>
                    </m:sub>
                  </m:sSub>
                  <m:d>
                    <m:e>
                      <m:r>
                        <m:t xml:space="preserve">N</m:t>
                      </m:r>
                    </m:e>
                  </m:d>
                  <m:r>
                    <m:t xml:space="preserve"> + </m:t>
                  </m:r>
                  <m:sSub>
                    <m:e>
                      <m:r>
                        <m:t xml:space="preserve">P</m:t>
                      </m:r>
                    </m:e>
                    <m:sub>
                      <m:r>
                        <m:rPr>
                          <m:sty m:val="p"/>
                        </m:rPr>
                        <m:t xml:space="preserve">c2g</m:t>
                      </m:r>
                    </m:sub>
                  </m:sSub>
                  <m:d>
                    <m:e>
                      <m:r>
                        <m:t xml:space="preserve">N</m:t>
                      </m:r>
                    </m:e>
                  </m:d>
                </m:num>
                <m:den>
                  <m:sSub>
                    <m:e>
                      <m:r>
                        <m:t xml:space="preserve">BW</m:t>
                      </m:r>
                    </m:e>
                    <m:sub>
                      <m:r>
                        <m:rPr>
                          <m:sty m:val="p"/>
                        </m:rPr>
                        <m:t xml:space="preserve">eff</m:t>
                      </m:r>
                    </m:sub>
                  </m:sSub>
                  <m:d>
                    <m:e>
                      <m:r>
                        <m:t xml:space="preserve">S</m:t>
                      </m:r>
                    </m:e>
                  </m:d>
                </m:den>
              </m:f>
            </m:e>
          </m:d>
        </m:oMath>
        <m:oMath>
          <m:r>
            <m:t xml:space="preserve">+ </m:t>
          </m:r>
          <m:r>
            <m:rPr>
              <m:sty m:val="p"/>
            </m:rPr>
            <m:t xml:space="preserve">[S1]</m:t>
          </m:r>
          <m:r>
            <m:t xml:space="preserve"> K · </m:t>
          </m:r>
          <m:sSub>
            <m:e>
              <m:r>
                <m:t xml:space="preserve">T</m:t>
              </m:r>
            </m:e>
            <m:sub>
              <m:r>
                <m:rPr>
                  <m:sty m:val="p"/>
                </m:rPr>
                <m:t xml:space="preserve">copy setup</m:t>
              </m:r>
            </m:sub>
          </m:sSub>
        </m:oMath>
      </m:oMathPara>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traced to the processor clock on an idle machine.</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13 µs at 4 KiB, and 62–140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the launch context (a terminal application, as for the accepted series, versus a detached terminal-session service: four alternating runs each, spin cells +109–243 vs +111–262 µs); and the benchmark thread's scheduling class and priority (a user-interactive QoS request plus a base priority of 47 against the default 31, alternated with the default over eight runs: the two agree within 12 µs on 16 of 20 cells, and the other four follow the run order, not the flag). What did move the cells was the clock. In that last series the first three runs executed at 2.2 GHz averaged over the process (exit resource counters: performance cores 2.6–2.8 GHz, efficiency cores 1.4–1.5 GHz) and showed the usual +170–290 µs. From the fourth run on, a macOS housekeeping process (iCloud file sync after a reboot, about half a core for four minutes) raised the load average from 1–2 to about 4 and the process clock to 2.8–3.2 GHz, and the spin cells sped up without any change on our side: the empty cells fell to the accepted levels or below (chained, 101–130 µs in the two fastest runs against 249), the </w:t>
      </w:r>
      <w:r>
        <w:rPr>
          <w:rStyle w:val="CodeChar"/>
        </w:rPr>
        <w:t xml:space="preserve">s2_direct</w:t>
      </w:r>
      <w:r>
        <w:t xml:space="preserve"> 4 KiB cells reached them in the last runs (210–214 against 201), and the </w:t>
      </w:r>
      <w:r>
        <w:rPr>
          <w:rStyle w:val="CodeChar"/>
        </w:rPr>
        <w:t xml:space="preserve">s1_copy</w:t>
      </w:r>
      <w:r>
        <w:t xml:space="preserve"> 4 KiB cells closed only part of the gap. Across the eight runs the spin round trips correlate with the clock (r = −0.81 to −0.95 for five of the six empty and 4 KiB cells, −0.58 for the sixth) and only weakly with the share of CPU time spent on performance cores (−0.52 to +0.16 for the same cells), which an earlier series had suggested as the cause. The 1 MiB spin cells stayed +180–230 µs in all but one run, so they carry a second component, the slow 1 MiB read in spin mode, that the clock alone does not remove. Our reading, not yet confirmed by a per-thread clock trace (root-level power sampling during a run is planned): on an otherwise idle M5 the governor leaves a lone spin-waiting thread at about 2.2 GHz, and another process's load raises the clock that the benchmark thread then shares. The accepted series ran with the chassis at thermal state "fair", that is with the machine busier than during any of our checks, which would make "what changed" the machine's background activity rather than a setting. Consequences: the M5's idle spin-wait numbers (Sect. 5) are governor-dependent, and a quiet machine is not the fastest machine for them.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Two responses are open: re-measure the idle reference in the present state and report the spin-wait cells as clock-dependent, or make a defined CPU-side companion load part of the microbenchmark condition, which is closer to the game, whose simulation thread never spins alone. No M5 extension series is measured before that decision.</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 "Idle" also cuts both ways on a laptop-class SoC: a lone busy thread on a quiet machine can run at a lower clock than the same thread beside a background load, so single-thread latencies need the effective clock recorded next to them.</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(in hindsight also a sign that the machine was not idle then, Sect. 12.2 item 5),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 funding was received for this work. / to state]</w:t>
      </w:r>
    </w:p>
    <w:p>
      <w:pPr>
        <w:pStyle w:val="Normal"/>
      </w:pPr>
      <w:r>
        <w:rPr>
          <w:b/>
          <w:bCs/>
        </w:rPr>
        <w:t xml:space="preserve">Competing interests. </w:t>
      </w:r>
      <w:r>
        <w:t xml:space="preserve">[The author declares no competing interests. / to state]</w:t>
      </w:r>
    </w:p>
    <w:p>
      <w:pPr>
        <w:pStyle w:val="Normal"/>
      </w:pPr>
      <w:r>
        <w:rPr>
          <w:b/>
          <w:bCs/>
        </w:rPr>
        <w:t xml:space="preserve">Ethics approval and consent to participate. </w:t>
      </w:r>
      <w:r>
        <w:t xml:space="preserve">Not applicable: the study involves no human or animal participants.</w:t>
      </w:r>
    </w:p>
    <w:p>
      <w:pPr>
        <w:pStyle w:val="Normal"/>
      </w:pPr>
      <w:r>
        <w:rPr>
          <w:b/>
          <w:bCs/>
        </w:rPr>
        <w:t xml:space="preserve">Data availability. </w:t>
      </w:r>
      <w:r>
        <w:t xml:space="preserve">The measured series behind every number in this paper are in the public repository https://github.com/jttarigan/Lightbound under </w:t>
      </w:r>
      <w:r>
        <w:rPr>
          <w:rStyle w:val="CodeChar"/>
        </w:rPr>
        <w:t xml:space="preserve">results/</w:t>
      </w:r>
      <w:r>
        <w:t xml:space="preserve">: the per-iteration CSV files of the microbenchmark with their environment headers, the pooled summaries and reports (</w:t>
      </w:r>
      <w:r>
        <w:rPr>
          <w:rStyle w:val="CodeChar"/>
        </w:rPr>
        <w:t xml:space="preserve">results/m1_report</w:t>
      </w:r>
      <w:r>
        <w:t xml:space="preserve">, </w:t>
      </w:r>
      <w:r>
        <w:rPr>
          <w:rStyle w:val="CodeChar"/>
        </w:rPr>
        <w:t xml:space="preserve">results/m1_report_rebar-off</w:t>
      </w:r>
      <w:r>
        <w:t xml:space="preserve">), the crossover tables (</w:t>
      </w:r>
      <w:r>
        <w:rPr>
          <w:rStyle w:val="CodeChar"/>
        </w:rPr>
        <w:t xml:space="preserve">results/m1_crossover</w:t>
      </w:r>
      <w:r>
        <w:t xml:space="preserve">) and the diagnostic checks of Sect. 12.2 (</w:t>
      </w:r>
      <w:r>
        <w:rPr>
          <w:rStyle w:val="CodeChar"/>
        </w:rPr>
        <w:t xml:space="preserve">results/m1_mac_20w_check</w:t>
      </w:r>
      <w:r>
        <w:t xml:space="preserve">, </w:t>
      </w:r>
      <w:r>
        <w:rPr>
          <w:rStyle w:val="CodeChar"/>
        </w:rPr>
        <w:t xml:space="preserve">results/m1_mac_40w_check</w:t>
      </w:r>
      <w:r>
        <w:t xml:space="preserve">). [An archived snapshot with a DOI (Zenodo) at submission: to decide.]</w:t>
      </w:r>
    </w:p>
    <w:p>
      <w:pPr>
        <w:pStyle w:val="Normal"/>
      </w:pPr>
      <w:r>
        <w:rPr>
          <w:b/>
          <w:bCs/>
        </w:rPr>
        <w:t xml:space="preserve">Code availability. </w:t>
      </w:r>
      <w:r>
        <w:t xml:space="preserve">The benchmark, the simulation, the shader sources, the analysis scripts (</w:t>
      </w:r>
      <w:r>
        <w:rPr>
          <w:rStyle w:val="CodeChar"/>
        </w:rPr>
        <w:t xml:space="preserve">tools/analysis/</w:t>
      </w:r>
      <w:r>
        <w:t xml:space="preserve">) and the build files are in the same repository; the commit measured for each series is recorded in that series' report, and the macOS and Windows binaries are built from one source tree with CMake (Sect. 4). [Licence: the repository has no licence file yet; to choose before submission.]</w:t>
      </w:r>
    </w:p>
    <w:p>
      <w:pPr>
        <w:pStyle w:val="Normal"/>
      </w:pPr>
      <w:r>
        <w:rPr>
          <w:b/>
          <w:bCs/>
        </w:rPr>
        <w:t xml:space="preserve">Author contributions. </w:t>
      </w:r>
      <w:r>
        <w:t xml:space="preserve">Single author. [Entered in the submission system.]</w:t>
      </w:r>
    </w:p>
    <w:p>
      <w:pPr>
        <w:pStyle w:val="Normal"/>
      </w:pPr>
      <w:r>
        <w:rPr>
          <w:b/>
          <w:bCs/>
        </w:rPr>
        <w:t xml:space="preserve">Use of AI tools. </w:t>
      </w:r>
      <w:r>
        <w:t xml:space="preserve">[Wording = the user's decision; Springer Nature asks for use beyond copy-editing to be declared in the Methods section. Proposed text, to move into Sect. 4 if adopted: "The author used an AI assistant (Claude, Anthropic) to draft code, analysis scripts and manuscript text under the author's direction. The author designed the study, fixed the hypotheses in advance, ran every measurement, checked every number against the recorded data and takes responsibility for the content."]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 In: 2025 IEEE International Parallel and Distributed Processing Symposium Workshops (IPDPSW). IEEE, pp 45–54</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2026-10-23T05:05:14Z</dcterms:created>
  <dcterms:modified xsi:type="dcterms:W3CDTF">2026-10-23T05:05:14Z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