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When does shared CPU–GPU memory pay off? Fine-grained round trips on an Apple M5 and PCIe GPUs, measured in a real-time agent simulation</w:t>
      </w:r>
    </w:p>
    <w:p>
      <w:pPr>
        <w:pStyle w:val="Author"/>
      </w:pPr>
      <w:r>
        <w:t xml:space="preserve">Jos Timanta Tarigan</w:t>
      </w:r>
    </w:p>
    <w:p>
      <w:pPr>
        <w:pStyle w:val="Affiliation"/>
      </w:pPr>
      <w:r>
        <w:t xml:space="preserve">Faculty of Computer Science and Information Technology, Universitas Sumatera Utara, Medan, Indonesia</w:t>
      </w:r>
    </w:p>
    <w:p>
      <w:pPr>
        <w:pStyle w:val="Affiliation"/>
      </w:pPr>
      <w:r>
        <w:t xml:space="preserve">Corresponding author: [e-mail], [telephone]</w:t>
      </w:r>
    </w:p>
    <w:p>
      <w:pPr>
        <w:pStyle w:val="Heading1"/>
        <w:keepNext/>
      </w:pPr>
      <w:r>
        <w:t xml:space="preserve">Abstract</w:t>
      </w:r>
    </w:p>
    <w:p>
      <w:pPr>
        <w:pStyle w:val="Abstract"/>
      </w:pPr>
      <w:r>
        <w:t xml:space="preserve">Tightly coupled CPU–GPU nodes promise to remove data copies, but their value for fine-grained cooperation, where the processors exchange data several times per simulation step, is rarely measured. We compare an Apple M5 system-on-chip with shared physical memory against an NVIDIA RTX 3060 Ti on PCI Express, using a portable Metal and Vulkan round-trip microbenchmark and a real-time simulation of thousands of agents. The hypothesis, fixed in advance, that the shared-memory round trip is cheaper at every payload size was refuted: with the GPU idle, an empty round trip costs 214 µs on the M5 against 60 µs on the RTX, dominated by the CPU-to-GPU hand-off. The M5's cost barely grows with payload, however, making it 1.7–2.8 times faster at 16 MiB. We locate the crossover with the GPU idle and busy [..], and a microbenchmark-based cost model predicts step time within [..].</w:t>
      </w:r>
    </w:p>
    <w:p>
      <w:pPr>
        <w:pStyle w:val="Keywords"/>
      </w:pPr>
      <w:r>
        <w:rPr>
          <w:b/>
          <w:bCs/>
        </w:rPr>
        <w:t xml:space="preserve">Keywords </w:t>
      </w:r>
      <w:r>
        <w:t xml:space="preserve">Shared physical memory · CPU–GPU synchronization · Round-trip latency · Heterogeneous computing · Apple silicon · Agent-based simulation</w:t>
      </w:r>
    </w:p>
    <w:p>
      <w:pPr>
        <w:pStyle w:val="Heading1"/>
        <w:keepNext/>
      </w:pPr>
      <w:r>
        <w:t xml:space="preserve">1 Introduction</w:t>
      </w:r>
    </w:p>
    <w:p>
      <w:pPr>
        <w:pStyle w:val="Normal"/>
      </w:pPr>
      <w:r>
        <w:t xml:space="preserve">Heterogeneous nodes are moving the CPU and the GPU closer together:</w:t>
      </w:r>
    </w:p>
    <w:p>
      <w:pPr>
        <w:pStyle w:val="ListParagraph"/>
        <w:numPr>
          <w:ilvl w:val="0"/>
          <w:numId w:val="1"/>
        </w:numPr>
      </w:pPr>
      <w:r>
        <w:t xml:space="preserve">NVIDIA's Grace Hopper joins them with a cache-coherent chip-to-chip link and one system page table </w:t>
      </w:r>
      <w:r>
        <w:fldChar w:fldCharType="begin"/>
      </w:r>
      <w:r>
        <w:instrText xml:space="preserve"> ADDIN ZOTERO_ITEM CSL_CITATION {"citationID":"32cca654","properties":{"formattedCitation":"[1]","plainCitation":"[1]","noteIndex":0},"citationItems":[{"id":"MF5ZZ8WX","uris":["http://zotero.org/users/5591478/items/MF5ZZ8WX"],"itemData":{"id":"MF5ZZ8WX","type":"paper-conference","collection-title":"ICPP ’24","container-title":"Proceedings of the 53rd International Conference on Parallel Processing","DOI":"10.1145/3673038.3673110","note":"Citation Key: Schieffer24","page":"199-209","publisher":"ACM","title":"Harnessing Integrated CPU-GPU System Memory for HPC: a first look into Grace Hopper","URL":"https://doi.org/10.1145/3673038.3673110","author":[{"family":"Schieffer","given":"Gabin"},{"family":"Wahlgren","given":"Jacob"},{"family":"Ren","given":"Jie"},{"family":"Faj","given":"Jennifer"},{"family":"Peng","given":"Ivy"}],"issued":{"date-parts":[[2024,8]]}}}],"schema":"https://github.com/citation-style-language/schema/raw/master/csl-citation.json"} </w:instrText>
      </w:r>
      <w:r>
        <w:fldChar w:fldCharType="separate"/>
      </w:r>
      <w:r>
        <w:t xml:space="preserve">[1]</w:t>
      </w:r>
      <w:r>
        <w:fldChar w:fldCharType="end"/>
      </w:r>
      <w:r>
        <w:t xml:space="preserve">;</w:t>
      </w:r>
    </w:p>
    <w:p>
      <w:pPr>
        <w:pStyle w:val="ListParagraph"/>
        <w:numPr>
          <w:ilvl w:val="0"/>
          <w:numId w:val="1"/>
        </w:numPr>
      </w:pPr>
      <w:r>
        <w:t xml:space="preserve">AMD's MI300A puts both on one package with one physical HBM memory </w:t>
      </w:r>
      <w:r>
        <w:fldChar w:fldCharType="begin"/>
      </w:r>
      <w:r>
        <w:instrText xml:space="preserve"> ADDIN ZOTERO_ITEM CSL_CITATION {"citationID":"946aa021","properties":{"formattedCitation":"[2]","plainCitation":"[2]","noteIndex":0},"citationItems":[{"id":"Z6B26CZ6","uris":["http://zotero.org/users/5591478/items/Z6B26CZ6"],"itemData":{"id":"Z6B26CZ6","type":"paper-conference","container-title":"2025 IEEE International Symposium on Workload Characterization (IISWC)","DOI":"10.1109/iiswc66894.2025.00038","note":"Citation Key: Wahlgren25","page":"368-380","publisher":"IEEE","title":"Dissecting CPU-GPU Unified Physical Memory on AMD MI300A APUs","URL":"https://doi.org/10.1109/iiswc66894.2025.00038","author":[{"family":"Wahlgren","given":"Jacob"},{"family":"Schieffer","given":"Gabin"},{"family":"Shi","given":"Ruimin"},{"family":"León","given":"Edgar A."},{"family":"Pearce","given":"Roger"},{"family":"Gokhale","given":"Maya"},{"family":"Peng","given":"Ivy"}],"issued":{"date-parts":[[2025,10]]}}}],"schema":"https://github.com/citation-style-language/schema/raw/master/csl-citation.json"} </w:instrText>
      </w:r>
      <w:r>
        <w:fldChar w:fldCharType="separate"/>
      </w:r>
      <w:r>
        <w:t xml:space="preserve">[2]</w:t>
      </w:r>
      <w:r>
        <w:fldChar w:fldCharType="end"/>
      </w:r>
      <w:r>
        <w:t xml:space="preserve">;</w:t>
      </w:r>
    </w:p>
    <w:p>
      <w:pPr>
        <w:pStyle w:val="ListParagraph"/>
        <w:numPr>
          <w:ilvl w:val="0"/>
          <w:numId w:val="1"/>
        </w:numPr>
      </w:pPr>
      <w:r>
        <w:t xml:space="preserve">Apple's M-series laptop and desktop SoCs have done the same with LPDDR memory since 2020 </w:t>
      </w:r>
      <w:r>
        <w:fldChar w:fldCharType="begin"/>
      </w:r>
      <w:r>
        <w:instrText xml:space="preserve"> ADDIN ZOTERO_ITEM CSL_CITATION {"citationID":"a908fbd5","properties":{"formattedCitation":"[3, 4]","plainCitation":"[3, 4]","noteIndex":0},"citationItems":[{"id":"B5Q9E3C9","uris":["http://zotero.org/users/5591478/items/B5Q9E3C9"],"itemData":{"id":"B5Q9E3C9","type":"article","DOI":"10.48550/arXiv.2502.05317","note":"Citation Key: Huebner25","number":"arXiv:2502.05317","publisher":"arXiv","title":"Apple vs. Oranges: Evaluating the Apple Silicon M-Series SoCs for HPC Performance and Efficiency","URL":"https://arxiv.org/abs/2502.05317","author":[{"family":"Hübner","given":"Paul"},{"family":"Hu","given":"Andong"},{"family":"Peng","given":"Ivy"},{"family":"Markidis","given":"Stefano"}],"issued":{"date-parts":[[2025]]}}},{"id":"9RHUAUDT","uris":["http://zotero.org/users/5591478/items/9RHUAUDT"],"itemData":{"id":"9RHUAUDT","type":"paper-conference","collection-title":"DaMoN ’26","container-title":"Proceedings of the 22nd International Workshop on Data Management on New Hardware","DOI":"10.1145/3789237.3809127","note":"Citation Key: Beischl26","page":"1-10","publisher":"ACM","title":"Evaluating Apple Silicon for Data Processing","URL":"https://doi.org/10.1145/3789237.3809127","author":[{"family":"Beischl","given":"Alexander"},{"family":"Morozov","given":"Mykola"},{"family":"Jungmair","given":"Michael"},{"family":"Haussmann","given":"Lukas"},{"family":"Neumann","given":"Thomas"}],"issued":{"date-parts":[[2026,5]]}}}],"schema":"https://github.com/citation-style-language/schema/raw/master/csl-citation.json"} </w:instrText>
      </w:r>
      <w:r>
        <w:fldChar w:fldCharType="separate"/>
      </w:r>
      <w:r>
        <w:t xml:space="preserve">[3, 4]</w:t>
      </w:r>
      <w:r>
        <w:fldChar w:fldCharType="end"/>
      </w:r>
      <w:r>
        <w:t xml:space="preserve">.</w:t>
      </w:r>
    </w:p>
    <w:p>
      <w:pPr>
        <w:pStyle w:val="Normal"/>
      </w:pPr>
      <w:r>
        <w:t xml:space="preserve">The promise of this tight coupling is that data no longer has to be copied between two memories. The studies so far mostly ask what it does for </w:t>
      </w:r>
      <w:r>
        <w:rPr>
          <w:b/>
          <w:bCs/>
        </w:rPr>
        <w:t xml:space="preserve">bandwidth-bound</w:t>
      </w:r>
      <w:r>
        <w:t xml:space="preserve"> work: large kernels, data that exceeds GPU memory, and porting effort </w:t>
      </w:r>
      <w:r>
        <w:fldChar w:fldCharType="begin"/>
      </w:r>
      <w:r>
        <w:instrText xml:space="preserve"> ADDIN ZOTERO_ITEM CSL_CITATION {"citationID":"18846f58","properties":{"formattedCitation":"[1–3]","plainCitation":"[1–3]","noteIndex":0},"citationItems":[{"id":"MF5ZZ8WX","uris":["http://zotero.org/users/5591478/items/MF5ZZ8WX"],"itemData":{"id":"MF5ZZ8WX","type":"paper-conference","collection-title":"ICPP ’24","container-title":"Proceedings of the 53rd International Conference on Parallel Processing","DOI":"10.1145/3673038.3673110","note":"Citation Key: Schieffer24","page":"199-209","publisher":"ACM","title":"Harnessing Integrated CPU-GPU System Memory for HPC: a first look into Grace Hopper","URL":"https://doi.org/10.1145/3673038.3673110","author":[{"family":"Schieffer","given":"Gabin"},{"family":"Wahlgren","given":"Jacob"},{"family":"Ren","given":"Jie"},{"family":"Faj","given":"Jennifer"},{"family":"Peng","given":"Ivy"}],"issued":{"date-parts":[[2024,8]]}}},{"id":"Z6B26CZ6","uris":["http://zotero.org/users/5591478/items/Z6B26CZ6"],"itemData":{"id":"Z6B26CZ6","type":"paper-conference","container-title":"2025 IEEE International Symposium on Workload Characterization (IISWC)","DOI":"10.1109/iiswc66894.2025.00038","note":"Citation Key: Wahlgren25","page":"368-380","publisher":"IEEE","title":"Dissecting CPU-GPU Unified Physical Memory on AMD MI300A APUs","URL":"https://doi.org/10.1109/iiswc66894.2025.00038","author":[{"family":"Wahlgren","given":"Jacob"},{"family":"Schieffer","given":"Gabin"},{"family":"Shi","given":"Ruimin"},{"family":"León","given":"Edgar A."},{"family":"Pearce","given":"Roger"},{"family":"Gokhale","given":"Maya"},{"family":"Peng","given":"Ivy"}],"issued":{"date-parts":[[2025,10]]}}},{"id":"B5Q9E3C9","uris":["http://zotero.org/users/5591478/items/B5Q9E3C9"],"itemData":{"id":"B5Q9E3C9","type":"article","DOI":"10.48550/arXiv.2502.05317","note":"Citation Key: Huebner25","number":"arXiv:2502.05317","publisher":"arXiv","title":"Apple vs. Oranges: Evaluating the Apple Silicon M-Series SoCs for HPC Performance and Efficiency","URL":"https://arxiv.org/abs/2502.05317","author":[{"family":"Hübner","given":"Paul"},{"family":"Hu","given":"Andong"},{"family":"Peng","given":"Ivy"},{"family":"Markidis","given":"Stefano"}],"issued":{"date-parts":[[2025]]}}}],"schema":"https://github.com/citation-style-language/schema/raw/master/csl-citation.json"} </w:instrText>
      </w:r>
      <w:r>
        <w:fldChar w:fldCharType="separate"/>
      </w:r>
      <w:r>
        <w:t xml:space="preserve">[1–3]</w:t>
      </w:r>
      <w:r>
        <w:fldChar w:fldCharType="end"/>
      </w:r>
      <w:r>
        <w:t xml:space="preserve">. We ask what it does for </w:t>
      </w:r>
      <w:r>
        <w:rPr>
          <w:b/>
          <w:bCs/>
        </w:rPr>
        <w:t xml:space="preserve">latency-bound, fine-grained cooperation</w:t>
      </w:r>
      <w:r>
        <w:t xml:space="preserve">, where the CPU and the GPU hand data back and forth several times per time step.</w:t>
      </w:r>
    </w:p>
    <w:p>
      <w:pPr>
        <w:pStyle w:val="Normal"/>
      </w:pPr>
      <w:r>
        <w:t xml:space="preserve">That pattern arises whenever an iterative simulation splits each step between the two processors. The GPU does the regular, data-parallel part, such as neighbour search, field evaluation and perception, for many agents. The CPU does the irregular, branchy part, such as each agent's decision, graph propagation and event handling. The results go back to the GPU before the step ends. Each hand-off is a round trip:</w:t>
      </w:r>
    </w:p>
    <w:p>
      <w:pPr>
        <w:pStyle w:val="ListParagraph"/>
        <w:numPr>
          <w:ilvl w:val="0"/>
          <w:numId w:val="1"/>
        </w:numPr>
      </w:pPr>
      <w:r>
        <w:t xml:space="preserve">the GPU signals,</w:t>
      </w:r>
    </w:p>
    <w:p>
      <w:pPr>
        <w:pStyle w:val="ListParagraph"/>
        <w:numPr>
          <w:ilvl w:val="0"/>
          <w:numId w:val="1"/>
        </w:numPr>
      </w:pPr>
      <w:r>
        <w:t xml:space="preserve">the CPU wakes up, reads and writes the shared data, and signals back,</w:t>
      </w:r>
    </w:p>
    <w:p>
      <w:pPr>
        <w:pStyle w:val="ListParagraph"/>
        <w:numPr>
          <w:ilvl w:val="0"/>
          <w:numId w:val="1"/>
        </w:numPr>
      </w:pPr>
      <w:r>
        <w:t xml:space="preserve">the GPU resumes.</w:t>
      </w:r>
    </w:p>
    <w:p>
      <w:pPr>
        <w:pStyle w:val="Normal"/>
      </w:pPr>
      <w:r>
        <w:t xml:space="preserve">Under a deadline, as in interactive simulation, digital twins or games at 60 Hz (a 16.7 ms step), round trips of tens to hundreds of microseconds are a visible share of the budget. They decide whether the coupling can stay synchronous at all. Current practice avoids the question by reading GPU results one or more steps late. That moves the cost from time to accuracy.</w:t>
      </w:r>
    </w:p>
    <w:p>
      <w:pPr>
        <w:pStyle w:val="Normal"/>
      </w:pPr>
      <w:r>
        <w:rPr>
          <w:b/>
          <w:bCs/>
        </w:rPr>
        <w:t xml:space="preserve">Terminology.</w:t>
      </w:r>
      <w:r>
        <w:t xml:space="preserve"> In much of the GPU literature, </w:t>
      </w:r>
      <w:r>
        <w:rPr>
          <w:i/>
          <w:iCs/>
        </w:rPr>
        <w:t xml:space="preserve">unified memory</w:t>
      </w:r>
      <w:r>
        <w:t xml:space="preserve"> means CUDA's software-managed address space on a discrete GPU: pages migrate over PCIe on demand. Its costs have been measured in this journal and elsewhere </w:t>
      </w:r>
      <w:r>
        <w:fldChar w:fldCharType="begin"/>
      </w:r>
      <w:r>
        <w:instrText xml:space="preserve"> ADDIN ZOTERO_ITEM CSL_CITATION {"citationID":"a988e701","properties":{"formattedCitation":"[5–7]","plainCitation":"[5–7]","noteIndex":0},"citationItems":[{"id":"W5GC85GQ","uris":["http://zotero.org/users/5591478/items/W5GC85GQ"],"itemData":{"id":"W5GC85GQ","type":"article-journal","container-title":"The Journal of Supercomputing","DOI":"10.1007/s11227-019-02966-8","ISSN":"1573-0484","issue":"11","note":"Citation Key: Knap19","page":"7625-7645","title":"Performance evaluation of Unified Memory with prefetching and oversubscription for selected parallel CUDA applications on NVIDIA Pascal and Volta GPUs","URL":"https://doi.org/10.1007/s11227-019-02966-8","volume":"75","author":[{"family":"Knap","given":"Marcin"},{"family":"Czarnul","given":"Paweł"}],"issued":{"date-parts":[[2019,8]]}}},{"id":"VRGFJE8P","uris":["http://zotero.org/users/5591478/items/VRGFJE8P"],"itemData":{"id":"VRGFJE8P","type":"article-journal","container-title":"The Journal of Supercomputing","DOI":"10.1007/s11227-017-2091-x","ISSN":"1573-0484","issue":"12","note":"Citation Key: Jarzabek17","page":"5378-5401","title":"Performance evaluation of unified memory and dynamic parallelism for selected parallel CUDA applications","URL":"https://doi.org/10.1007/s11227-017-2091-x","volume":"73","author":[{"family":"Jarząbek","given":"Łukasz"},{"family":"Czarnul","given":"Paweł"}],"issued":{"date-parts":[[2017,6]]}}},{"id":"ZXCPKCWA","uris":["http://zotero.org/users/5591478/items/ZXCPKCWA"],"itemData":{"id":"ZXCPKCWA","type":"article-journal","container-title":"The Journal of Supercomputing","DOI":"10.1007/s11227-019-03079-y","ISSN":"1573-0484","issue":"4","note":"Citation Key: Yu20","page":"2958-2985","title":"A quantitative evaluation of unified memory in GPUs","URL":"https://doi.org/10.1007/s11227-019-03079-y","volume":"76","author":[{"family":"Yu","given":"Qi"},{"family":"Childers","given":"Bruce"},{"family":"Huang","given":"Libo"},{"family":"Qian","given":"Cheng"},{"family":"Wang","given":"Zhiying"}],"issued":{"date-parts":[[2020]]}}}],"schema":"https://github.com/citation-style-language/schema/raw/master/csl-citation.json"} </w:instrText>
      </w:r>
      <w:r>
        <w:fldChar w:fldCharType="separate"/>
      </w:r>
      <w:r>
        <w:t xml:space="preserve">[5–7]</w:t>
      </w:r>
      <w:r>
        <w:fldChar w:fldCharType="end"/>
      </w:r>
      <w:r>
        <w:t xml:space="preserve">. We study something different: memory that the CPU and GPU </w:t>
      </w:r>
      <w:r>
        <w:rPr>
          <w:b/>
          <w:bCs/>
        </w:rPr>
        <w:t xml:space="preserve">physically share</w:t>
      </w:r>
      <w:r>
        <w:t xml:space="preserve">, with no migration. Apple calls it unified memory too. We write </w:t>
      </w:r>
      <w:r>
        <w:rPr>
          <w:i/>
          <w:iCs/>
        </w:rPr>
        <w:t xml:space="preserve">shared physical memory</w:t>
      </w:r>
      <w:r>
        <w:t xml:space="preserve"> where the distinction matters, and </w:t>
      </w:r>
      <w:r>
        <w:rPr>
          <w:i/>
          <w:iCs/>
        </w:rPr>
        <w:t xml:space="preserve">PCIe</w:t>
      </w:r>
      <w:r>
        <w:t xml:space="preserve"> for the discrete baseline.</w:t>
      </w:r>
    </w:p>
    <w:p>
      <w:pPr>
        <w:pStyle w:val="Normal"/>
      </w:pPr>
      <w:r>
        <w:rPr>
          <w:b/>
          <w:bCs/>
        </w:rPr>
        <w:t xml:space="preserve">We set out to test the expected advantage directly, and found that it does not hold as stated.</w:t>
      </w:r>
      <w:r>
        <w:t xml:space="preserve"> Our instrument is an agent-based simulation of thousands of light-sensitive creatures, built as a playable game, Lightbound, and designed from the start for measurement:</w:t>
      </w:r>
    </w:p>
    <w:p>
      <w:pPr>
        <w:pStyle w:val="ListParagraph"/>
        <w:numPr>
          <w:ilvl w:val="0"/>
          <w:numId w:val="1"/>
        </w:numPr>
      </w:pPr>
      <w:r>
        <w:t xml:space="preserve">its round trips run on Metal and on Vulkan from one shader source, with identical buffer layouts;</w:t>
      </w:r>
    </w:p>
    <w:p>
      <w:pPr>
        <w:pStyle w:val="ListParagraph"/>
        <w:numPr>
          <w:ilvl w:val="0"/>
          <w:numId w:val="1"/>
        </w:numPr>
      </w:pPr>
      <w:r>
        <w:t xml:space="preserve">the transfer strategy and the number of round trips per step are runtime switches.</w:t>
      </w:r>
    </w:p>
    <w:p>
      <w:pPr>
        <w:pStyle w:val="Normal"/>
      </w:pPr>
      <w:r>
        <w:t xml:space="preserve">Our first hypothesis, stated in advance with a go/no-go criterion, was that the shared-memory SoC's round trip is cheaper than a PCIe GPU's at every payload size. It was refuted. With the GPU otherwise idle, an Apple M5's empty round trip costs 214 µs, against 60 µs on an RTX 3060 Ti over PCIe gen3. At 1 MiB per direction, the M5's best path costs 305 µs against 142–160 µs. The cost is not in the bytes. It lies in the CPU→GPU hand-off, which on the M5 is multimodal and consistent with the GPU leaving an idle power state.</w:t>
      </w:r>
    </w:p>
    <w:p>
      <w:pPr>
        <w:pStyle w:val="Normal"/>
      </w:pPr>
      <w:r>
        <w:t xml:space="preserve">The same measurements show where shared memory does pay. The M5's round trip is nearly flat in payload size, while the PCIe GPU's grows linearly with it, and at 16 MiB the M5 is 1.7–2.8× faster on the direct path. The useful question is therefore not </w:t>
      </w:r>
      <w:r>
        <w:rPr>
          <w:i/>
          <w:iCs/>
        </w:rPr>
        <w:t xml:space="preserve">whether</w:t>
      </w:r>
      <w:r>
        <w:t xml:space="preserve"> shared memory wins, but </w:t>
      </w:r>
      <w:r>
        <w:rPr>
          <w:b/>
          <w:bCs/>
        </w:rPr>
        <w:t xml:space="preserve">where the curves cross, and how the crossover moves when the GPU is busy, as it is inside a real time step</w:t>
      </w:r>
      <w:r>
        <w:t xml:space="preserve">. We answer it in three ways:</w:t>
      </w:r>
    </w:p>
    <w:p>
      <w:pPr>
        <w:pStyle w:val="ListParagraph"/>
        <w:numPr>
          <w:ilvl w:val="0"/>
          <w:numId w:val="1"/>
        </w:numPr>
      </w:pPr>
      <w:r>
        <w:t xml:space="preserve">an extended payload grid from 4 KiB to 64 MiB, measured with the GPU idle and hot;</w:t>
      </w:r>
    </w:p>
    <w:p>
      <w:pPr>
        <w:pStyle w:val="ListParagraph"/>
        <w:numPr>
          <w:ilvl w:val="0"/>
          <w:numId w:val="1"/>
        </w:numPr>
      </w:pPr>
      <w:r>
        <w:t xml:space="preserve">a cost model that turns the microbenchmark into per-step time predictions;</w:t>
      </w:r>
    </w:p>
    <w:p>
      <w:pPr>
        <w:pStyle w:val="ListParagraph"/>
        <w:numPr>
          <w:ilvl w:val="0"/>
          <w:numId w:val="1"/>
        </w:numPr>
      </w:pPr>
      <w:r>
        <w:t xml:space="preserve">the simulation itself, run at increasing agent counts and round trips per step.</w:t>
      </w:r>
    </w:p>
    <w:p>
      <w:pPr>
        <w:pStyle w:val="Normal"/>
      </w:pPr>
      <w:r>
        <w:rPr>
          <w:b/>
          <w:bCs/>
        </w:rPr>
        <w:t xml:space="preserve">Contributions.</w:t>
      </w:r>
    </w:p>
    <w:p>
      <w:pPr>
        <w:pStyle w:val="ListParagraph"/>
        <w:numPr>
          <w:ilvl w:val="0"/>
          <w:numId w:val="2"/>
        </w:numPr>
      </w:pPr>
      <w:r>
        <w:t xml:space="preserve">A portable round-trip microbenchmark for CPU–GPU hand-offs (Metal and Vulkan, one Slang source, verified payloads and a copy-count invariant). It isolates the GPU→CPU and CPU→GPU directions. </w:t>
      </w:r>
      <w:r>
        <w:rPr>
          <w:i/>
          <w:iCs/>
        </w:rPr>
        <w:t xml:space="preserve">(done: Sect. 4)</w:t>
      </w:r>
    </w:p>
    <w:p>
      <w:pPr>
        <w:pStyle w:val="ListParagraph"/>
        <w:numPr>
          <w:ilvl w:val="0"/>
          <w:numId w:val="2"/>
        </w:numPr>
      </w:pPr>
      <w:r>
        <w:t xml:space="preserve">Its results on a shared-memory SoC (Apple M5) and a PCIe GPU (RTX 3060 Ti, with ReBAR on and off):</w:t>
      </w:r>
    </w:p>
    <w:p>
      <w:pPr>
        <w:pStyle w:val="ListParagraph"/>
        <w:numPr>
          <w:ilvl w:val="1"/>
          <w:numId w:val="1"/>
        </w:numPr>
      </w:pPr>
      <w:r>
        <w:t xml:space="preserve">the refuted "always cheaper" hypothesis (Sect. 5);</w:t>
      </w:r>
    </w:p>
    <w:p>
      <w:pPr>
        <w:pStyle w:val="ListParagraph"/>
        <w:numPr>
          <w:ilvl w:val="1"/>
          <w:numId w:val="1"/>
        </w:numPr>
      </w:pPr>
      <w:r>
        <w:t xml:space="preserve">the payload crossover by GPU state (Sect. 6). The idle-GPU crossover is predicted at 2.0–2.6 MiB per direction, [measured: ..].</w:t>
      </w:r>
    </w:p>
    <w:p>
      <w:pPr>
        <w:pStyle w:val="Normal"/>
        <w:ind w:left="720"/>
      </w:pPr>
      <w:r>
        <w:rPr>
          <w:i/>
          <w:iCs/>
        </w:rPr>
        <w:t xml:space="preserve">(Sect. 5 done; Sect. 6 waits for the extension series)</w:t>
      </w:r>
    </w:p>
    <w:p>
      <w:pPr>
        <w:pStyle w:val="ListParagraph"/>
        <w:numPr>
          <w:ilvl w:val="0"/>
          <w:numId w:val="2"/>
        </w:numPr>
      </w:pPr>
      <w:r>
        <w:t xml:space="preserve">A cost model that predicts a coupled simulation's step time from microbenchmark terms. It is validated on the simulation with K round trips per step (H2, H3, H5). </w:t>
      </w:r>
      <w:r>
        <w:rPr>
          <w:i/>
          <w:iCs/>
        </w:rPr>
        <w:t xml:space="preserve">(waits for M4–M8)</w:t>
      </w:r>
    </w:p>
    <w:p>
      <w:pPr>
        <w:pStyle w:val="ListParagraph"/>
        <w:numPr>
          <w:ilvl w:val="0"/>
          <w:numId w:val="2"/>
        </w:numPr>
      </w:pPr>
      <w:r>
        <w:t xml:space="preserve">The accuracy cost of the asynchronous alternative: how often agents decide differently when GPU results arrive one step late, measured against a same-step oracle (H4). </w:t>
      </w:r>
      <w:r>
        <w:rPr>
          <w:i/>
          <w:iCs/>
        </w:rPr>
        <w:t xml:space="preserve">(waits for M3, M8)</w:t>
      </w:r>
    </w:p>
    <w:p>
      <w:pPr>
        <w:pStyle w:val="ListParagraph"/>
        <w:numPr>
          <w:ilvl w:val="0"/>
          <w:numId w:val="2"/>
        </w:numPr>
      </w:pPr>
      <w:r>
        <w:t xml:space="preserve">A practical account of measurement hygiene for microsecond-scale GPU latency on a laptop-class SoC. Background GPU clients, CPU contention and an undetected dark wake cost us runs, and a shift of 100–280 µs in spin-wait round trips survived every power, display, wake and launch condition we tried (Sect. 12). </w:t>
      </w:r>
      <w:r>
        <w:rPr>
          <w:i/>
          <w:iCs/>
        </w:rPr>
        <w:t xml:space="preserve">(evidence in hand; the shift's cause is still open, 2026-10-21)</w:t>
      </w:r>
    </w:p>
    <w:p>
      <w:pPr>
        <w:pStyle w:val="Normal"/>
      </w:pPr>
      <w:r>
        <w:rPr>
          <w:b/>
          <w:bCs/>
        </w:rPr>
        <w:t xml:space="preserve">Scope and what we do not claim.</w:t>
      </w:r>
    </w:p>
    <w:p>
      <w:pPr>
        <w:pStyle w:val="ListParagraph"/>
        <w:numPr>
          <w:ilvl w:val="0"/>
          <w:numId w:val="1"/>
        </w:numPr>
      </w:pPr>
      <w:r>
        <w:t xml:space="preserve">We compare two </w:t>
      </w:r>
      <w:r>
        <w:rPr>
          <w:b/>
          <w:bCs/>
        </w:rPr>
        <w:t xml:space="preserve">platforms</w:t>
      </w:r>
      <w:r>
        <w:t xml:space="preserve"> (hardware, OS, driver and API together), not memory architectures in isolation (Sect. 12).</w:t>
      </w:r>
    </w:p>
    <w:p>
      <w:pPr>
        <w:pStyle w:val="ListParagraph"/>
        <w:numPr>
          <w:ilvl w:val="0"/>
          <w:numId w:val="1"/>
        </w:numPr>
      </w:pPr>
      <w:r>
        <w:t xml:space="preserve">Each class is represented by one machine: a laptop-class SoC and a desktop PCIe GPU. We do not measure Grace Hopper or MI300A. Our results say where a hand-off's cost comes from (fixed signalling and power-state latency versus bytes), and that question carries over to those nodes. The numbers do not.</w:t>
      </w:r>
    </w:p>
    <w:p>
      <w:pPr>
        <w:pStyle w:val="ListParagraph"/>
        <w:numPr>
          <w:ilvl w:val="0"/>
          <w:numId w:val="1"/>
        </w:numPr>
      </w:pPr>
      <w:r>
        <w:t xml:space="preserve">H1′ was formulated after the idle results and before the extension that tests it, and we say so where it is used.</w:t>
      </w:r>
    </w:p>
    <w:p>
      <w:pPr>
        <w:pStyle w:val="Normal"/>
      </w:pPr>
      <w:r>
        <w:rPr>
          <w:b/>
          <w:bCs/>
        </w:rPr>
        <w:t xml:space="preserve">Organization.</w:t>
      </w:r>
      <w:r>
        <w:t xml:space="preserve"> Sect. 2 places the work among studies of tightly coupled CPU–GPU systems, CUDA unified memory and collaborative CPU–GPU benchmarks. Sect. 3 describes the platforms and Sect. 4 the microbenchmark. Sect. 5 reports the idle-GPU results and the refuted hypothesis, and Sect. 6 the crossover and its dependence on GPU state. Sect. 7 describes the simulation and its coupling strategies, and Sect. 8 its measured step times. Sect. 9 fits and tests the cost model, Sect. 10 measures decision staleness, and Sect. 11 energy. Sect. 12 discusses threats to validity, and Sect. 13 concludes.</w:t>
      </w:r>
    </w:p>
    <w:p>
      <w:pPr>
        <w:pStyle w:val="Heading1"/>
        <w:keepNext/>
      </w:pPr>
      <w:r>
        <w:t xml:space="preserve">2 Background and related work</w:t>
      </w:r>
    </w:p>
    <w:p>
      <w:pPr>
        <w:pStyle w:val="ListParagraph"/>
        <w:numPr>
          <w:ilvl w:val="0"/>
          <w:numId w:val="1"/>
        </w:numPr>
      </w:pPr>
      <w:r>
        <w:rPr>
          <w:b/>
          <w:bCs/>
        </w:rPr>
        <w:t xml:space="preserve">Unified memory doesn't remove synchronization cost; it moves it.</w:t>
      </w:r>
      <w:r>
        <w:t xml:space="preserve"> Beischl et al. </w:t>
      </w:r>
      <w:r>
        <w:fldChar w:fldCharType="begin"/>
      </w:r>
      <w:r>
        <w:instrText xml:space="preserve"> ADDIN ZOTERO_ITEM CSL_CITATION {"citationID":"53e51abf","properties":{"formattedCitation":"[4]","plainCitation":"[4]","noteIndex":0},"citationItems":[{"id":"9RHUAUDT","uris":["http://zotero.org/users/5591478/items/9RHUAUDT"],"itemData":{"id":"9RHUAUDT","type":"paper-conference","collection-title":"DaMoN ’26","container-title":"Proceedings of the 22nd International Workshop on Data Management on New Hardware","DOI":"10.1145/3789237.3809127","note":"Citation Key: Beischl26","page":"1-10","publisher":"ACM","title":"Evaluating Apple Silicon for Data Processing","URL":"https://doi.org/10.1145/3789237.3809127","author":[{"family":"Beischl","given":"Alexander"},{"family":"Morozov","given":"Mykola"},{"family":"Jungmair","given":"Michael"},{"family":"Haussmann","given":"Lukas"},{"family":"Neumann","given":"Thomas"}],"issued":{"date-parts":[[2026,5]]}}}],"schema":"https://github.com/citation-style-language/schema/raw/master/csl-citation.json"} </w:instrText>
      </w:r>
      <w:r>
        <w:fldChar w:fldCharType="separate"/>
      </w:r>
      <w:r>
        <w:t xml:space="preserve">[4]</w:t>
      </w:r>
      <w:r>
        <w:fldChar w:fldCharType="end"/>
      </w:r>
      <w:r>
        <w:t xml:space="preserve"> measure this on Apple Silicon:</w:t>
      </w:r>
    </w:p>
    <w:p>
      <w:pPr>
        <w:pStyle w:val="ListParagraph"/>
        <w:numPr>
          <w:ilvl w:val="1"/>
          <w:numId w:val="1"/>
        </w:numPr>
      </w:pPr>
      <w:r>
        <w:t xml:space="preserve">shared buffers get a coherence pass at kernel launch (once per newly allocated buffer, 70–120 GB/s on M4 Pro);</w:t>
      </w:r>
    </w:p>
    <w:p>
      <w:pPr>
        <w:pStyle w:val="ListParagraph"/>
        <w:numPr>
          <w:ilvl w:val="1"/>
          <w:numId w:val="1"/>
        </w:numPr>
      </w:pPr>
      <w:r>
        <w:t xml:space="preserve">Metal kernel start-up costs 28–79 µs to encode plus 14–17 µs (M4 Pro) or 65–75 µs (M3 Ultra) to dispatch;</w:t>
      </w:r>
    </w:p>
    <w:p>
      <w:pPr>
        <w:pStyle w:val="ListParagraph"/>
        <w:numPr>
          <w:ilvl w:val="1"/>
          <w:numId w:val="1"/>
        </w:numPr>
      </w:pPr>
      <w:r>
        <w:t xml:space="preserve">managing memory explicitly cuts per-run coherence overhead below 0.06 ms.</w:t>
      </w:r>
    </w:p>
    <w:p>
      <w:pPr>
        <w:pStyle w:val="Normal"/>
        <w:ind w:left="720"/>
      </w:pPr>
      <w:r>
        <w:t xml:space="preserve">Wahlgren et al. </w:t>
      </w:r>
      <w:r>
        <w:fldChar w:fldCharType="begin"/>
      </w:r>
      <w:r>
        <w:instrText xml:space="preserve"> ADDIN ZOTERO_ITEM CSL_CITATION {"citationID":"b76d4af3","properties":{"formattedCitation":"[2]","plainCitation":"[2]","noteIndex":0},"citationItems":[{"id":"Z6B26CZ6","uris":["http://zotero.org/users/5591478/items/Z6B26CZ6"],"itemData":{"id":"Z6B26CZ6","type":"paper-conference","container-title":"2025 IEEE International Symposium on Workload Characterization (IISWC)","DOI":"10.1109/iiswc66894.2025.00038","note":"Citation Key: Wahlgren25","page":"368-380","publisher":"IEEE","title":"Dissecting CPU-GPU Unified Physical Memory on AMD MI300A APUs","URL":"https://doi.org/10.1109/iiswc66894.2025.00038","author":[{"family":"Wahlgren","given":"Jacob"},{"family":"Schieffer","given":"Gabin"},{"family":"Shi","given":"Ruimin"},{"family":"León","given":"Edgar A."},{"family":"Pearce","given":"Roger"},{"family":"Gokhale","given":"Maya"},{"family":"Peng","given":"Ivy"}],"issued":{"date-parts":[[2025,10]]}}}],"schema":"https://github.com/citation-style-language/schema/raw/master/csl-citation.json"} </w:instrText>
      </w:r>
      <w:r>
        <w:fldChar w:fldCharType="separate"/>
      </w:r>
      <w:r>
        <w:t xml:space="preserve">[2]</w:t>
      </w:r>
      <w:r>
        <w:fldChar w:fldCharType="end"/>
      </w:r>
      <w:r>
        <w:t xml:space="preserve"> characterize coherence overhead on MI300A's unified physical memory, and Spafford et al. </w:t>
      </w:r>
      <w:r>
        <w:fldChar w:fldCharType="begin"/>
      </w:r>
      <w:r>
        <w:instrText xml:space="preserve"> ADDIN ZOTERO_ITEM CSL_CITATION {"citationID":"73727184","properties":{"formattedCitation":"[8]","plainCitation":"[8]","noteIndex":0},"citationItems":[{"id":"XFCXEPHQ","uris":["http://zotero.org/users/5591478/items/XFCXEPHQ"],"itemData":{"id":"XFCXEPHQ","type":"paper-conference","collection-title":"CF′12","container-title":"Proceedings of the 9th conference on Computing Frontiers","DOI":"10.1145/2212908.2212924","note":"Citation Key: Spafford12","page":"103-112","publisher":"ACM","title":"The tradeoffs of fused memory hierarchies in heterogeneous computing architectures","URL":"https://doi.org/10.1145/2212908.2212924","author":[{"family":"Spafford","given":"Kyle L."},{"family":"Meredith","given":"Jeremy S."},{"family":"Lee","given":"Seyong"},{"family":"Li","given":"Dong"},{"family":"Roth","given":"Philip C."},{"family":"Vetter","given":"Jeffrey S."}],"issued":{"date-parts":[[2012,5]]}}}],"schema":"https://github.com/citation-style-language/schema/raw/master/csl-citation.json"} </w:instrText>
      </w:r>
      <w:r>
        <w:fldChar w:fldCharType="separate"/>
      </w:r>
      <w:r>
        <w:t xml:space="preserve">[8]</w:t>
      </w:r>
      <w:r>
        <w:fldChar w:fldCharType="end"/>
      </w:r>
      <w:r>
        <w:t xml:space="preserve"> make the same trade-off argument for early AMD APUs. Our M5 data agree: the cost sits in the hand-off, not in the bytes (Sect. 5).</w:t>
      </w:r>
    </w:p>
    <w:p>
      <w:pPr>
        <w:pStyle w:val="ListParagraph"/>
        <w:numPr>
          <w:ilvl w:val="0"/>
          <w:numId w:val="1"/>
        </w:numPr>
      </w:pPr>
      <w:r>
        <w:rPr>
          <w:b/>
          <w:bCs/>
        </w:rPr>
        <w:t xml:space="preserve">"Unified memory" means two different things.</w:t>
      </w:r>
      <w:r>
        <w:t xml:space="preserve"> On discrete NVIDIA GPUs it is CUDA's managed memory: one address space, pages migrating over PCIe on demand. Its overhead against explicit copies is well measured, including in this journal </w:t>
      </w:r>
      <w:r>
        <w:fldChar w:fldCharType="begin"/>
      </w:r>
      <w:r>
        <w:instrText xml:space="preserve"> ADDIN ZOTERO_ITEM CSL_CITATION {"citationID":"70626b67","properties":{"formattedCitation":"[5–7]","plainCitation":"[5–7]","noteIndex":0},"citationItems":[{"id":"W5GC85GQ","uris":["http://zotero.org/users/5591478/items/W5GC85GQ"],"itemData":{"id":"W5GC85GQ","type":"article-journal","container-title":"The Journal of Supercomputing","DOI":"10.1007/s11227-019-02966-8","ISSN":"1573-0484","issue":"11","note":"Citation Key: Knap19","page":"7625-7645","title":"Performance evaluation of Unified Memory with prefetching and oversubscription for selected parallel CUDA applications on NVIDIA Pascal and Volta GPUs","URL":"https://doi.org/10.1007/s11227-019-02966-8","volume":"75","author":[{"family":"Knap","given":"Marcin"},{"family":"Czarnul","given":"Paweł"}],"issued":{"date-parts":[[2019,8]]}}},{"id":"VRGFJE8P","uris":["http://zotero.org/users/5591478/items/VRGFJE8P"],"itemData":{"id":"VRGFJE8P","type":"article-journal","container-title":"The Journal of Supercomputing","DOI":"10.1007/s11227-017-2091-x","ISSN":"1573-0484","issue":"12","note":"Citation Key: Jarzabek17","page":"5378-5401","title":"Performance evaluation of unified memory and dynamic parallelism for selected parallel CUDA applications","URL":"https://doi.org/10.1007/s11227-017-2091-x","volume":"73","author":[{"family":"Jarząbek","given":"Łukasz"},{"family":"Czarnul","given":"Paweł"}],"issued":{"date-parts":[[2017,6]]}}},{"id":"ZXCPKCWA","uris":["http://zotero.org/users/5591478/items/ZXCPKCWA"],"itemData":{"id":"ZXCPKCWA","type":"article-journal","container-title":"The Journal of Supercomputing","DOI":"10.1007/s11227-019-03079-y","ISSN":"1573-0484","issue":"4","note":"Citation Key: Yu20","page":"2958-2985","title":"A quantitative evaluation of unified memory in GPUs","URL":"https://doi.org/10.1007/s11227-019-03079-y","volume":"76","author":[{"family":"Yu","given":"Qi"},{"family":"Childers","given":"Bruce"},{"family":"Huang","given":"Libo"},{"family":"Qian","given":"Cheng"},{"family":"Wang","given":"Zhiying"}],"issued":{"date-parts":[[2020]]}}}],"schema":"https://github.com/citation-style-language/schema/raw/master/csl-citation.json"} </w:instrText>
      </w:r>
      <w:r>
        <w:fldChar w:fldCharType="separate"/>
      </w:r>
      <w:r>
        <w:t xml:space="preserve">[5–7]</w:t>
      </w:r>
      <w:r>
        <w:fldChar w:fldCharType="end"/>
      </w:r>
      <w:r>
        <w:t xml:space="preserve">. Tightly coupled nodes remove the migration: Grace Hopper through a coherent link and one page table </w:t>
      </w:r>
      <w:r>
        <w:fldChar w:fldCharType="begin"/>
      </w:r>
      <w:r>
        <w:instrText xml:space="preserve"> ADDIN ZOTERO_ITEM CSL_CITATION {"citationID":"66abc161","properties":{"formattedCitation":"[1]","plainCitation":"[1]","noteIndex":0},"citationItems":[{"id":"MF5ZZ8WX","uris":["http://zotero.org/users/5591478/items/MF5ZZ8WX"],"itemData":{"id":"MF5ZZ8WX","type":"paper-conference","collection-title":"ICPP ’24","container-title":"Proceedings of the 53rd International Conference on Parallel Processing","DOI":"10.1145/3673038.3673110","note":"Citation Key: Schieffer24","page":"199-209","publisher":"ACM","title":"Harnessing Integrated CPU-GPU System Memory for HPC: a first look into Grace Hopper","URL":"https://doi.org/10.1145/3673038.3673110","author":[{"family":"Schieffer","given":"Gabin"},{"family":"Wahlgren","given":"Jacob"},{"family":"Ren","given":"Jie"},{"family":"Faj","given":"Jennifer"},{"family":"Peng","given":"Ivy"}],"issued":{"date-parts":[[2024,8]]}}}],"schema":"https://github.com/citation-style-language/schema/raw/master/csl-citation.json"} </w:instrText>
      </w:r>
      <w:r>
        <w:fldChar w:fldCharType="separate"/>
      </w:r>
      <w:r>
        <w:t xml:space="preserve">[1]</w:t>
      </w:r>
      <w:r>
        <w:fldChar w:fldCharType="end"/>
      </w:r>
      <w:r>
        <w:t xml:space="preserve">, MI300A and Apple's SoCs through one physical memory </w:t>
      </w:r>
      <w:r>
        <w:fldChar w:fldCharType="begin"/>
      </w:r>
      <w:r>
        <w:instrText xml:space="preserve"> ADDIN ZOTERO_ITEM CSL_CITATION {"citationID":"b4bcae2c","properties":{"formattedCitation":"[2–4]","plainCitation":"[2–4]","noteIndex":0},"citationItems":[{"id":"Z6B26CZ6","uris":["http://zotero.org/users/5591478/items/Z6B26CZ6"],"itemData":{"id":"Z6B26CZ6","type":"paper-conference","container-title":"2025 IEEE International Symposium on Workload Characterization (IISWC)","DOI":"10.1109/iiswc66894.2025.00038","note":"Citation Key: Wahlgren25","page":"368-380","publisher":"IEEE","title":"Dissecting CPU-GPU Unified Physical Memory on AMD MI300A APUs","URL":"https://doi.org/10.1109/iiswc66894.2025.00038","author":[{"family":"Wahlgren","given":"Jacob"},{"family":"Schieffer","given":"Gabin"},{"family":"Shi","given":"Ruimin"},{"family":"León","given":"Edgar A."},{"family":"Pearce","given":"Roger"},{"family":"Gokhale","given":"Maya"},{"family":"Peng","given":"Ivy"}],"issued":{"date-parts":[[2025,10]]}}},{"id":"B5Q9E3C9","uris":["http://zotero.org/users/5591478/items/B5Q9E3C9"],"itemData":{"id":"B5Q9E3C9","type":"article","DOI":"10.48550/arXiv.2502.05317","note":"Citation Key: Huebner25","number":"arXiv:2502.05317","publisher":"arXiv","title":"Apple vs. Oranges: Evaluating the Apple Silicon M-Series SoCs for HPC Performance and Efficiency","URL":"https://arxiv.org/abs/2502.05317","author":[{"family":"Hübner","given":"Paul"},{"family":"Hu","given":"Andong"},{"family":"Peng","given":"Ivy"},{"family":"Markidis","given":"Stefano"}],"issued":{"date-parts":[[2025]]}}},{"id":"9RHUAUDT","uris":["http://zotero.org/users/5591478/items/9RHUAUDT"],"itemData":{"id":"9RHUAUDT","type":"paper-conference","collection-title":"DaMoN ’26","container-title":"Proceedings of the 22nd International Workshop on Data Management on New Hardware","DOI":"10.1145/3789237.3809127","note":"Citation Key: Beischl26","page":"1-10","publisher":"ACM","title":"Evaluating Apple Silicon for Data Processing","URL":"https://doi.org/10.1145/3789237.3809127","author":[{"family":"Beischl","given":"Alexander"},{"family":"Morozov","given":"Mykola"},{"family":"Jungmair","given":"Michael"},{"family":"Haussmann","given":"Lukas"},{"family":"Neumann","given":"Thomas"}],"issued":{"date-parts":[[2026,5]]}}}],"schema":"https://github.com/citation-style-language/schema/raw/master/csl-citation.json"} </w:instrText>
      </w:r>
      <w:r>
        <w:fldChar w:fldCharType="separate"/>
      </w:r>
      <w:r>
        <w:t xml:space="preserve">[2–4]</w:t>
      </w:r>
      <w:r>
        <w:fldChar w:fldCharType="end"/>
      </w:r>
      <w:r>
        <w:t xml:space="preserve">. Our M5 is in the second group and our PCIe baseline uses explicit buffers, not CUDA UM, so the CUDA UM results are context, not a competing measurement.</w:t>
      </w:r>
    </w:p>
    <w:p>
      <w:pPr>
        <w:pStyle w:val="ListParagraph"/>
        <w:numPr>
          <w:ilvl w:val="0"/>
          <w:numId w:val="1"/>
        </w:numPr>
      </w:pPr>
      <w:r>
        <w:rPr>
          <w:b/>
          <w:bCs/>
        </w:rPr>
        <w:t xml:space="preserve">Copy vs zero-copy is workload-dependent</w:t>
      </w:r>
      <w:r>
        <w:t xml:space="preserve">, on embedded iGPUs </w:t>
      </w:r>
      <w:r>
        <w:fldChar w:fldCharType="begin"/>
      </w:r>
      <w:r>
        <w:instrText xml:space="preserve"> ADDIN ZOTERO_ITEM CSL_CITATION {"citationID":"6635feeb","properties":{"formattedCitation":"[9]","plainCitation":"[9]","noteIndex":0},"citationItems":[{"id":"EAW8456R","uris":["http://zotero.org/users/5591478/items/EAW8456R"],"itemData":{"id":"EAW8456R","type":"paper-conference","container-title":"2021 58th ACM/IEEE Design Automation Conference (DAC)","DOI":"10.1109/dac18074.2021.9586304","note":"Citation Key: Lumpp21","page":"685-690","publisher":"IEEE","title":"A Framework for Optimizing CPU-iGPU Communication on Embedded Platforms","URL":"https://doi.org/10.1109/dac18074.2021.9586304","author":[{"family":"Lumpp","given":"Francesco"},{"family":"Patel","given":"Hiren D."},{"family":"Bombieri","given":"Nicola"}],"issued":{"date-parts":[[2021,12]]}}}],"schema":"https://github.com/citation-style-language/schema/raw/master/csl-citation.json"} </w:instrText>
      </w:r>
      <w:r>
        <w:fldChar w:fldCharType="separate"/>
      </w:r>
      <w:r>
        <w:t xml:space="preserve">[9]</w:t>
      </w:r>
      <w:r>
        <w:fldChar w:fldCharType="end"/>
      </w:r>
      <w:r>
        <w:t xml:space="preserve"> as on early APUs </w:t>
      </w:r>
      <w:r>
        <w:fldChar w:fldCharType="begin"/>
      </w:r>
      <w:r>
        <w:instrText xml:space="preserve"> ADDIN ZOTERO_ITEM CSL_CITATION {"citationID":"316c0262","properties":{"formattedCitation":"[8]","plainCitation":"[8]","noteIndex":0},"citationItems":[{"id":"XFCXEPHQ","uris":["http://zotero.org/users/5591478/items/XFCXEPHQ"],"itemData":{"id":"XFCXEPHQ","type":"paper-conference","collection-title":"CF′12","container-title":"Proceedings of the 9th conference on Computing Frontiers","DOI":"10.1145/2212908.2212924","note":"Citation Key: Spafford12","page":"103-112","publisher":"ACM","title":"The tradeoffs of fused memory hierarchies in heterogeneous computing architectures","URL":"https://doi.org/10.1145/2212908.2212924","author":[{"family":"Spafford","given":"Kyle L."},{"family":"Meredith","given":"Jeremy S."},{"family":"Lee","given":"Seyong"},{"family":"Li","given":"Dong"},{"family":"Roth","given":"Philip C."},{"family":"Vetter","given":"Jeffrey S."}],"issued":{"date-parts":[[2012,5]]}}}],"schema":"https://github.com/citation-style-language/schema/raw/master/csl-citation.json"} </w:instrText>
      </w:r>
      <w:r>
        <w:fldChar w:fldCharType="separate"/>
      </w:r>
      <w:r>
        <w:t xml:space="preserve">[8]</w:t>
      </w:r>
      <w:r>
        <w:fldChar w:fldCharType="end"/>
      </w:r>
      <w:r>
        <w:t xml:space="preserve">. Our Sect. 6 crossover measures that dependence directly in payload size and GPU state, on one benchmark that runs unchanged on both platforms.</w:t>
      </w:r>
    </w:p>
    <w:p>
      <w:pPr>
        <w:pStyle w:val="ListParagraph"/>
        <w:numPr>
          <w:ilvl w:val="0"/>
          <w:numId w:val="1"/>
        </w:numPr>
      </w:pPr>
      <w:r>
        <w:rPr>
          <w:b/>
          <w:bCs/>
        </w:rPr>
        <w:t xml:space="preserve">Collaboration benchmarks</w:t>
      </w:r>
      <w:r>
        <w:t xml:space="preserve"> </w:t>
      </w:r>
      <w:r>
        <w:fldChar w:fldCharType="begin"/>
      </w:r>
      <w:r>
        <w:instrText xml:space="preserve"> ADDIN ZOTERO_ITEM CSL_CITATION {"citationID":"5b126fa5","properties":{"formattedCitation":"[10, 11]","plainCitation":"[10, 11]","noteIndex":0},"citationItems":[{"id":"IXIHP6NZ","uris":["http://zotero.org/users/5591478/items/IXIHP6NZ"],"itemData":{"id":"IXIHP6NZ","type":"paper-conference","container-title":"2017 IEEE International Symposium on Performance Analysis of Systems and Software (ISPASS)","DOI":"10.1109/ispass.2017.7975269","note":"Citation Key: GomezLuna17","page":"43-54","publisher":"IEEE","title":"Chai: Collaborative heterogeneous applications for integrated-architectures","URL":"https://doi.org/10.1109/ispass.2017.7975269","author":[{"family":"Gómez-Luna","given":"Juan"},{"family":"El Hajj","given":"Izzat"},{"family":"Chang","given":"Li-Wen"},{"family":"García-Flores","given":"Victor"},{"family":"Garcia de Gonzalo","given":"Simon"},{"family":"Jablin","given":"Thomas B."},{"family":"Peña","given":"Antonio J."},{"family":"Hwu","given":"Wen-mei"}],"issued":{"date-parts":[[2017,4]]}}},{"id":"S8VS4KSE","uris":["http://zotero.org/users/5591478/items/S8VS4KSE"],"itemData":{"id":"S8VS4KSE","type":"paper-conference","container-title":"2016 IEEE International Symposium on Workload Characterization (IISWC)","DOI":"10.1109/iiswc.2016.7581262","note":"Citation Key: Sun16","page":"1-10","publisher":"IEEE","title":"Hetero-mark, a benchmark suite for CPU-GPU collaborative computing","URL":"https://doi.org/10.1109/iiswc.2016.7581262","author":[{"family":"Sun","given":"Yifan"},{"family":"Gong","given":"Xiang"},{"family":"Ziabari","given":"Amir Kavyan"},{"family":"Yu","given":"Leiming"},{"family":"Li","given":"Xiangyu"},{"family":"Mukherjee","given":"Saoni"},{"family":"McCardwell","given":"Carter"},{"family":"Villegas","given":"Alejandro"},{"family":"Kaeli","given":"David"}],"issued":{"date-parts":[[2016,9]]}}}],"schema":"https://github.com/citation-style-language/schema/raw/master/csl-citation.json"} </w:instrText>
      </w:r>
      <w:r>
        <w:fldChar w:fldCharType="separate"/>
      </w:r>
      <w:r>
        <w:t xml:space="preserve">[10, 11]</w:t>
      </w:r>
      <w:r>
        <w:fldChar w:fldCharType="end"/>
      </w:r>
      <w:r>
        <w:t xml:space="preserve"> define the fine-grained CPU–GPU patterns, but they target integrated architectures through OpenCL, CUDA or C++ AMP, and Gera et al. </w:t>
      </w:r>
      <w:r>
        <w:fldChar w:fldCharType="begin"/>
      </w:r>
      <w:r>
        <w:instrText xml:space="preserve"> ADDIN ZOTERO_ITEM CSL_CITATION {"citationID":"599729fe","properties":{"formattedCitation":"[12]","plainCitation":"[12]","noteIndex":0},"citationItems":[{"id":"SUVUGF4V","uris":["http://zotero.org/users/5591478/items/SUVUGF4V"],"itemData":{"id":"SUVUGF4V","type":"paper-conference","container-title":"2018 IEEE International Symposium on Performance Analysis of Systems and Software (ISPASS)","DOI":"10.1109/ispass.2018.00027","note":"Citation Key: Gera18","page":"139-148","publisher":"IEEE","title":"Performance Characterisation and Simulation of Intel’s Integrated GPU Architecture","URL":"https://doi.org/10.1109/ispass.2018.00027","author":[{"family":"Gera","given":"Prasun"},{"family":"Kim","given":"Hyojong"},{"family":"Kim","given":"Hyesoon"},{"family":"Hong","given":"Sunpyo"},{"family":"George","given":"Vinod"},{"family":"Luk","given":"Chi-Keung"}],"issued":{"date-parts":[[2018,4]]}}}],"schema":"https://github.com/citation-style-language/schema/raw/master/csl-citation.json"} </w:instrText>
      </w:r>
      <w:r>
        <w:fldChar w:fldCharType="separate"/>
      </w:r>
      <w:r>
        <w:t xml:space="preserve">[12]</w:t>
      </w:r>
      <w:r>
        <w:fldChar w:fldCharType="end"/>
      </w:r>
      <w:r>
        <w:t xml:space="preserve"> characterize Intel's integrated GPU with microbenchmarks that include CPU–GPU cache sharing. Neither compares a unified-memory SoC with a discrete GPU on one shader source with identical buffer layouts.</w:t>
      </w:r>
    </w:p>
    <w:p>
      <w:pPr>
        <w:pStyle w:val="ListParagraph"/>
        <w:numPr>
          <w:ilvl w:val="0"/>
          <w:numId w:val="1"/>
        </w:numPr>
      </w:pPr>
      <w:r>
        <w:rPr>
          <w:b/>
          <w:bCs/>
        </w:rPr>
        <w:t xml:space="preserve">Apple Silicon studies</w:t>
      </w:r>
      <w:r>
        <w:t xml:space="preserve"> </w:t>
      </w:r>
      <w:r>
        <w:fldChar w:fldCharType="begin"/>
      </w:r>
      <w:r>
        <w:instrText xml:space="preserve"> ADDIN ZOTERO_ITEM CSL_CITATION {"citationID":"bdd12aee","properties":{"formattedCitation":"[3, 4, 13]","plainCitation":"[3, 4, 13]","noteIndex":0},"citationItems":[{"id":"B5Q9E3C9","uris":["http://zotero.org/users/5591478/items/B5Q9E3C9"],"itemData":{"id":"B5Q9E3C9","type":"article","DOI":"10.48550/arXiv.2502.05317","note":"Citation Key: Huebner25","number":"arXiv:2502.05317","publisher":"arXiv","title":"Apple vs. Oranges: Evaluating the Apple Silicon M-Series SoCs for HPC Performance and Efficiency","URL":"https://arxiv.org/abs/2502.05317","author":[{"family":"Hübner","given":"Paul"},{"family":"Hu","given":"Andong"},{"family":"Peng","given":"Ivy"},{"family":"Markidis","given":"Stefano"}],"issued":{"date-parts":[[2025]]}}},{"id":"9RHUAUDT","uris":["http://zotero.org/users/5591478/items/9RHUAUDT"],"itemData":{"id":"9RHUAUDT","type":"paper-conference","collection-title":"DaMoN ’26","container-title":"Proceedings of the 22nd International Workshop on Data Management on New Hardware","DOI":"10.1145/3789237.3809127","note":"Citation Key: Beischl26","page":"1-10","publisher":"ACM","title":"Evaluating Apple Silicon for Data Processing","URL":"https://doi.org/10.1145/3789237.3809127","author":[{"family":"Beischl","given":"Alexander"},{"family":"Morozov","given":"Mykola"},{"family":"Jungmair","given":"Michael"},{"family":"Haussmann","given":"Lukas"},{"family":"Neumann","given":"Thomas"}],"issued":{"date-parts":[[2026,5]]}}},{"id":"MFGDN9HN","uris":["http://zotero.org/users/5591478/items/MFGDN9HN"],"itemData":{"id":"MFGDN9HN","type":"article","DOI":"10.48550/arXiv.2501.14925","note":"Citation Key: Feng25","number":"arXiv:2501.14925","publisher":"arXiv","title":"Profiling Apple Silicon Performance for ML Training","URL":"https://arxiv.org/abs/2501.14925","author":[{"family":"Feng","given":"Dahua"},{"family":"Xu","given":"Zhiming"},{"family":"Wang","given":"Rongxiang"},{"family":"Lin","given":"Felix Xiaozhu"}],"issued":{"date-parts":[[2025]]}}}],"schema":"https://github.com/citation-style-language/schema/raw/master/csl-citation.json"} </w:instrText>
      </w:r>
      <w:r>
        <w:fldChar w:fldCharType="separate"/>
      </w:r>
      <w:r>
        <w:t xml:space="preserve">[3, 4, 13]</w:t>
      </w:r>
      <w:r>
        <w:fldChar w:fldCharType="end"/>
      </w:r>
      <w:r>
        <w:t xml:space="preserve"> look at ML training, HPC kernels and databases.</w:t>
      </w:r>
    </w:p>
    <w:p>
      <w:pPr>
        <w:pStyle w:val="ListParagraph"/>
        <w:numPr>
          <w:ilvl w:val="1"/>
          <w:numId w:val="1"/>
        </w:numPr>
      </w:pPr>
      <w:r>
        <w:t xml:space="preserve">Feng et al. </w:t>
      </w:r>
      <w:r>
        <w:fldChar w:fldCharType="begin"/>
      </w:r>
      <w:r>
        <w:instrText xml:space="preserve"> ADDIN ZOTERO_ITEM CSL_CITATION {"citationID":"0f0bdfed","properties":{"formattedCitation":"[13]","plainCitation":"[13]","noteIndex":0},"citationItems":[{"id":"MFGDN9HN","uris":["http://zotero.org/users/5591478/items/MFGDN9HN"],"itemData":{"id":"MFGDN9HN","type":"article","DOI":"10.48550/arXiv.2501.14925","note":"Citation Key: Feng25","number":"arXiv:2501.14925","publisher":"arXiv","title":"Profiling Apple Silicon Performance for ML Training","URL":"https://arxiv.org/abs/2501.14925","author":[{"family":"Feng","given":"Dahua"},{"family":"Xu","given":"Zhiming"},{"family":"Wang","given":"Rongxiang"},{"family":"Lin","given":"Felix Xiaozhu"}],"issued":{"date-parts":[[2025]]}}}],"schema":"https://github.com/citation-style-language/schema/raw/master/csl-citation.json"} </w:instrText>
      </w:r>
      <w:r>
        <w:fldChar w:fldCharType="separate"/>
      </w:r>
      <w:r>
        <w:t xml:space="preserve">[13]</w:t>
      </w:r>
      <w:r>
        <w:fldChar w:fldCharType="end"/>
      </w:r>
      <w:r>
        <w:t xml:space="preserve"> already point to kernel launch time as a factor in the gap with NVIDIA.</w:t>
      </w:r>
    </w:p>
    <w:p>
      <w:pPr>
        <w:pStyle w:val="ListParagraph"/>
        <w:numPr>
          <w:ilvl w:val="1"/>
          <w:numId w:val="1"/>
        </w:numPr>
      </w:pPr>
      <w:r>
        <w:t xml:space="preserve">None measures repeated round trips within a real-time frame budget, or the GPU power-state effect we see in the CPU→GPU hand-off (Sect. 5, Sect. 6).</w:t>
      </w:r>
    </w:p>
    <w:p>
      <w:pPr>
        <w:pStyle w:val="ListParagraph"/>
        <w:numPr>
          <w:ilvl w:val="0"/>
          <w:numId w:val="1"/>
        </w:numPr>
      </w:pPr>
      <w:r>
        <w:rPr>
          <w:b/>
          <w:bCs/>
        </w:rPr>
        <w:t xml:space="preserve">Launch and dispatch overhead are known to be tens of µs, but measured one way.</w:t>
      </w:r>
      <w:r>
        <w:t xml:space="preserve"> Maczan </w:t>
      </w:r>
      <w:r>
        <w:fldChar w:fldCharType="begin"/>
      </w:r>
      <w:r>
        <w:instrText xml:space="preserve"> ADDIN ZOTERO_ITEM CSL_CITATION {"citationID":"b34883b6","properties":{"formattedCitation":"[14]","plainCitation":"[14]","noteIndex":0},"citationItems":[{"id":"Q7E37WC4","uris":["http://zotero.org/users/5591478/items/Q7E37WC4"],"itemData":{"id":"Q7E37WC4","type":"article","DOI":"10.48550/arXiv.2608.08730","note":"Citation Key: Maczan26","number":"arXiv:2608.08730","publisher":"arXiv","title":"Measuring and Reducing WebGPU Dispatch Overhead for LLM Inference","URL":"https://arxiv.org/abs/2608.08730","author":[{"family":"Maczan","given":"Jędrzej"}],"issued":{"date-parts":[[2026]]}}}],"schema":"https://github.com/citation-style-language/schema/raw/master/csl-citation.json"} </w:instrText>
      </w:r>
      <w:r>
        <w:fldChar w:fldCharType="separate"/>
      </w:r>
      <w:r>
        <w:t xml:space="preserve">[14]</w:t>
      </w:r>
      <w:r>
        <w:fldChar w:fldCharType="end"/>
      </w:r>
      <w:r>
        <w:t xml:space="preserve"> separates the marginal cost of a dispatch (24–36 µs Vulkan, 32–71 µs Metal) from the synchronization that a naive single-op timing folds in (450 of 497 µs). Cassagne et al. </w:t>
      </w:r>
      <w:r>
        <w:fldChar w:fldCharType="begin"/>
      </w:r>
      <w:r>
        <w:instrText xml:space="preserve"> ADDIN ZOTERO_ITEM CSL_CITATION {"citationID":"dba1fdf3","properties":{"formattedCitation":"[15]","plainCitation":"[15]","noteIndex":0},"citationItems":[{"id":"TE2TJ63A","uris":["http://zotero.org/users/5591478/items/TE2TJ63A"],"itemData":{"id":"TE2TJ63A","type":"article","DOI":"10.48550/arXiv.2508.10481","note":"Citation Key: Cassagne25","number":"arXiv:2508.10481","publisher":"arXiv","title":"Dalek: An Unconventional and Energy-Aware Heterogeneous Cluster","URL":"https://arxiv.org/abs/2508.10481","author":[{"family":"Cassagne","given":"Adrien"},{"family":"Amiot","given":"Noé"},{"family":"Bouyer","given":"Manuel"}],"issued":{"date-parts":[[2025]]}}}],"schema":"https://github.com/citation-style-language/schema/raw/master/csl-citation.json"} </w:instrText>
      </w:r>
      <w:r>
        <w:fldChar w:fldCharType="separate"/>
      </w:r>
      <w:r>
        <w:t xml:space="preserve">[15]</w:t>
      </w:r>
      <w:r>
        <w:fldChar w:fldCharType="end"/>
      </w:r>
      <w:r>
        <w:t xml:space="preserve"> report host-to-kernel-start latency from ≈ 5 µs (RTX 4090) to 35–40 µs (Intel iGPUs). Both measure the CPU→GPU direction only. Our round trip is exactly the part they exclude: the full hand-off in both directions, repeated within a frame, which is what a game pays for each K.</w:t>
      </w:r>
    </w:p>
    <w:p>
      <w:pPr>
        <w:pStyle w:val="ListParagraph"/>
        <w:numPr>
          <w:ilvl w:val="0"/>
          <w:numId w:val="1"/>
        </w:numPr>
      </w:pPr>
      <w:r>
        <w:rPr>
          <w:b/>
          <w:bCs/>
        </w:rPr>
        <w:t xml:space="preserve">GPU power-state transitions are slow and vendor-specific.</w:t>
      </w:r>
      <w:r>
        <w:t xml:space="preserve"> Velicka et al. </w:t>
      </w:r>
      <w:r>
        <w:fldChar w:fldCharType="begin"/>
      </w:r>
      <w:r>
        <w:instrText xml:space="preserve"> ADDIN ZOTERO_ITEM CSL_CITATION {"citationID":"2dc5e099","properties":{"formattedCitation":"[16, 17]","plainCitation":"[16, 17]","noteIndex":0},"citationItems":[{"id":"JH7NE5WJ","uris":["http://zotero.org/users/5591478/items/JH7NE5WJ"],"itemData":{"id":"JH7NE5WJ","type":"paper-conference","container-title":"2025 IEEE International Parallel and Distributed Processing Symposium Workshops (IPDPSW)","DOI":"10.1109/ipdpsw66978.2025.00133","note":"Citation Key: Velicka25","page":"830-839","publisher":"IEEE","title":"Methodology for GPU Frequency Switching Latency Measurement","URL":"https://doi.org/10.1109/ipdpsw66978.2025.00133","author":[{"family":"Velicka","given":"Daniel"},{"family":"Vysocky","given":"Ondrej"},{"family":"Riha","given":"Lubomir"}],"issued":{"date-parts":[[2025,6]]}}},{"id":"63M2D7IM","uris":["http://zotero.org/users/5591478/items/63M2D7IM"],"itemData":{"id":"63M2D7IM","type":"article-journal","container-title":"Future Generation Computer Systems","DOI":"10.1016/j.future.2025.108331","ISSN":"0167-739X","note":"Citation Key: Velicka26","page":"108331","title":"An in-depth study of GPU frequency-scaling latency and its optimization on modern architectures","URL":"https://doi.org/10.1016/j.future.2025.108331","volume":"179","author":[{"family":"Velicka","given":"Daniel"},{"family":"Vysocky","given":"Ondrej"},{"family":"Yasal","given":"Osman"},{"family":"Riha","given":"Lubomir"}],"issued":{"date-parts":[[2026,6]]}}}],"schema":"https://github.com/citation-style-language/schema/raw/master/csl-citation.json"} </w:instrText>
      </w:r>
      <w:r>
        <w:fldChar w:fldCharType="separate"/>
      </w:r>
      <w:r>
        <w:t xml:space="preserve">[16, 17]</w:t>
      </w:r>
      <w:r>
        <w:fldChar w:fldCharType="end"/>
      </w:r>
      <w:r>
        <w:t xml:space="preserve"> measure DVFS switching latency on data-centre NVIDIA GPUs and find that it differs widely between GPUs. We found no study of idle-state exit latency, on Apple or NVIDIA. So Sects. 5 and 6 can only say the multimodal M5 hand-off is "consistent with" a power-state effect, and the hot-GPU cells test that reading directly.</w:t>
      </w:r>
    </w:p>
    <w:p>
      <w:pPr>
        <w:pStyle w:val="ListParagraph"/>
        <w:numPr>
          <w:ilvl w:val="0"/>
          <w:numId w:val="1"/>
        </w:numPr>
      </w:pPr>
      <w:r>
        <w:rPr>
          <w:b/>
          <w:bCs/>
        </w:rPr>
        <w:t xml:space="preserve">Workload side.</w:t>
      </w:r>
      <w:r>
        <w:t xml:space="preserve"> Hybrid CPU+GPU crowd simulation exists as an HPC problem </w:t>
      </w:r>
      <w:r>
        <w:fldChar w:fldCharType="begin"/>
      </w:r>
      <w:r>
        <w:instrText xml:space="preserve"> ADDIN ZOTERO_ITEM CSL_CITATION {"citationID":"04c680c3","properties":{"formattedCitation":"[18]","plainCitation":"[18]","noteIndex":0},"citationItems":[{"id":"HHZZZEFU","uris":["http://zotero.org/users/5591478/items/HHZZZEFU"],"itemData":{"id":"HHZZZEFU","type":"article-journal","container-title":"Simulation Modelling Practice and Theory","DOI":"10.1016/j.simpat.2022.102691","ISSN":"1569-190X","note":"Citation Key: Skrzypczak23","page":"102691","title":"Efficient parallel implementation of crowd simulation using a hybrid CPU+GPU high performance computing system","URL":"https://doi.org/10.1016/j.simpat.2022.102691","volume":"123","author":[{"family":"Skrzypczak","given":"Jakub"},{"family":"Czarnul","given":"Paweł"}],"issued":{"date-parts":[[2023,2]]}}}],"schema":"https://github.com/citation-style-language/schema/raw/master/csl-citation.json"} </w:instrText>
      </w:r>
      <w:r>
        <w:fldChar w:fldCharType="separate"/>
      </w:r>
      <w:r>
        <w:t xml:space="preserve">[18]</w:t>
      </w:r>
      <w:r>
        <w:fldChar w:fldCharType="end"/>
      </w:r>
      <w:r>
        <w:t xml:space="preserve">: load balancing over 10k–1M agents, throughput-oriented. Real-time swarms with CPU-side decisions inside a 16.7 ms frame are not studied there.</w:t>
      </w:r>
    </w:p>
    <w:p>
      <w:pPr>
        <w:pStyle w:val="Normal"/>
      </w:pPr>
      <w:r>
        <w:rPr>
          <w:b/>
          <w:bCs/>
        </w:rPr>
        <w:t xml:space="preserve">Gap.</w:t>
      </w:r>
      <w:r>
        <w:t xml:space="preserve"> We are not aware of a peer-reviewed measurement of fine-grained, multiple-per-step CPU–GPU round trips that compares a shared-memory SoC with PCIe GPUs on identical algorithms, ties the result to a real-time agent workload, or studies ReBAR's effect on the CPU→GPU write path. The ReBAR measurements we found are consumer game benchmarks, not controlled latency studies.</w:t>
      </w:r>
    </w:p>
    <w:p>
      <w:pPr>
        <w:pStyle w:val="Heading1"/>
        <w:keepNext/>
      </w:pPr>
      <w:r>
        <w:t xml:space="preserve">3 Platforms</w:t>
      </w:r>
    </w:p>
    <w:p>
      <w:pPr>
        <w:pStyle w:val="Caption"/>
        <w:keepNext/>
      </w:pPr>
      <w:r>
        <w:rPr>
          <w:b/>
          <w:bCs/>
        </w:rPr>
        <w:t xml:space="preserve">Table 1 </w:t>
      </w:r>
      <w:r>
        <w:t xml:space="preserve">The two platforms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6"/>
        <w:gridCol w:w="3801"/>
        <w:gridCol w:w="3849"/>
      </w:tblGrid>
      <w:tr>
        <w:trPr>
          <w:cantSplit/>
          <w:tblHeader/>
        </w:trPr>
        <w:tc>
          <w:tcPr>
            <w:tcW w:w="1376" w:type="dxa"/>
            <w:tcBorders>
              <w:top w:val="single" w:sz="4" w:space="0" w:color="auto"/>
              <w:bottom w:val="single" w:sz="4" w:space="0" w:color="auto"/>
            </w:tcBorders>
          </w:tcPr>
          <w:p>
            <w:pPr>
              <w:pStyle w:val="TableCell"/>
              <w:jc w:val="left"/>
            </w:pPr>
          </w:p>
        </w:tc>
        <w:tc>
          <w:tcPr>
            <w:tcW w:w="3801" w:type="dxa"/>
            <w:tcBorders>
              <w:top w:val="single" w:sz="4" w:space="0" w:color="auto"/>
              <w:bottom w:val="single" w:sz="4" w:space="0" w:color="auto"/>
            </w:tcBorders>
          </w:tcPr>
          <w:p>
            <w:pPr>
              <w:pStyle w:val="TableCell"/>
              <w:jc w:val="left"/>
            </w:pPr>
            <w:r>
              <w:rPr>
                <w:b/>
                <w:bCs/>
              </w:rPr>
              <w:t xml:space="preserve">P-M5</w:t>
            </w:r>
          </w:p>
        </w:tc>
        <w:tc>
          <w:tcPr>
            <w:tcW w:w="3849" w:type="dxa"/>
            <w:tcBorders>
              <w:top w:val="single" w:sz="4" w:space="0" w:color="auto"/>
              <w:bottom w:val="single" w:sz="4" w:space="0" w:color="auto"/>
            </w:tcBorders>
          </w:tcPr>
          <w:p>
            <w:pPr>
              <w:pStyle w:val="TableCell"/>
              <w:jc w:val="left"/>
            </w:pPr>
            <w:r>
              <w:rPr>
                <w:b/>
                <w:bCs/>
              </w:rPr>
              <w:t xml:space="preserve">P-3060</w:t>
            </w:r>
          </w:p>
        </w:tc>
      </w:tr>
      <w:tr>
        <w:trPr>
          <w:cantSplit/>
        </w:trPr>
        <w:tc>
          <w:tcPr>
            <w:tcW w:w="1376" w:type="dxa"/>
            <w:tcBorders/>
          </w:tcPr>
          <w:p>
            <w:pPr>
              <w:pStyle w:val="TableCell"/>
              <w:jc w:val="left"/>
            </w:pPr>
            <w:r>
              <w:t xml:space="preserve">system</w:t>
            </w:r>
          </w:p>
        </w:tc>
        <w:tc>
          <w:tcPr>
            <w:tcW w:w="3801" w:type="dxa"/>
            <w:tcBorders/>
          </w:tcPr>
          <w:p>
            <w:pPr>
              <w:pStyle w:val="TableCell"/>
              <w:jc w:val="left"/>
            </w:pPr>
            <w:r>
              <w:t xml:space="preserve">MacBook Air 15" (Mac17,4), fanless</w:t>
            </w:r>
          </w:p>
        </w:tc>
        <w:tc>
          <w:tcPr>
            <w:tcW w:w="3849" w:type="dxa"/>
            <w:tcBorders/>
          </w:tcPr>
          <w:p>
            <w:pPr>
              <w:pStyle w:val="TableCell"/>
              <w:jc w:val="left"/>
            </w:pPr>
            <w:r>
              <w:t xml:space="preserve">desktop, MSI MS-B9241 board</w:t>
            </w:r>
          </w:p>
        </w:tc>
      </w:tr>
      <w:tr>
        <w:trPr>
          <w:cantSplit/>
        </w:trPr>
        <w:tc>
          <w:tcPr>
            <w:tcW w:w="1376" w:type="dxa"/>
            <w:tcBorders/>
          </w:tcPr>
          <w:p>
            <w:pPr>
              <w:pStyle w:val="TableCell"/>
              <w:jc w:val="left"/>
            </w:pPr>
            <w:r>
              <w:t xml:space="preserve">CPU</w:t>
            </w:r>
          </w:p>
        </w:tc>
        <w:tc>
          <w:tcPr>
            <w:tcW w:w="3801" w:type="dxa"/>
            <w:tcBorders/>
          </w:tcPr>
          <w:p>
            <w:pPr>
              <w:pStyle w:val="TableCell"/>
              <w:jc w:val="left"/>
            </w:pPr>
            <w:r>
              <w:t xml:space="preserve">Apple M5, 4 performance + 6 efficiency cores</w:t>
            </w:r>
          </w:p>
        </w:tc>
        <w:tc>
          <w:tcPr>
            <w:tcW w:w="3849" w:type="dxa"/>
            <w:tcBorders/>
          </w:tcPr>
          <w:p>
            <w:pPr>
              <w:pStyle w:val="TableCell"/>
              <w:jc w:val="left"/>
            </w:pPr>
            <w:r>
              <w:t xml:space="preserve">Intel Core i7-12700F, 12 cores / 20 threads</w:t>
            </w:r>
          </w:p>
        </w:tc>
      </w:tr>
      <w:tr>
        <w:trPr>
          <w:cantSplit/>
        </w:trPr>
        <w:tc>
          <w:tcPr>
            <w:tcW w:w="1376" w:type="dxa"/>
            <w:tcBorders/>
          </w:tcPr>
          <w:p>
            <w:pPr>
              <w:pStyle w:val="TableCell"/>
              <w:jc w:val="left"/>
            </w:pPr>
            <w:r>
              <w:t xml:space="preserve">GPU</w:t>
            </w:r>
          </w:p>
        </w:tc>
        <w:tc>
          <w:tcPr>
            <w:tcW w:w="3801" w:type="dxa"/>
            <w:tcBorders/>
          </w:tcPr>
          <w:p>
            <w:pPr>
              <w:pStyle w:val="TableCell"/>
              <w:jc w:val="left"/>
            </w:pPr>
            <w:r>
              <w:t xml:space="preserve">Apple M5, 10 cores, unified memory</w:t>
            </w:r>
          </w:p>
        </w:tc>
        <w:tc>
          <w:tcPr>
            <w:tcW w:w="3849" w:type="dxa"/>
            <w:tcBorders/>
          </w:tcPr>
          <w:p>
            <w:pPr>
              <w:pStyle w:val="TableCell"/>
              <w:jc w:val="left"/>
            </w:pPr>
            <w:r>
              <w:t xml:space="preserve">NVIDIA RTX 3060 Ti, 8 GB</w:t>
            </w:r>
          </w:p>
        </w:tc>
      </w:tr>
      <w:tr>
        <w:trPr>
          <w:cantSplit/>
        </w:trPr>
        <w:tc>
          <w:tcPr>
            <w:tcW w:w="1376" w:type="dxa"/>
            <w:tcBorders/>
          </w:tcPr>
          <w:p>
            <w:pPr>
              <w:pStyle w:val="TableCell"/>
              <w:jc w:val="left"/>
            </w:pPr>
            <w:r>
              <w:t xml:space="preserve">memory</w:t>
            </w:r>
          </w:p>
        </w:tc>
        <w:tc>
          <w:tcPr>
            <w:tcW w:w="3801" w:type="dxa"/>
            <w:tcBorders/>
          </w:tcPr>
          <w:p>
            <w:pPr>
              <w:pStyle w:val="TableCell"/>
              <w:jc w:val="left"/>
            </w:pPr>
            <w:r>
              <w:t xml:space="preserve">24 GiB unified</w:t>
            </w:r>
          </w:p>
        </w:tc>
        <w:tc>
          <w:tcPr>
            <w:tcW w:w="3849" w:type="dxa"/>
            <w:tcBorders/>
          </w:tcPr>
          <w:p>
            <w:pPr>
              <w:pStyle w:val="TableCell"/>
              <w:jc w:val="left"/>
            </w:pPr>
            <w:r>
              <w:t xml:space="preserve">32 GB system</w:t>
            </w:r>
          </w:p>
        </w:tc>
      </w:tr>
      <w:tr>
        <w:trPr>
          <w:cantSplit/>
        </w:trPr>
        <w:tc>
          <w:tcPr>
            <w:tcW w:w="1376" w:type="dxa"/>
            <w:tcBorders/>
          </w:tcPr>
          <w:p>
            <w:pPr>
              <w:pStyle w:val="TableCell"/>
              <w:jc w:val="left"/>
            </w:pPr>
            <w:r>
              <w:t xml:space="preserve">link</w:t>
            </w:r>
          </w:p>
        </w:tc>
        <w:tc>
          <w:tcPr>
            <w:tcW w:w="3801" w:type="dxa"/>
            <w:tcBorders/>
          </w:tcPr>
          <w:p>
            <w:pPr>
              <w:pStyle w:val="TableCell"/>
              <w:jc w:val="left"/>
            </w:pPr>
            <w:r>
              <w:t xml:space="preserve">none (shared memory)</w:t>
            </w:r>
          </w:p>
        </w:tc>
        <w:tc>
          <w:tcPr>
            <w:tcW w:w="3849" w:type="dxa"/>
            <w:tcBorders/>
          </w:tcPr>
          <w:p>
            <w:pPr>
              <w:pStyle w:val="TableCell"/>
              <w:jc w:val="left"/>
            </w:pPr>
            <w:r>
              <w:t xml:space="preserve">PCIe </w:t>
            </w:r>
            <w:r>
              <w:rPr>
                <w:b/>
                <w:bCs/>
              </w:rPr>
              <w:t xml:space="preserve">gen3</w:t>
            </w:r>
            <w:r>
              <w:t xml:space="preserve"> x16, measured under load in every run</w:t>
            </w:r>
          </w:p>
        </w:tc>
      </w:tr>
      <w:tr>
        <w:trPr>
          <w:cantSplit/>
        </w:trPr>
        <w:tc>
          <w:tcPr>
            <w:tcW w:w="1376" w:type="dxa"/>
            <w:tcBorders/>
          </w:tcPr>
          <w:p>
            <w:pPr>
              <w:pStyle w:val="TableCell"/>
              <w:jc w:val="left"/>
            </w:pPr>
            <w:r>
              <w:t xml:space="preserve">OS / driver</w:t>
            </w:r>
          </w:p>
        </w:tc>
        <w:tc>
          <w:tcPr>
            <w:tcW w:w="3801" w:type="dxa"/>
            <w:tcBorders/>
          </w:tcPr>
          <w:p>
            <w:pPr>
              <w:pStyle w:val="TableCell"/>
              <w:jc w:val="left"/>
            </w:pPr>
            <w:r>
              <w:t xml:space="preserve">macOS 26.6.2 (25G83)</w:t>
            </w:r>
          </w:p>
        </w:tc>
        <w:tc>
          <w:tcPr>
            <w:tcW w:w="3849" w:type="dxa"/>
            <w:tcBorders/>
          </w:tcPr>
          <w:p>
            <w:pPr>
              <w:pStyle w:val="TableCell"/>
              <w:jc w:val="left"/>
            </w:pPr>
            <w:r>
              <w:t xml:space="preserve">Windows 11 (10.0.26200), driver 566.36</w:t>
            </w:r>
          </w:p>
        </w:tc>
      </w:tr>
      <w:tr>
        <w:trPr>
          <w:cantSplit/>
        </w:trPr>
        <w:tc>
          <w:tcPr>
            <w:tcW w:w="1376" w:type="dxa"/>
            <w:tcBorders/>
          </w:tcPr>
          <w:p>
            <w:pPr>
              <w:pStyle w:val="TableCell"/>
              <w:jc w:val="left"/>
            </w:pPr>
            <w:r>
              <w:t xml:space="preserve">API</w:t>
            </w:r>
          </w:p>
        </w:tc>
        <w:tc>
          <w:tcPr>
            <w:tcW w:w="3801" w:type="dxa"/>
            <w:tcBorders/>
          </w:tcPr>
          <w:p>
            <w:pPr>
              <w:pStyle w:val="TableCell"/>
              <w:jc w:val="left"/>
            </w:pPr>
            <w:r>
              <w:t xml:space="preserve">Metal (metal-cpp)</w:t>
            </w:r>
          </w:p>
        </w:tc>
        <w:tc>
          <w:tcPr>
            <w:tcW w:w="3849" w:type="dxa"/>
            <w:tcBorders/>
          </w:tcPr>
          <w:p>
            <w:pPr>
              <w:pStyle w:val="TableCell"/>
              <w:jc w:val="left"/>
            </w:pPr>
            <w:r>
              <w:t xml:space="preserve">Vulkan 1.3.289</w:t>
            </w:r>
          </w:p>
        </w:tc>
      </w:tr>
      <w:tr>
        <w:trPr>
          <w:cantSplit/>
        </w:trPr>
        <w:tc>
          <w:tcPr>
            <w:tcW w:w="1376" w:type="dxa"/>
            <w:tcBorders/>
          </w:tcPr>
          <w:p>
            <w:pPr>
              <w:pStyle w:val="TableCell"/>
              <w:jc w:val="left"/>
            </w:pPr>
            <w:r>
              <w:t xml:space="preserve">power</w:t>
            </w:r>
          </w:p>
        </w:tc>
        <w:tc>
          <w:tcPr>
            <w:tcW w:w="3801" w:type="dxa"/>
            <w:tcBorders/>
          </w:tcPr>
          <w:p>
            <w:pPr>
              <w:pStyle w:val="TableCell"/>
              <w:jc w:val="left"/>
            </w:pPr>
            <w:r>
              <w:t xml:space="preserve">AC, Low Power Mode off; thermal state "fair" throughout</w:t>
            </w:r>
          </w:p>
        </w:tc>
        <w:tc>
          <w:tcPr>
            <w:tcW w:w="3849" w:type="dxa"/>
            <w:tcBorders/>
          </w:tcPr>
          <w:p>
            <w:pPr>
              <w:pStyle w:val="TableCell"/>
              <w:jc w:val="left"/>
            </w:pPr>
            <w:r>
              <w:t xml:space="preserve">Ultimate Performance plan, "Prefer maximum performance"</w:t>
            </w:r>
          </w:p>
        </w:tc>
      </w:tr>
      <w:tr>
        <w:trPr>
          <w:cantSplit/>
        </w:trPr>
        <w:tc>
          <w:tcPr>
            <w:tcW w:w="1376" w:type="dxa"/>
            <w:tcBorders>
              <w:bottom w:val="single" w:sz="4" w:space="0" w:color="auto"/>
            </w:tcBorders>
          </w:tcPr>
          <w:p>
            <w:pPr>
              <w:pStyle w:val="TableCell"/>
              <w:jc w:val="left"/>
            </w:pPr>
            <w:r>
              <w:t xml:space="preserve">ReBAR</w:t>
            </w:r>
          </w:p>
        </w:tc>
        <w:tc>
          <w:tcPr>
            <w:tcW w:w="3801" w:type="dxa"/>
            <w:tcBorders>
              <w:bottom w:val="single" w:sz="4" w:space="0" w:color="auto"/>
            </w:tcBorders>
          </w:tcPr>
          <w:p>
            <w:pPr>
              <w:pStyle w:val="TableCell"/>
              <w:jc w:val="left"/>
            </w:pPr>
            <w:r>
              <w:t xml:space="preserve">n/a</w:t>
            </w:r>
          </w:p>
        </w:tc>
        <w:tc>
          <w:tcPr>
            <w:tcW w:w="3849" w:type="dxa"/>
            <w:tcBorders>
              <w:bottom w:val="single" w:sz="4" w:space="0" w:color="auto"/>
            </w:tcBorders>
          </w:tcPr>
          <w:p>
            <w:pPr>
              <w:pStyle w:val="TableCell"/>
              <w:jc w:val="left"/>
            </w:pPr>
            <w:r>
              <w:t xml:space="preserve">on (BAR heap 8024 MB, primary) and off (214 MB, separate series)</w:t>
            </w:r>
          </w:p>
        </w:tc>
      </w:tr>
    </w:tbl>
    <w:p>
      <w:pPr>
        <w:pStyle w:val="Spacer"/>
      </w:pPr>
    </w:p>
    <w:p>
      <w:pPr>
        <w:pStyle w:val="Normal"/>
      </w:pPr>
      <w:r>
        <w:t xml:space="preserve">The protocol planned PCIe 4.0. The board's slot runs at gen3, so the measured link is the platform definition. For H5's link-width comparison, both RTX cards run in the same slot (x16 vs x8, both gen3). The RTX 4060 Ti (P-4060) is pending.</w:t>
      </w:r>
    </w:p>
    <w:p>
      <w:pPr>
        <w:pStyle w:val="Heading1"/>
        <w:keepNext/>
      </w:pPr>
      <w:r>
        <w:t xml:space="preserve">4 Microbenchmark method</w:t>
      </w:r>
    </w:p>
    <w:p>
      <w:pPr>
        <w:pStyle w:val="Heading2"/>
        <w:keepNext/>
      </w:pPr>
      <w:r>
        <w:t xml:space="preserve">4.1 What one iteration measures</w:t>
      </w:r>
    </w:p>
    <w:p>
      <w:pPr>
        <w:pStyle w:val="Normal"/>
      </w:pPr>
      <w:r>
        <w:t xml:space="preserve">One iteration is a CPU–GPU round trip of payload </w:t>
      </w:r>
      <w:r>
        <w:rPr>
          <w:i/>
          <w:iCs/>
        </w:rPr>
        <w:t xml:space="preserve">P</w:t>
      </w:r>
      <w:r>
        <w:t xml:space="preserve"> bytes:</w:t>
      </w:r>
    </w:p>
    <w:p>
      <w:pPr>
        <w:pStyle w:val="ListParagraph"/>
        <w:numPr>
          <w:ilvl w:val="0"/>
          <w:numId w:val="3"/>
        </w:numPr>
      </w:pPr>
      <w:r>
        <w:t xml:space="preserve">A GPU kernel writes </w:t>
      </w:r>
      <w:r>
        <w:rPr>
          <w:i/>
          <w:iCs/>
        </w:rPr>
        <w:t xml:space="preserve">P</w:t>
      </w:r>
      <w:r>
        <w:t xml:space="preserve"> bytes (one thread per 16 B, trivial arithmetic) and signals a timeline value.</w:t>
      </w:r>
    </w:p>
    <w:p>
      <w:pPr>
        <w:pStyle w:val="ListParagraph"/>
        <w:numPr>
          <w:ilvl w:val="0"/>
          <w:numId w:val="3"/>
        </w:numPr>
      </w:pPr>
      <w:r>
        <w:t xml:space="preserve">The CPU waits for that value, reads all </w:t>
      </w:r>
      <w:r>
        <w:rPr>
          <w:i/>
          <w:iCs/>
        </w:rPr>
        <w:t xml:space="preserve">P</w:t>
      </w:r>
      <w:r>
        <w:t xml:space="preserve"> bytes (summing them so the read cannot be elided), writes </w:t>
      </w:r>
      <w:r>
        <w:rPr>
          <w:i/>
          <w:iCs/>
        </w:rPr>
        <w:t xml:space="preserve">P</w:t>
      </w:r>
      <w:r>
        <w:t xml:space="preserve"> bytes back and signals the next value.</w:t>
      </w:r>
    </w:p>
    <w:p>
      <w:pPr>
        <w:pStyle w:val="ListParagraph"/>
        <w:numPr>
          <w:ilvl w:val="0"/>
          <w:numId w:val="3"/>
        </w:numPr>
      </w:pPr>
      <w:r>
        <w:t xml:space="preserve">A second GPU segment, which was submitted ahead and waits on that value, reads the </w:t>
      </w:r>
      <w:r>
        <w:rPr>
          <w:i/>
          <w:iCs/>
        </w:rPr>
        <w:t xml:space="preserve">P</w:t>
      </w:r>
      <w:r>
        <w:t xml:space="preserve"> bytes.</w:t>
      </w:r>
    </w:p>
    <w:p>
      <w:pPr>
        <w:pStyle w:val="Normal"/>
      </w:pPr>
      <w:r>
        <w:t xml:space="preserve">The </w:t>
      </w:r>
      <w:r>
        <w:rPr>
          <w:b/>
          <w:bCs/>
        </w:rPr>
        <w:t xml:space="preserve">round trip</w:t>
      </w:r>
      <w:r>
        <w:t xml:space="preserve"> </w:t>
      </w:r>
      <w:r>
        <w:rPr>
          <w:rStyle w:val="CodeChar"/>
        </w:rPr>
        <w:t xml:space="preserve">rt</w:t>
      </w:r>
      <w:r>
        <w:t xml:space="preserve"> is the time from the end of the GPU write pass to the start of the GPU read pass, both GPU timestamps converted to the CPU clock. It therefore contains the GPU→CPU hand-off (</w:t>
      </w:r>
      <w:r>
        <w:rPr>
          <w:rStyle w:val="CodeChar"/>
        </w:rPr>
        <w:t xml:space="preserve">g2c</w:t>
      </w:r>
      <w:r>
        <w:t xml:space="preserve">: GPU signal → CPU wake), the CPU's read and write, any copy the path needs, and the CPU→GPU hand-off (</w:t>
      </w:r>
      <w:r>
        <w:rPr>
          <w:rStyle w:val="CodeChar"/>
        </w:rPr>
        <w:t xml:space="preserve">c2g</w:t>
      </w:r>
      <w:r>
        <w:t xml:space="preserve">: CPU signal → consuming pass starts). The GPU's own read pass is outside </w:t>
      </w:r>
      <w:r>
        <w:rPr>
          <w:rStyle w:val="CodeChar"/>
        </w:rPr>
        <w:t xml:space="preserve">rt</w:t>
      </w:r>
      <w:r>
        <w:t xml:space="preserve"> and is reported separately (</w:t>
      </w:r>
      <w:r>
        <w:rPr>
          <w:rStyle w:val="CodeChar"/>
        </w:rPr>
        <w:t xml:space="preserve">gpu_read_us</w:t>
      </w:r>
      <w:r>
        <w:t xml:space="preserve">). </w:t>
      </w:r>
      <w:r>
        <w:rPr>
          <w:rStyle w:val="CodeChar"/>
        </w:rPr>
        <w:t xml:space="preserve">P = 0</w:t>
      </w:r>
      <w:r>
        <w:t xml:space="preserve"> gives the empty round trip, a pure signal–wait exchange.</w:t>
      </w:r>
    </w:p>
    <w:p>
      <w:pPr>
        <w:pStyle w:val="Normal"/>
      </w:pPr>
      <w:r>
        <w:t xml:space="preserve">Each cell (path × payload × submit mode × CPU-wait mode) runs 200 warm-up and 2,000 measured iterations; a separate cell measures raw copy bandwidth. Every iteration is verified: the CPU's sum must equal the pattern the GPU wrote, the GPU's checksum must equal the pattern the CPU wrote, and the count of research-buffer copies must be 2 for the copy path and 0 for the direct paths (invariant R7). Every reported series had 0 failures.</w:t>
      </w:r>
    </w:p>
    <w:p>
      <w:pPr>
        <w:pStyle w:val="Heading2"/>
        <w:keepNext/>
      </w:pPr>
      <w:r>
        <w:t xml:space="preserve">4.2 One algorithm, two APIs</w:t>
      </w:r>
    </w:p>
    <w:p>
      <w:pPr>
        <w:pStyle w:val="Normal"/>
      </w:pPr>
      <w:r>
        <w:t xml:space="preserve">Both backends implement the same thin interface: timeline objects with GPU signal and wait, CPU signal and wait, memory classes, GPU timestamps and clock calibration. Kernels come from a single Slang source, compiled to MSL and SPIR-V, with identical thread-group sizes and buffer layouts checked by a unit test (R1). Table 2 maps the interface to the two APIs.</w:t>
      </w:r>
    </w:p>
    <w:p>
      <w:pPr>
        <w:pStyle w:val="Caption"/>
        <w:keepNext/>
      </w:pPr>
      <w:r>
        <w:rPr>
          <w:b/>
          <w:bCs/>
        </w:rPr>
        <w:t xml:space="preserve">Table 2 </w:t>
      </w:r>
      <w:r>
        <w:t xml:space="preserve">The synchronization interface on the two APIs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0"/>
        <w:gridCol w:w="3638"/>
        <w:gridCol w:w="3848"/>
      </w:tblGrid>
      <w:tr>
        <w:trPr>
          <w:cantSplit/>
          <w:tblHeader/>
        </w:trPr>
        <w:tc>
          <w:tcPr>
            <w:tcW w:w="1540" w:type="dxa"/>
            <w:tcBorders>
              <w:top w:val="single" w:sz="4" w:space="0" w:color="auto"/>
              <w:bottom w:val="single" w:sz="4" w:space="0" w:color="auto"/>
            </w:tcBorders>
          </w:tcPr>
          <w:p>
            <w:pPr>
              <w:pStyle w:val="TableCell"/>
              <w:jc w:val="left"/>
            </w:pPr>
          </w:p>
        </w:tc>
        <w:tc>
          <w:tcPr>
            <w:tcW w:w="3638" w:type="dxa"/>
            <w:tcBorders>
              <w:top w:val="single" w:sz="4" w:space="0" w:color="auto"/>
              <w:bottom w:val="single" w:sz="4" w:space="0" w:color="auto"/>
            </w:tcBorders>
          </w:tcPr>
          <w:p>
            <w:pPr>
              <w:pStyle w:val="TableCell"/>
              <w:jc w:val="left"/>
            </w:pPr>
            <w:r>
              <w:rPr>
                <w:b/>
                <w:bCs/>
              </w:rPr>
              <w:t xml:space="preserve">Metal (M5)</w:t>
            </w:r>
          </w:p>
        </w:tc>
        <w:tc>
          <w:tcPr>
            <w:tcW w:w="3848" w:type="dxa"/>
            <w:tcBorders>
              <w:top w:val="single" w:sz="4" w:space="0" w:color="auto"/>
              <w:bottom w:val="single" w:sz="4" w:space="0" w:color="auto"/>
            </w:tcBorders>
          </w:tcPr>
          <w:p>
            <w:pPr>
              <w:pStyle w:val="TableCell"/>
              <w:jc w:val="left"/>
            </w:pPr>
            <w:r>
              <w:rPr>
                <w:b/>
                <w:bCs/>
              </w:rPr>
              <w:t xml:space="preserve">Vulkan 1.3 (RTX)</w:t>
            </w:r>
          </w:p>
        </w:tc>
      </w:tr>
      <w:tr>
        <w:trPr>
          <w:cantSplit/>
        </w:trPr>
        <w:tc>
          <w:tcPr>
            <w:tcW w:w="1540" w:type="dxa"/>
            <w:tcBorders/>
          </w:tcPr>
          <w:p>
            <w:pPr>
              <w:pStyle w:val="TableCell"/>
              <w:jc w:val="left"/>
            </w:pPr>
            <w:r>
              <w:t xml:space="preserve">timeline object</w:t>
            </w:r>
          </w:p>
        </w:tc>
        <w:tc>
          <w:tcPr>
            <w:tcW w:w="3638" w:type="dxa"/>
            <w:tcBorders/>
          </w:tcPr>
          <w:p>
            <w:pPr>
              <w:pStyle w:val="TableCell"/>
              <w:jc w:val="left"/>
            </w:pPr>
            <w:r>
              <w:rPr>
                <w:rStyle w:val="CodeChar"/>
              </w:rPr>
              <w:t xml:space="preserve">MTLSharedEvent</w:t>
            </w:r>
          </w:p>
        </w:tc>
        <w:tc>
          <w:tcPr>
            <w:tcW w:w="3848" w:type="dxa"/>
            <w:tcBorders/>
          </w:tcPr>
          <w:p>
            <w:pPr>
              <w:pStyle w:val="TableCell"/>
              <w:jc w:val="left"/>
            </w:pPr>
            <w:r>
              <w:t xml:space="preserve">timeline semaphore</w:t>
            </w:r>
          </w:p>
        </w:tc>
      </w:tr>
      <w:tr>
        <w:trPr>
          <w:cantSplit/>
        </w:trPr>
        <w:tc>
          <w:tcPr>
            <w:tcW w:w="1540" w:type="dxa"/>
            <w:tcBorders/>
          </w:tcPr>
          <w:p>
            <w:pPr>
              <w:pStyle w:val="TableCell"/>
              <w:jc w:val="left"/>
            </w:pPr>
            <w:r>
              <w:t xml:space="preserve">GPU waits / signals</w:t>
            </w:r>
          </w:p>
        </w:tc>
        <w:tc>
          <w:tcPr>
            <w:tcW w:w="3638" w:type="dxa"/>
            <w:tcBorders/>
          </w:tcPr>
          <w:p>
            <w:pPr>
              <w:pStyle w:val="TableCell"/>
              <w:jc w:val="left"/>
            </w:pPr>
            <w:r>
              <w:rPr>
                <w:rStyle w:val="CodeChar"/>
              </w:rPr>
              <w:t xml:space="preserve">encodeWait</w:t>
            </w:r>
            <w:r>
              <w:t xml:space="preserve"> / </w:t>
            </w:r>
            <w:r>
              <w:rPr>
                <w:rStyle w:val="CodeChar"/>
              </w:rPr>
              <w:t xml:space="preserve">encodeSignalEvent</w:t>
            </w:r>
          </w:p>
        </w:tc>
        <w:tc>
          <w:tcPr>
            <w:tcW w:w="3848" w:type="dxa"/>
            <w:tcBorders/>
          </w:tcPr>
          <w:p>
            <w:pPr>
              <w:pStyle w:val="TableCell"/>
              <w:jc w:val="left"/>
            </w:pPr>
            <w:r>
              <w:t xml:space="preserve">submit wait / signal values</w:t>
            </w:r>
          </w:p>
        </w:tc>
      </w:tr>
      <w:tr>
        <w:trPr>
          <w:cantSplit/>
        </w:trPr>
        <w:tc>
          <w:tcPr>
            <w:tcW w:w="1540" w:type="dxa"/>
            <w:tcBorders/>
          </w:tcPr>
          <w:p>
            <w:pPr>
              <w:pStyle w:val="TableCell"/>
              <w:jc w:val="left"/>
            </w:pPr>
            <w:r>
              <w:t xml:space="preserve">CPU waits</w:t>
            </w:r>
          </w:p>
        </w:tc>
        <w:tc>
          <w:tcPr>
            <w:tcW w:w="3638" w:type="dxa"/>
            <w:tcBorders/>
          </w:tcPr>
          <w:p>
            <w:pPr>
              <w:pStyle w:val="TableCell"/>
              <w:jc w:val="left"/>
            </w:pPr>
            <w:r>
              <w:t xml:space="preserve">spin on </w:t>
            </w:r>
            <w:r>
              <w:rPr>
                <w:rStyle w:val="CodeChar"/>
              </w:rPr>
              <w:t xml:space="preserve">signaledValue</w:t>
            </w:r>
            <w:r>
              <w:t xml:space="preserve">, or blocking </w:t>
            </w:r>
            <w:r>
              <w:rPr>
                <w:rStyle w:val="CodeChar"/>
              </w:rPr>
              <w:t xml:space="preserve">waitUntilSignaledValue</w:t>
            </w:r>
          </w:p>
        </w:tc>
        <w:tc>
          <w:tcPr>
            <w:tcW w:w="3848" w:type="dxa"/>
            <w:tcBorders/>
          </w:tcPr>
          <w:p>
            <w:pPr>
              <w:pStyle w:val="TableCell"/>
              <w:jc w:val="left"/>
            </w:pPr>
            <w:r>
              <w:t xml:space="preserve">spin on </w:t>
            </w:r>
            <w:r>
              <w:rPr>
                <w:rStyle w:val="CodeChar"/>
              </w:rPr>
              <w:t xml:space="preserve">vkGetSemaphoreCounterValue</w:t>
            </w:r>
            <w:r>
              <w:t xml:space="preserve">, or </w:t>
            </w:r>
            <w:r>
              <w:rPr>
                <w:rStyle w:val="CodeChar"/>
              </w:rPr>
              <w:t xml:space="preserve">vkWaitSemaphores</w:t>
            </w:r>
          </w:p>
        </w:tc>
      </w:tr>
      <w:tr>
        <w:trPr>
          <w:cantSplit/>
        </w:trPr>
        <w:tc>
          <w:tcPr>
            <w:tcW w:w="1540" w:type="dxa"/>
            <w:tcBorders>
              <w:bottom w:val="single" w:sz="4" w:space="0" w:color="auto"/>
            </w:tcBorders>
          </w:tcPr>
          <w:p>
            <w:pPr>
              <w:pStyle w:val="TableCell"/>
              <w:jc w:val="left"/>
            </w:pPr>
            <w:r>
              <w:t xml:space="preserve">CPU signals</w:t>
            </w:r>
          </w:p>
        </w:tc>
        <w:tc>
          <w:tcPr>
            <w:tcW w:w="3638" w:type="dxa"/>
            <w:tcBorders>
              <w:bottom w:val="single" w:sz="4" w:space="0" w:color="auto"/>
            </w:tcBorders>
          </w:tcPr>
          <w:p>
            <w:pPr>
              <w:pStyle w:val="TableCell"/>
              <w:jc w:val="left"/>
            </w:pPr>
            <w:r>
              <w:rPr>
                <w:rStyle w:val="CodeChar"/>
              </w:rPr>
              <w:t xml:space="preserve">setSignaledValue</w:t>
            </w:r>
            <w:r>
              <w:t xml:space="preserve"> after a release fence</w:t>
            </w:r>
          </w:p>
        </w:tc>
        <w:tc>
          <w:tcPr>
            <w:tcW w:w="3848" w:type="dxa"/>
            <w:tcBorders>
              <w:bottom w:val="single" w:sz="4" w:space="0" w:color="auto"/>
            </w:tcBorders>
          </w:tcPr>
          <w:p>
            <w:pPr>
              <w:pStyle w:val="TableCell"/>
              <w:jc w:val="left"/>
            </w:pPr>
            <w:r>
              <w:rPr>
                <w:rStyle w:val="CodeChar"/>
              </w:rPr>
              <w:t xml:space="preserve">vkSignalSemaphore</w:t>
            </w:r>
            <w:r>
              <w:t xml:space="preserve"> after flushing non-coherent ranges</w:t>
            </w:r>
          </w:p>
        </w:tc>
      </w:tr>
    </w:tbl>
    <w:p>
      <w:pPr>
        <w:pStyle w:val="Spacer"/>
      </w:pPr>
    </w:p>
    <w:p>
      <w:pPr>
        <w:pStyle w:val="Normal"/>
      </w:pPr>
      <w:r>
        <w:t xml:space="preserve">Each GPU segment is one command buffer on both backends (DECISIONS #22). Two submission modes are measured: </w:t>
      </w:r>
      <w:r>
        <w:rPr>
          <w:rStyle w:val="CodeChar"/>
        </w:rPr>
        <w:t xml:space="preserve">chain</w:t>
      </w:r>
      <w:r>
        <w:t xml:space="preserve"> (all segments of an iteration submitted ahead, each waiting on the previous value) and </w:t>
      </w:r>
      <w:r>
        <w:rPr>
          <w:rStyle w:val="CodeChar"/>
        </w:rPr>
        <w:t xml:space="preserve">perpass</w:t>
      </w:r>
      <w:r>
        <w:t xml:space="preserve"> (each segment submitted when its turn comes). CPU waiting is either </w:t>
      </w:r>
      <w:r>
        <w:rPr>
          <w:rStyle w:val="CodeChar"/>
        </w:rPr>
        <w:t xml:space="preserve">spin</w:t>
      </w:r>
      <w:r>
        <w:t xml:space="preserve"> or </w:t>
      </w:r>
      <w:r>
        <w:rPr>
          <w:rStyle w:val="CodeChar"/>
        </w:rPr>
        <w:t xml:space="preserve">block</w:t>
      </w:r>
      <w:r>
        <w:t xml:space="preserve">. The primary condition is chain/spin.</w:t>
      </w:r>
    </w:p>
    <w:p>
      <w:pPr>
        <w:pStyle w:val="Heading2"/>
        <w:keepNext/>
      </w:pPr>
      <w:r>
        <w:t xml:space="preserve">4.3 Memory paths</w:t>
      </w:r>
    </w:p>
    <w:p>
      <w:pPr>
        <w:pStyle w:val="Normal"/>
      </w:pPr>
      <w:r>
        <w:t xml:space="preserve">Table 3 lists the memory paths.</w:t>
      </w:r>
    </w:p>
    <w:p>
      <w:pPr>
        <w:pStyle w:val="Caption"/>
        <w:keepNext/>
      </w:pPr>
      <w:r>
        <w:rPr>
          <w:b/>
          <w:bCs/>
        </w:rPr>
        <w:t xml:space="preserve">Table 3 </w:t>
      </w:r>
      <w:r>
        <w:t xml:space="preserve">Memory paths, per direction</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6"/>
        <w:gridCol w:w="2350"/>
        <w:gridCol w:w="2256"/>
        <w:gridCol w:w="1312"/>
        <w:gridCol w:w="1602"/>
      </w:tblGrid>
      <w:tr>
        <w:trPr>
          <w:cantSplit/>
          <w:tblHeader/>
        </w:trPr>
        <w:tc>
          <w:tcPr>
            <w:tcW w:w="1506" w:type="dxa"/>
            <w:tcBorders>
              <w:top w:val="single" w:sz="4" w:space="0" w:color="auto"/>
              <w:bottom w:val="single" w:sz="4" w:space="0" w:color="auto"/>
            </w:tcBorders>
          </w:tcPr>
          <w:p>
            <w:pPr>
              <w:pStyle w:val="TableCell"/>
              <w:jc w:val="left"/>
            </w:pPr>
            <w:r>
              <w:rPr>
                <w:b/>
                <w:bCs/>
              </w:rPr>
              <w:t xml:space="preserve">path</w:t>
            </w:r>
          </w:p>
        </w:tc>
        <w:tc>
          <w:tcPr>
            <w:tcW w:w="2350" w:type="dxa"/>
            <w:tcBorders>
              <w:top w:val="single" w:sz="4" w:space="0" w:color="auto"/>
              <w:bottom w:val="single" w:sz="4" w:space="0" w:color="auto"/>
            </w:tcBorders>
          </w:tcPr>
          <w:p>
            <w:pPr>
              <w:pStyle w:val="TableCell"/>
              <w:jc w:val="left"/>
            </w:pPr>
            <w:r>
              <w:rPr>
                <w:b/>
                <w:bCs/>
              </w:rPr>
              <w:t xml:space="preserve">GPU-written, CPU-read</w:t>
            </w:r>
          </w:p>
        </w:tc>
        <w:tc>
          <w:tcPr>
            <w:tcW w:w="2256" w:type="dxa"/>
            <w:tcBorders>
              <w:top w:val="single" w:sz="4" w:space="0" w:color="auto"/>
              <w:bottom w:val="single" w:sz="4" w:space="0" w:color="auto"/>
            </w:tcBorders>
          </w:tcPr>
          <w:p>
            <w:pPr>
              <w:pStyle w:val="TableCell"/>
              <w:jc w:val="left"/>
            </w:pPr>
            <w:r>
              <w:rPr>
                <w:b/>
                <w:bCs/>
              </w:rPr>
              <w:t xml:space="preserve">CPU-written, GPU-read</w:t>
            </w:r>
          </w:p>
        </w:tc>
        <w:tc>
          <w:tcPr>
            <w:tcW w:w="1312" w:type="dxa"/>
            <w:tcBorders>
              <w:top w:val="single" w:sz="4" w:space="0" w:color="auto"/>
              <w:bottom w:val="single" w:sz="4" w:space="0" w:color="auto"/>
            </w:tcBorders>
          </w:tcPr>
          <w:p>
            <w:pPr>
              <w:pStyle w:val="TableCell"/>
              <w:jc w:val="left"/>
            </w:pPr>
          </w:p>
        </w:tc>
        <w:tc>
          <w:tcPr>
            <w:tcW w:w="1602" w:type="dxa"/>
            <w:tcBorders>
              <w:top w:val="single" w:sz="4" w:space="0" w:color="auto"/>
              <w:bottom w:val="single" w:sz="4" w:space="0" w:color="auto"/>
            </w:tcBorders>
          </w:tcPr>
          <w:p>
            <w:pPr>
              <w:pStyle w:val="TableCell"/>
              <w:jc w:val="left"/>
            </w:pPr>
          </w:p>
        </w:tc>
      </w:tr>
      <w:tr>
        <w:trPr>
          <w:cantSplit/>
        </w:trPr>
        <w:tc>
          <w:tcPr>
            <w:tcW w:w="1506" w:type="dxa"/>
            <w:tcBorders/>
          </w:tcPr>
          <w:p>
            <w:pPr>
              <w:pStyle w:val="TableCell"/>
              <w:jc w:val="left"/>
            </w:pPr>
            <w:r>
              <w:rPr>
                <w:rStyle w:val="CodeChar"/>
              </w:rPr>
              <w:t xml:space="preserve">s1_copy</w:t>
            </w:r>
          </w:p>
        </w:tc>
        <w:tc>
          <w:tcPr>
            <w:tcW w:w="2350" w:type="dxa"/>
            <w:tcBorders/>
          </w:tcPr>
          <w:p>
            <w:pPr>
              <w:pStyle w:val="TableCell"/>
              <w:jc w:val="left"/>
            </w:pPr>
            <w:r>
              <w:t xml:space="preserve">device memory + GPU copy into host-visible staging</w:t>
            </w:r>
          </w:p>
        </w:tc>
        <w:tc>
          <w:tcPr>
            <w:tcW w:w="2256" w:type="dxa"/>
            <w:tcBorders/>
          </w:tcPr>
          <w:p>
            <w:pPr>
              <w:pStyle w:val="TableCell"/>
              <w:jc w:val="left"/>
            </w:pPr>
            <w:r>
              <w:t xml:space="preserve">host-visible staging + GPU copy into device memory</w:t>
            </w:r>
          </w:p>
        </w:tc>
        <w:tc>
          <w:tcPr>
            <w:tcW w:w="1312" w:type="dxa"/>
            <w:tcBorders/>
          </w:tcPr>
          <w:p>
            <w:pPr>
              <w:pStyle w:val="TableCell"/>
              <w:jc w:val="left"/>
            </w:pPr>
          </w:p>
        </w:tc>
        <w:tc>
          <w:tcPr>
            <w:tcW w:w="1602" w:type="dxa"/>
            <w:tcBorders/>
          </w:tcPr>
          <w:p>
            <w:pPr>
              <w:pStyle w:val="TableCell"/>
              <w:jc w:val="left"/>
            </w:pPr>
          </w:p>
        </w:tc>
      </w:tr>
      <w:tr>
        <w:trPr>
          <w:cantSplit/>
        </w:trPr>
        <w:tc>
          <w:tcPr>
            <w:tcW w:w="1506" w:type="dxa"/>
            <w:tcBorders/>
          </w:tcPr>
          <w:p>
            <w:pPr>
              <w:pStyle w:val="TableCell"/>
              <w:jc w:val="left"/>
            </w:pPr>
            <w:r>
              <w:rPr>
                <w:rStyle w:val="CodeChar"/>
              </w:rPr>
              <w:t xml:space="preserve">s2_direct</w:t>
            </w:r>
            <w:r>
              <w:t xml:space="preserve"> (Metal)</w:t>
            </w:r>
          </w:p>
        </w:tc>
        <w:tc>
          <w:tcPr>
            <w:tcW w:w="2350" w:type="dxa"/>
            <w:tcBorders/>
          </w:tcPr>
          <w:p>
            <w:pPr>
              <w:pStyle w:val="TableCell"/>
              <w:jc w:val="left"/>
            </w:pPr>
            <w:r>
              <w:rPr>
                <w:rStyle w:val="CodeChar"/>
              </w:rPr>
              <w:t xml:space="preserve">MTLStorageModeShared</w:t>
            </w:r>
            <w:r>
              <w:t xml:space="preserve">, never blitted</w:t>
            </w:r>
          </w:p>
        </w:tc>
        <w:tc>
          <w:tcPr>
            <w:tcW w:w="2256" w:type="dxa"/>
            <w:tcBorders/>
          </w:tcPr>
          <w:p>
            <w:pPr>
              <w:pStyle w:val="TableCell"/>
              <w:jc w:val="left"/>
            </w:pPr>
            <w:r>
              <w:rPr>
                <w:rStyle w:val="CodeChar"/>
              </w:rPr>
              <w:t xml:space="preserve">MTLStorageModeShared</w:t>
            </w:r>
          </w:p>
        </w:tc>
        <w:tc>
          <w:tcPr>
            <w:tcW w:w="1312" w:type="dxa"/>
            <w:tcBorders/>
          </w:tcPr>
          <w:p>
            <w:pPr>
              <w:pStyle w:val="TableCell"/>
              <w:jc w:val="left"/>
            </w:pPr>
          </w:p>
        </w:tc>
        <w:tc>
          <w:tcPr>
            <w:tcW w:w="1602" w:type="dxa"/>
            <w:tcBorders/>
          </w:tcPr>
          <w:p>
            <w:pPr>
              <w:pStyle w:val="TableCell"/>
              <w:jc w:val="left"/>
            </w:pPr>
          </w:p>
        </w:tc>
      </w:tr>
      <w:tr>
        <w:trPr>
          <w:cantSplit/>
        </w:trPr>
        <w:tc>
          <w:tcPr>
            <w:tcW w:w="1506" w:type="dxa"/>
            <w:tcBorders/>
          </w:tcPr>
          <w:p>
            <w:pPr>
              <w:pStyle w:val="TableCell"/>
              <w:jc w:val="left"/>
            </w:pPr>
            <w:r>
              <w:rPr>
                <w:rStyle w:val="CodeChar"/>
              </w:rPr>
              <w:t xml:space="preserve">s2_direct</w:t>
            </w:r>
            <w:r>
              <w:t xml:space="preserve"> (Vulkan)</w:t>
            </w:r>
          </w:p>
        </w:tc>
        <w:tc>
          <w:tcPr>
            <w:tcW w:w="2350" w:type="dxa"/>
            <w:tcBorders/>
          </w:tcPr>
          <w:p>
            <w:pPr>
              <w:pStyle w:val="TableCell"/>
              <w:jc w:val="left"/>
            </w:pPr>
            <w:r>
              <w:t xml:space="preserve">`HOST_VISIBLE \</w:t>
            </w:r>
          </w:p>
        </w:tc>
        <w:tc>
          <w:tcPr>
            <w:tcW w:w="2256" w:type="dxa"/>
            <w:tcBorders/>
          </w:tcPr>
          <w:p>
            <w:pPr>
              <w:pStyle w:val="TableCell"/>
              <w:jc w:val="left"/>
            </w:pPr>
            <w:r>
              <w:t xml:space="preserve">HOST_CACHED` system memory</w:t>
            </w:r>
          </w:p>
        </w:tc>
        <w:tc>
          <w:tcPr>
            <w:tcW w:w="1312" w:type="dxa"/>
            <w:tcBorders/>
          </w:tcPr>
          <w:p>
            <w:pPr>
              <w:pStyle w:val="TableCell"/>
              <w:jc w:val="left"/>
            </w:pPr>
            <w:r>
              <w:t xml:space="preserve">`DEVICE_LOCAL \</w:t>
            </w:r>
          </w:p>
        </w:tc>
        <w:tc>
          <w:tcPr>
            <w:tcW w:w="1602" w:type="dxa"/>
            <w:tcBorders/>
          </w:tcPr>
          <w:p>
            <w:pPr>
              <w:pStyle w:val="TableCell"/>
              <w:jc w:val="left"/>
            </w:pPr>
            <w:r>
              <w:t xml:space="preserve">HOST_VISIBLE` (ReBAR) when available, else host-coherent system memory</w:t>
            </w:r>
          </w:p>
        </w:tc>
      </w:tr>
      <w:tr>
        <w:trPr>
          <w:cantSplit/>
        </w:trPr>
        <w:tc>
          <w:tcPr>
            <w:tcW w:w="1506" w:type="dxa"/>
            <w:tcBorders/>
          </w:tcPr>
          <w:p>
            <w:pPr>
              <w:pStyle w:val="TableCell"/>
              <w:jc w:val="left"/>
            </w:pPr>
            <w:r>
              <w:rPr>
                <w:rStyle w:val="CodeChar"/>
              </w:rPr>
              <w:t xml:space="preserve">s2_hostcached</w:t>
            </w:r>
            <w:r>
              <w:t xml:space="preserve"> (Vulkan)</w:t>
            </w:r>
          </w:p>
        </w:tc>
        <w:tc>
          <w:tcPr>
            <w:tcW w:w="2350" w:type="dxa"/>
            <w:tcBorders/>
          </w:tcPr>
          <w:p>
            <w:pPr>
              <w:pStyle w:val="TableCell"/>
              <w:jc w:val="left"/>
            </w:pPr>
            <w:r>
              <w:t xml:space="preserve">host-cached system memory</w:t>
            </w:r>
          </w:p>
        </w:tc>
        <w:tc>
          <w:tcPr>
            <w:tcW w:w="2256" w:type="dxa"/>
            <w:tcBorders/>
          </w:tcPr>
          <w:p>
            <w:pPr>
              <w:pStyle w:val="TableCell"/>
              <w:jc w:val="left"/>
            </w:pPr>
            <w:r>
              <w:t xml:space="preserve">host-cached system memory</w:t>
            </w:r>
          </w:p>
        </w:tc>
        <w:tc>
          <w:tcPr>
            <w:tcW w:w="1312" w:type="dxa"/>
            <w:tcBorders/>
          </w:tcPr>
          <w:p>
            <w:pPr>
              <w:pStyle w:val="TableCell"/>
              <w:jc w:val="left"/>
            </w:pPr>
          </w:p>
        </w:tc>
        <w:tc>
          <w:tcPr>
            <w:tcW w:w="1602" w:type="dxa"/>
            <w:tcBorders/>
          </w:tcPr>
          <w:p>
            <w:pPr>
              <w:pStyle w:val="TableCell"/>
              <w:jc w:val="left"/>
            </w:pPr>
          </w:p>
        </w:tc>
      </w:tr>
      <w:tr>
        <w:trPr>
          <w:cantSplit/>
        </w:trPr>
        <w:tc>
          <w:tcPr>
            <w:tcW w:w="1506" w:type="dxa"/>
            <w:tcBorders>
              <w:bottom w:val="single" w:sz="4" w:space="0" w:color="auto"/>
            </w:tcBorders>
          </w:tcPr>
          <w:p>
            <w:pPr>
              <w:pStyle w:val="TableCell"/>
              <w:jc w:val="left"/>
            </w:pPr>
            <w:r>
              <w:rPr>
                <w:rStyle w:val="CodeChar"/>
              </w:rPr>
              <w:t xml:space="preserve">s2_rebar</w:t>
            </w:r>
            <w:r>
              <w:t xml:space="preserve">, </w:t>
            </w:r>
            <w:r>
              <w:rPr>
                <w:rStyle w:val="CodeChar"/>
              </w:rPr>
              <w:t xml:space="preserve">s2_coherent</w:t>
            </w:r>
            <w:r>
              <w:t xml:space="preserve"> (Vulkan)</w:t>
            </w:r>
          </w:p>
        </w:tc>
        <w:tc>
          <w:tcPr>
            <w:tcW w:w="2350" w:type="dxa"/>
            <w:tcBorders>
              <w:bottom w:val="single" w:sz="4" w:space="0" w:color="auto"/>
            </w:tcBorders>
          </w:tcPr>
          <w:p>
            <w:pPr>
              <w:pStyle w:val="TableCell"/>
              <w:jc w:val="left"/>
            </w:pPr>
            <w:r>
              <w:t xml:space="preserve">sensitivity paths with both directions in that class</w:t>
            </w:r>
          </w:p>
        </w:tc>
        <w:tc>
          <w:tcPr>
            <w:tcW w:w="2256" w:type="dxa"/>
            <w:tcBorders>
              <w:bottom w:val="single" w:sz="4" w:space="0" w:color="auto"/>
            </w:tcBorders>
          </w:tcPr>
          <w:p>
            <w:pPr>
              <w:pStyle w:val="TableCell"/>
              <w:jc w:val="left"/>
            </w:pPr>
            <w:r>
              <w:t xml:space="preserve">same</w:t>
            </w:r>
          </w:p>
        </w:tc>
        <w:tc>
          <w:tcPr>
            <w:tcW w:w="1312" w:type="dxa"/>
            <w:tcBorders>
              <w:bottom w:val="single" w:sz="4" w:space="0" w:color="auto"/>
            </w:tcBorders>
          </w:tcPr>
          <w:p>
            <w:pPr>
              <w:pStyle w:val="TableCell"/>
              <w:jc w:val="left"/>
            </w:pPr>
          </w:p>
        </w:tc>
        <w:tc>
          <w:tcPr>
            <w:tcW w:w="1602" w:type="dxa"/>
            <w:tcBorders>
              <w:bottom w:val="single" w:sz="4" w:space="0" w:color="auto"/>
            </w:tcBorders>
          </w:tcPr>
          <w:p>
            <w:pPr>
              <w:pStyle w:val="TableCell"/>
              <w:jc w:val="left"/>
            </w:pPr>
          </w:p>
        </w:tc>
      </w:tr>
    </w:tbl>
    <w:p>
      <w:pPr>
        <w:pStyle w:val="Spacer"/>
      </w:pPr>
    </w:p>
    <w:p>
      <w:pPr>
        <w:pStyle w:val="Normal"/>
      </w:pPr>
      <w:r>
        <w:t xml:space="preserve">The CPU never reads ReBAR memory on the default path: uncached CPU reads across PCIe would be a strawman (DECISIONS #17). </w:t>
      </w:r>
      <w:r>
        <w:rPr>
          <w:rStyle w:val="CodeChar"/>
        </w:rPr>
        <w:t xml:space="preserve">s2_rebar</w:t>
      </w:r>
      <w:r>
        <w:t xml:space="preserve"> measures that slow path deliberately. Which variant was in effect is recorded in each CSV header.</w:t>
      </w:r>
    </w:p>
    <w:p>
      <w:pPr>
        <w:pStyle w:val="Heading2"/>
        <w:keepNext/>
      </w:pPr>
      <w:r>
        <w:t xml:space="preserve">4.4 Timing and clock correlation</w:t>
      </w:r>
    </w:p>
    <w:p>
      <w:pPr>
        <w:pStyle w:val="Normal"/>
      </w:pPr>
      <w:r>
        <w:t xml:space="preserve">GPU timestamps are taken at encoder boundaries on Metal (the M5 does not support dispatch-boundary sampling) and with </w:t>
      </w:r>
      <w:r>
        <w:rPr>
          <w:rStyle w:val="CodeChar"/>
        </w:rPr>
        <w:t xml:space="preserve">vkCmdWriteTimestamp2</w:t>
      </w:r>
      <w:r>
        <w:t xml:space="preserve"> directly around each command on Vulkan. GPU time is mapped to the CPU's monotonic clock by </w:t>
      </w:r>
      <w:r>
        <w:rPr>
          <w:rStyle w:val="CodeChar"/>
        </w:rPr>
        <w:t xml:space="preserve">sampleTimestamps</w:t>
      </w:r>
      <w:r>
        <w:t xml:space="preserve"> (Metal, </w:t>
      </w:r>
      <w:r>
        <w:rPr>
          <w:rStyle w:val="CodeChar"/>
        </w:rPr>
        <w:t xml:space="preserve">mach_absolute_time</w:t>
      </w:r>
      <w:r>
        <w:t xml:space="preserve"> domain) or calibrated timestamps (Vulkan, QPC on Windows), plus a bracketed offset to </w:t>
      </w:r>
      <w:r>
        <w:rPr>
          <w:rStyle w:val="CodeChar"/>
        </w:rPr>
        <w:t xml:space="preserve">steady_clock</w:t>
      </w:r>
      <w:r>
        <w:t xml:space="preserve">. The mapping is refreshed at the start of every cell and by elapsed time during it (about every 130 iterations for fast cells): with a mapping refreshed only every 500 iterations, the PC's g2c and c2g drifted while </w:t>
      </w:r>
      <w:r>
        <w:rPr>
          <w:rStyle w:val="CodeChar"/>
        </w:rPr>
        <w:t xml:space="preserve">rt</w:t>
      </w:r>
      <w:r>
        <w:t xml:space="preserve"> stayed valid (DECISIONS #23, #30). A drift check (g2c median of the first vs last 50 iterations of each block) shows no drift on the Mac, and on the PC the block drift fell from 2.1 to 0.2 µs (empty) after the fix.</w:t>
      </w:r>
    </w:p>
    <w:p>
      <w:pPr>
        <w:pStyle w:val="Heading2"/>
        <w:keepNext/>
      </w:pPr>
      <w:r>
        <w:t xml:space="preserve">4.5 GPU state: idle and hot</w:t>
      </w:r>
    </w:p>
    <w:p>
      <w:pPr>
        <w:pStyle w:val="Normal"/>
      </w:pPr>
      <w:r>
        <w:t xml:space="preserve">As specified, the microbenchmark runs with the GPU otherwise idle. A real frame keeps the GPU busy with independent work, and on the M5 the idle GPU's power state dominates </w:t>
      </w:r>
      <w:r>
        <w:rPr>
          <w:rStyle w:val="CodeChar"/>
        </w:rPr>
        <w:t xml:space="preserve">c2g</w:t>
      </w:r>
      <w:r>
        <w:t xml:space="preserve"> (Section 5). The extension therefore measures every cell a second time with the GPU </w:t>
      </w:r>
      <w:r>
        <w:rPr>
          <w:b/>
          <w:bCs/>
        </w:rPr>
        <w:t xml:space="preserve">hot</w:t>
      </w:r>
      <w:r>
        <w:t xml:space="preserve">: a second queue runs a calibrated compute kernel (one SIMD group, a dependent multiply-add chain, ≈ 200 µs per dispatch, two in flight) back to back for the whole cell (DECISIONS #32). The load is the lightest one that holds the power state: a probe showed that a load filling the whole GPU changes the result by only ≈ 3 µs. A hot cell is valid only if its load duty (dispatches × calibrated time / cell wall time) is ≈ 1. Idle cells always run before hot cells, because idle blocks measured after loaded ones come out faster (hysteresis).</w:t>
      </w:r>
    </w:p>
    <w:p>
      <w:pPr>
        <w:pStyle w:val="Heading2"/>
        <w:keepNext/>
      </w:pPr>
      <w:r>
        <w:t xml:space="preserve">4.6 Payload grid, repetitions, acceptance</w:t>
      </w:r>
    </w:p>
    <w:p>
      <w:pPr>
        <w:pStyle w:val="Normal"/>
      </w:pPr>
      <w:r>
        <w:t xml:space="preserve">Protocol grid: 4 KiB, 64 KiB, 256 KiB, 1 MiB, 4 MiB, 16 MiB, plus the empty round trip. Extension grid for the crossover (H1′): 4K, 64K, 256K, 1M, 1.5M, 2M, 3M, 4M, 8M, 16M, 32M, 64M, on </w:t>
      </w:r>
      <w:r>
        <w:rPr>
          <w:rStyle w:val="CodeChar"/>
        </w:rPr>
        <w:t xml:space="preserve">empty</w:t>
      </w:r>
      <w:r>
        <w:t xml:space="preserve">, </w:t>
      </w:r>
      <w:r>
        <w:rPr>
          <w:rStyle w:val="CodeChar"/>
        </w:rPr>
        <w:t xml:space="preserve">s1_copy</w:t>
      </w:r>
      <w:r>
        <w:t xml:space="preserve">, </w:t>
      </w:r>
      <w:r>
        <w:rPr>
          <w:rStyle w:val="CodeChar"/>
        </w:rPr>
        <w:t xml:space="preserve">s2_direct</w:t>
      </w:r>
      <w:r>
        <w:t xml:space="preserve"> (and </w:t>
      </w:r>
      <w:r>
        <w:rPr>
          <w:rStyle w:val="CodeChar"/>
        </w:rPr>
        <w:t xml:space="preserve">s2_hostcached</w:t>
      </w:r>
      <w:r>
        <w:t xml:space="preserve"> on Vulkan), idle and hot. Each series is three process restarts. A series is accepted when every cell's p50 varies by less than 10 % across the three runs. Medians and p99 are pooled over runs. Extension series are kept apart from the protocol series and never pooled with them.</w:t>
      </w:r>
    </w:p>
    <w:p>
      <w:pPr>
        <w:pStyle w:val="Heading2"/>
        <w:keepNext/>
      </w:pPr>
      <w:r>
        <w:t xml:space="preserve">4.7 Platforms (cross-reference to Sect. 3)</w:t>
      </w:r>
    </w:p>
    <w:p>
      <w:pPr>
        <w:pStyle w:val="ListParagraph"/>
        <w:numPr>
          <w:ilvl w:val="0"/>
          <w:numId w:val="1"/>
        </w:numPr>
      </w:pPr>
      <w:r>
        <w:rPr>
          <w:b/>
          <w:bCs/>
        </w:rPr>
        <w:t xml:space="preserve">P-M5:</w:t>
      </w:r>
      <w:r>
        <w:t xml:space="preserve"> MacBook Air 15" (Mac17,4), Apple M5 (4P + 6E CPU cores, 10 GPU cores), 24 GiB unified memory, macOS 26.6.2, on AC power, Low Power Mode off, fanless chassis.</w:t>
      </w:r>
    </w:p>
    <w:p>
      <w:pPr>
        <w:pStyle w:val="ListParagraph"/>
        <w:numPr>
          <w:ilvl w:val="0"/>
          <w:numId w:val="1"/>
        </w:numPr>
      </w:pPr>
      <w:r>
        <w:rPr>
          <w:b/>
          <w:bCs/>
        </w:rPr>
        <w:t xml:space="preserve">P-3060:</w:t>
      </w:r>
      <w:r>
        <w:t xml:space="preserve"> Intel Core i7-12700F, 32 GB, RTX 3060 Ti 8 GB, driver 566.36, Windows 11, power plan Ultimate Performance, GPU "Prefer maximum performance". The slot runs at </w:t>
      </w:r>
      <w:r>
        <w:rPr>
          <w:b/>
          <w:bCs/>
        </w:rPr>
        <w:t xml:space="preserve">PCIe gen3 x16</w:t>
      </w:r>
      <w:r>
        <w:t xml:space="preserve"> (measured under load in every run); the measured link is the platform definition. ReBAR on (BAR heap 8024 MB) is the primary condition, and ReBAR off is a separate series.</w:t>
      </w:r>
    </w:p>
    <w:p>
      <w:pPr>
        <w:pStyle w:val="ListParagraph"/>
        <w:numPr>
          <w:ilvl w:val="0"/>
          <w:numId w:val="1"/>
        </w:numPr>
      </w:pPr>
      <w:r>
        <w:rPr>
          <w:b/>
          <w:bCs/>
        </w:rPr>
        <w:t xml:space="preserve">P-4060:</w:t>
      </w:r>
      <w:r>
        <w:t xml:space="preserve"> RTX 4060 Ti, same PC and slot, gen3 x8 expected (pending, November).</w:t>
      </w:r>
    </w:p>
    <w:p>
      <w:pPr>
        <w:pStyle w:val="Heading1"/>
        <w:keepNext/>
      </w:pPr>
      <w:r>
        <w:t xml:space="preserve">5 Results with the GPU idle: the refuted hypothesis</w:t>
      </w:r>
    </w:p>
    <w:p>
      <w:pPr>
        <w:pStyle w:val="Figure"/>
        <w:keepNext/>
      </w:pPr>
      <w:r>
        <w:drawing>
          <wp:inline distT="0" distB="0" distL="0" distR="0">
            <wp:extent cx="5731510" cy="2593822"/>
            <wp:docPr id="101" name="Figure 1"/>
            <wp:cNvGraphicFramePr>
              <a:graphicFrameLocks noChangeAspect="1"/>
            </wp:cNvGraphicFramePr>
            <a:graphic>
              <a:graphicData uri="http://schemas.openxmlformats.org/drawingml/2006/picture">
                <pic:pic>
                  <pic:nvPicPr>
                    <pic:cNvPr id="101" name="fig1_roundtrip_vs_payload.png"/>
                    <pic:cNvPicPr/>
                  </pic:nvPicPr>
                  <pic:blipFill>
                    <a:blip r:embed="rIdFig1"/>
                    <a:stretch>
                      <a:fillRect/>
                    </a:stretch>
                  </pic:blipFill>
                  <pic:spPr>
                    <a:xfrm>
                      <a:off x="0" y="0"/>
                      <a:ext cx="5731510" cy="2593822"/>
                    </a:xfrm>
                    <a:prstGeom prst="rect">
                      <a:avLst/>
                    </a:prstGeom>
                  </pic:spPr>
                </pic:pic>
              </a:graphicData>
            </a:graphic>
          </wp:inline>
        </w:drawing>
      </w:r>
    </w:p>
    <w:p>
      <w:pPr>
        <w:pStyle w:val="FigureCaption"/>
      </w:pPr>
      <w:r>
        <w:rPr>
          <w:b/>
          <w:bCs/>
        </w:rPr>
        <w:t xml:space="preserve">Fig. 1 </w:t>
      </w:r>
      <w:r>
        <w:t xml:space="preserve">CPU↔GPU round trip against payload per direction, GPU otherwise idle, chain submission, spin wait; line = p50 pooled over three runs, band up to p99. (a) direct path, (b) copy path. The grey column in each panel spans where the M5's curve crosses the 3060 Ti's, interpolated in log–log between neighbouring grid points (min–max over the nine pairs of runs and both ReBAR settings); nothing was measured inside it.</w:t>
      </w:r>
    </w:p>
    <w:p>
      <w:pPr>
        <w:pStyle w:val="Normal"/>
      </w:pPr>
      <w:r>
        <w:rPr>
          <w:b/>
          <w:bCs/>
        </w:rPr>
        <w:t xml:space="preserve">The criterion, fixed in advance:</w:t>
      </w:r>
      <w:r>
        <w:t xml:space="preserve"> the M5's empty and 1 MiB round-trip p50 must be lower than both RTX cards' best Vulkan path by more than run-to-run noise. It fails on both cells, with and without ReBAR (Table 4).</w:t>
      </w:r>
    </w:p>
    <w:p>
      <w:pPr>
        <w:pStyle w:val="Caption"/>
        <w:keepNext/>
      </w:pPr>
      <w:r>
        <w:rPr>
          <w:b/>
          <w:bCs/>
        </w:rPr>
        <w:t xml:space="preserve">Table 4 </w:t>
      </w:r>
      <w:r>
        <w:t xml:space="preserve">Round trip p50 / p99 in µs with the GPU idle (chain submission, spin wait, three runs pooled), and raw copy bandwidth</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8"/>
        <w:gridCol w:w="1882"/>
        <w:gridCol w:w="2282"/>
        <w:gridCol w:w="1884"/>
      </w:tblGrid>
      <w:tr>
        <w:trPr>
          <w:cantSplit/>
          <w:tblHeader/>
        </w:trPr>
        <w:tc>
          <w:tcPr>
            <w:tcW w:w="2978" w:type="dxa"/>
            <w:tcBorders>
              <w:top w:val="single" w:sz="4" w:space="0" w:color="auto"/>
              <w:bottom w:val="single" w:sz="4" w:space="0" w:color="auto"/>
            </w:tcBorders>
          </w:tcPr>
          <w:p>
            <w:pPr>
              <w:pStyle w:val="TableCell"/>
              <w:jc w:val="left"/>
            </w:pPr>
          </w:p>
        </w:tc>
        <w:tc>
          <w:tcPr>
            <w:tcW w:w="1882" w:type="dxa"/>
            <w:tcBorders>
              <w:top w:val="single" w:sz="4" w:space="0" w:color="auto"/>
              <w:bottom w:val="single" w:sz="4" w:space="0" w:color="auto"/>
            </w:tcBorders>
          </w:tcPr>
          <w:p>
            <w:pPr>
              <w:pStyle w:val="TableCell"/>
              <w:jc w:val="right"/>
            </w:pPr>
            <w:r>
              <w:rPr>
                <w:b/>
                <w:bCs/>
              </w:rPr>
              <w:t xml:space="preserve">M5 (shared memory)</w:t>
            </w:r>
          </w:p>
        </w:tc>
        <w:tc>
          <w:tcPr>
            <w:tcW w:w="2282" w:type="dxa"/>
            <w:tcBorders>
              <w:top w:val="single" w:sz="4" w:space="0" w:color="auto"/>
              <w:bottom w:val="single" w:sz="4" w:space="0" w:color="auto"/>
            </w:tcBorders>
          </w:tcPr>
          <w:p>
            <w:pPr>
              <w:pStyle w:val="TableCell"/>
              <w:jc w:val="right"/>
            </w:pPr>
            <w:r>
              <w:rPr>
                <w:b/>
                <w:bCs/>
              </w:rPr>
              <w:t xml:space="preserve">3060 Ti, ReBAR on</w:t>
            </w:r>
          </w:p>
        </w:tc>
        <w:tc>
          <w:tcPr>
            <w:tcW w:w="1884" w:type="dxa"/>
            <w:tcBorders>
              <w:top w:val="single" w:sz="4" w:space="0" w:color="auto"/>
              <w:bottom w:val="single" w:sz="4" w:space="0" w:color="auto"/>
            </w:tcBorders>
          </w:tcPr>
          <w:p>
            <w:pPr>
              <w:pStyle w:val="TableCell"/>
              <w:jc w:val="right"/>
            </w:pPr>
            <w:r>
              <w:rPr>
                <w:b/>
                <w:bCs/>
              </w:rPr>
              <w:t xml:space="preserve">3060 Ti, ReBAR off</w:t>
            </w:r>
          </w:p>
        </w:tc>
      </w:tr>
      <w:tr>
        <w:trPr>
          <w:cantSplit/>
        </w:trPr>
        <w:tc>
          <w:tcPr>
            <w:tcW w:w="2978" w:type="dxa"/>
            <w:tcBorders/>
          </w:tcPr>
          <w:p>
            <w:pPr>
              <w:pStyle w:val="TableCell"/>
              <w:jc w:val="left"/>
            </w:pPr>
            <w:r>
              <w:t xml:space="preserve">empty round trip</w:t>
            </w:r>
          </w:p>
        </w:tc>
        <w:tc>
          <w:tcPr>
            <w:tcW w:w="1882" w:type="dxa"/>
            <w:tcBorders/>
          </w:tcPr>
          <w:p>
            <w:pPr>
              <w:pStyle w:val="TableCell"/>
              <w:jc w:val="right"/>
            </w:pPr>
            <w:r>
              <w:t xml:space="preserve">214 / 316</w:t>
            </w:r>
          </w:p>
        </w:tc>
        <w:tc>
          <w:tcPr>
            <w:tcW w:w="2282" w:type="dxa"/>
            <w:tcBorders/>
          </w:tcPr>
          <w:p>
            <w:pPr>
              <w:pStyle w:val="TableCell"/>
              <w:jc w:val="right"/>
            </w:pPr>
            <w:r>
              <w:t xml:space="preserve">60 / 85</w:t>
            </w:r>
          </w:p>
        </w:tc>
        <w:tc>
          <w:tcPr>
            <w:tcW w:w="1884" w:type="dxa"/>
            <w:tcBorders/>
          </w:tcPr>
          <w:p>
            <w:pPr>
              <w:pStyle w:val="TableCell"/>
              <w:jc w:val="right"/>
            </w:pPr>
            <w:r>
              <w:t xml:space="preserve">60 / 99</w:t>
            </w:r>
          </w:p>
        </w:tc>
      </w:tr>
      <w:tr>
        <w:trPr>
          <w:cantSplit/>
        </w:trPr>
        <w:tc>
          <w:tcPr>
            <w:tcW w:w="2978" w:type="dxa"/>
            <w:tcBorders/>
          </w:tcPr>
          <w:p>
            <w:pPr>
              <w:pStyle w:val="TableCell"/>
              <w:jc w:val="left"/>
            </w:pPr>
            <w:r>
              <w:t xml:space="preserve">1 MiB, best path</w:t>
            </w:r>
          </w:p>
        </w:tc>
        <w:tc>
          <w:tcPr>
            <w:tcW w:w="1882" w:type="dxa"/>
            <w:tcBorders/>
          </w:tcPr>
          <w:p>
            <w:pPr>
              <w:pStyle w:val="TableCell"/>
              <w:jc w:val="right"/>
            </w:pPr>
            <w:r>
              <w:t xml:space="preserve">305 / 349 (</w:t>
            </w:r>
            <w:r>
              <w:rPr>
                <w:rStyle w:val="CodeChar"/>
              </w:rPr>
              <w:t xml:space="preserve">s2_direct</w:t>
            </w:r>
            <w:r>
              <w:t xml:space="preserve">)</w:t>
            </w:r>
          </w:p>
        </w:tc>
        <w:tc>
          <w:tcPr>
            <w:tcW w:w="2282" w:type="dxa"/>
            <w:tcBorders/>
          </w:tcPr>
          <w:p>
            <w:pPr>
              <w:pStyle w:val="TableCell"/>
              <w:jc w:val="right"/>
            </w:pPr>
            <w:r>
              <w:t xml:space="preserve">160 / 230 (</w:t>
            </w:r>
            <w:r>
              <w:rPr>
                <w:rStyle w:val="CodeChar"/>
              </w:rPr>
              <w:t xml:space="preserve">s2_hostcached</w:t>
            </w:r>
            <w:r>
              <w:t xml:space="preserve">)</w:t>
            </w:r>
          </w:p>
        </w:tc>
        <w:tc>
          <w:tcPr>
            <w:tcW w:w="1884" w:type="dxa"/>
            <w:tcBorders/>
          </w:tcPr>
          <w:p>
            <w:pPr>
              <w:pStyle w:val="TableCell"/>
              <w:jc w:val="right"/>
            </w:pPr>
            <w:r>
              <w:t xml:space="preserve">142 / 212 (</w:t>
            </w:r>
            <w:r>
              <w:rPr>
                <w:rStyle w:val="CodeChar"/>
              </w:rPr>
              <w:t xml:space="preserve">s2_direct</w:t>
            </w:r>
            <w:r>
              <w:t xml:space="preserve">)</w:t>
            </w:r>
          </w:p>
        </w:tc>
      </w:tr>
      <w:tr>
        <w:trPr>
          <w:cantSplit/>
        </w:trPr>
        <w:tc>
          <w:tcPr>
            <w:tcW w:w="2978" w:type="dxa"/>
            <w:tcBorders/>
          </w:tcPr>
          <w:p>
            <w:pPr>
              <w:pStyle w:val="TableCell"/>
              <w:jc w:val="left"/>
            </w:pPr>
            <w:r>
              <w:t xml:space="preserve">1 MiB </w:t>
            </w:r>
            <w:r>
              <w:rPr>
                <w:rStyle w:val="CodeChar"/>
              </w:rPr>
              <w:t xml:space="preserve">s1_copy</w:t>
            </w:r>
          </w:p>
        </w:tc>
        <w:tc>
          <w:tcPr>
            <w:tcW w:w="1882" w:type="dxa"/>
            <w:tcBorders/>
          </w:tcPr>
          <w:p>
            <w:pPr>
              <w:pStyle w:val="TableCell"/>
              <w:jc w:val="right"/>
            </w:pPr>
            <w:r>
              <w:t xml:space="preserve">352 / 442</w:t>
            </w:r>
          </w:p>
        </w:tc>
        <w:tc>
          <w:tcPr>
            <w:tcW w:w="2282" w:type="dxa"/>
            <w:tcBorders/>
          </w:tcPr>
          <w:p>
            <w:pPr>
              <w:pStyle w:val="TableCell"/>
              <w:jc w:val="right"/>
            </w:pPr>
            <w:r>
              <w:t xml:space="preserve">312 / 412</w:t>
            </w:r>
          </w:p>
        </w:tc>
        <w:tc>
          <w:tcPr>
            <w:tcW w:w="1884" w:type="dxa"/>
            <w:tcBorders/>
          </w:tcPr>
          <w:p>
            <w:pPr>
              <w:pStyle w:val="TableCell"/>
              <w:jc w:val="right"/>
            </w:pPr>
            <w:r>
              <w:t xml:space="preserve">312 / 408</w:t>
            </w:r>
          </w:p>
        </w:tc>
      </w:tr>
      <w:tr>
        <w:trPr>
          <w:cantSplit/>
        </w:trPr>
        <w:tc>
          <w:tcPr>
            <w:tcW w:w="2978" w:type="dxa"/>
            <w:tcBorders/>
          </w:tcPr>
          <w:p>
            <w:pPr>
              <w:pStyle w:val="TableCell"/>
              <w:jc w:val="left"/>
            </w:pPr>
            <w:r>
              <w:t xml:space="preserve">16 MiB </w:t>
            </w:r>
            <w:r>
              <w:rPr>
                <w:rStyle w:val="CodeChar"/>
              </w:rPr>
              <w:t xml:space="preserve">s2_direct</w:t>
            </w:r>
          </w:p>
        </w:tc>
        <w:tc>
          <w:tcPr>
            <w:tcW w:w="1882" w:type="dxa"/>
            <w:tcBorders/>
          </w:tcPr>
          <w:p>
            <w:pPr>
              <w:pStyle w:val="TableCell"/>
              <w:jc w:val="right"/>
            </w:pPr>
            <w:r>
              <w:t xml:space="preserve">842 / 1814</w:t>
            </w:r>
          </w:p>
        </w:tc>
        <w:tc>
          <w:tcPr>
            <w:tcW w:w="2282" w:type="dxa"/>
            <w:tcBorders/>
          </w:tcPr>
          <w:p>
            <w:pPr>
              <w:pStyle w:val="TableCell"/>
              <w:jc w:val="right"/>
            </w:pPr>
            <w:r>
              <w:t xml:space="preserve">2395 / 2650</w:t>
            </w:r>
          </w:p>
        </w:tc>
        <w:tc>
          <w:tcPr>
            <w:tcW w:w="1884" w:type="dxa"/>
            <w:tcBorders/>
          </w:tcPr>
          <w:p>
            <w:pPr>
              <w:pStyle w:val="TableCell"/>
              <w:jc w:val="right"/>
            </w:pPr>
            <w:r>
              <w:t xml:space="preserve">1392 / 1684</w:t>
            </w:r>
          </w:p>
        </w:tc>
      </w:tr>
      <w:tr>
        <w:trPr>
          <w:cantSplit/>
        </w:trPr>
        <w:tc>
          <w:tcPr>
            <w:tcW w:w="2978" w:type="dxa"/>
            <w:tcBorders/>
          </w:tcPr>
          <w:p>
            <w:pPr>
              <w:pStyle w:val="TableCell"/>
              <w:jc w:val="left"/>
            </w:pPr>
            <w:r>
              <w:t xml:space="preserve">16 MiB </w:t>
            </w:r>
            <w:r>
              <w:rPr>
                <w:rStyle w:val="CodeChar"/>
              </w:rPr>
              <w:t xml:space="preserve">s1_copy</w:t>
            </w:r>
          </w:p>
        </w:tc>
        <w:tc>
          <w:tcPr>
            <w:tcW w:w="1882" w:type="dxa"/>
            <w:tcBorders/>
          </w:tcPr>
          <w:p>
            <w:pPr>
              <w:pStyle w:val="TableCell"/>
              <w:jc w:val="right"/>
            </w:pPr>
            <w:r>
              <w:t xml:space="preserve">1587 / 3001</w:t>
            </w:r>
          </w:p>
        </w:tc>
        <w:tc>
          <w:tcPr>
            <w:tcW w:w="2282" w:type="dxa"/>
            <w:tcBorders/>
          </w:tcPr>
          <w:p>
            <w:pPr>
              <w:pStyle w:val="TableCell"/>
              <w:jc w:val="right"/>
            </w:pPr>
            <w:r>
              <w:t xml:space="preserve">3940 / 4437</w:t>
            </w:r>
          </w:p>
        </w:tc>
        <w:tc>
          <w:tcPr>
            <w:tcW w:w="1884" w:type="dxa"/>
            <w:tcBorders/>
          </w:tcPr>
          <w:p>
            <w:pPr>
              <w:pStyle w:val="TableCell"/>
              <w:jc w:val="right"/>
            </w:pPr>
            <w:r>
              <w:t xml:space="preserve">3983 / 4583</w:t>
            </w:r>
          </w:p>
        </w:tc>
      </w:tr>
      <w:tr>
        <w:trPr>
          <w:cantSplit/>
        </w:trPr>
        <w:tc>
          <w:tcPr>
            <w:tcW w:w="2978" w:type="dxa"/>
            <w:tcBorders>
              <w:bottom w:val="single" w:sz="4" w:space="0" w:color="auto"/>
            </w:tcBorders>
          </w:tcPr>
          <w:p>
            <w:pPr>
              <w:pStyle w:val="TableCell"/>
              <w:jc w:val="left"/>
            </w:pPr>
            <w:r>
              <w:t xml:space="preserve">raw copy, 16 MiB (to host / to device)</w:t>
            </w:r>
          </w:p>
        </w:tc>
        <w:tc>
          <w:tcPr>
            <w:tcW w:w="1882" w:type="dxa"/>
            <w:tcBorders>
              <w:bottom w:val="single" w:sz="4" w:space="0" w:color="auto"/>
            </w:tcBorders>
          </w:tcPr>
          <w:p>
            <w:pPr>
              <w:pStyle w:val="TableCell"/>
              <w:jc w:val="right"/>
            </w:pPr>
            <w:r>
              <w:t xml:space="preserve">55.4 / 57.9 GB/s</w:t>
            </w:r>
          </w:p>
        </w:tc>
        <w:tc>
          <w:tcPr>
            <w:tcW w:w="2282" w:type="dxa"/>
            <w:tcBorders>
              <w:bottom w:val="single" w:sz="4" w:space="0" w:color="auto"/>
            </w:tcBorders>
          </w:tcPr>
          <w:p>
            <w:pPr>
              <w:pStyle w:val="TableCell"/>
              <w:jc w:val="right"/>
            </w:pPr>
            <w:r>
              <w:t xml:space="preserve">12.4 / 13.3 GB/s</w:t>
            </w:r>
          </w:p>
        </w:tc>
        <w:tc>
          <w:tcPr>
            <w:tcW w:w="1884" w:type="dxa"/>
            <w:tcBorders>
              <w:bottom w:val="single" w:sz="4" w:space="0" w:color="auto"/>
            </w:tcBorders>
          </w:tcPr>
          <w:p>
            <w:pPr>
              <w:pStyle w:val="TableCell"/>
              <w:jc w:val="right"/>
            </w:pPr>
            <w:r>
              <w:t xml:space="preserve">12.6 / 13.2 GB/s</w:t>
            </w:r>
          </w:p>
        </w:tc>
      </w:tr>
    </w:tbl>
    <w:p>
      <w:pPr>
        <w:pStyle w:val="Spacer"/>
      </w:pPr>
    </w:p>
    <w:p>
      <w:pPr>
        <w:pStyle w:val="Normal"/>
      </w:pPr>
      <w:r>
        <w:t xml:space="preserve">On the two criterion cells the M5 is 1.9–3.5× </w:t>
      </w:r>
      <w:r>
        <w:rPr>
          <w:b/>
          <w:bCs/>
        </w:rPr>
        <w:t xml:space="preserve">slower</w:t>
      </w:r>
      <w:r>
        <w:t xml:space="preserve">: 213.5 vs 60.4 µs empty, and 305.5 vs 159.8 µs (ReBAR on) or 142.3 µs (ReBAR off) at 1 MiB.</w:t>
      </w:r>
    </w:p>
    <w:p>
      <w:pPr>
        <w:pStyle w:val="Normal"/>
      </w:pPr>
      <w:r>
        <w:rPr>
          <w:b/>
          <w:bCs/>
        </w:rPr>
        <w:t xml:space="preserve">Where the time goes: the hand-off, not the bytes.</w:t>
      </w:r>
      <w:r>
        <w:t xml:space="preserve"> The PC's GPU→CPU and CPU→GPU hand-offs are each ≈ 30 µs and unimodal (g2c 30–35 µs in 73 % of samples). On the M5, g2c is similar (≈ 38 µs p50). The CPU→GPU hand-off, though, is </w:t>
      </w:r>
      <w:r>
        <w:rPr>
          <w:b/>
          <w:bCs/>
        </w:rPr>
        <w:t xml:space="preserve">multimodal</w:t>
      </w:r>
      <w:r>
        <w:t xml:space="preserve">, with modes at ≈ 50, 155 and 235 µs. Which mode dominates persists for minutes and changes between runs. This pattern is consistent with the GPU leaving an idle power state, and Sect. 6 tests that reading directly. The multimodality is also why the M5 fails the run-to-run acceptance (26 of 52 cells vary by ≥ 10 % across process restarts; worst primary cell 29 %). The PC passes (0 of 124 cells; worst 8.4 %).</w:t>
      </w:r>
    </w:p>
    <w:p>
      <w:pPr>
        <w:pStyle w:val="Normal"/>
      </w:pPr>
      <w:r>
        <w:rPr>
          <w:b/>
          <w:bCs/>
        </w:rPr>
        <w:t xml:space="preserve">Where the M5 wins: payload cost.</w:t>
      </w:r>
      <w:r>
        <w:t xml:space="preserve"> From 4 KiB to 1 MiB the M5's </w:t>
      </w:r>
      <w:r>
        <w:rPr>
          <w:rStyle w:val="CodeChar"/>
        </w:rPr>
        <w:t xml:space="preserve">s2_direct</w:t>
      </w:r>
      <w:r>
        <w:t xml:space="preserve"> round trip grows only from 201 to 305 µs. The 3060 Ti's grows from 60 to 207 µs (ReBAR on) and keeps growing linearly with payload. At 16 MiB the M5 is 1.7–2.8× faster on the direct path and ≈ 2.5× on the copy path. Raw copy bandwidth is ≈ 4.5× that of the gen3 x16 link. Against the 3060 Ti's best path, log–log interpolation between the 1 and 4 MiB grid points puts the crossover at ≈ 2.4 MiB per direction with ReBAR on (2.25–2.44 MiB over the nine pairs of runs) and ≈ 3.0 MiB with ReBAR off (2.78–3.06 MiB). Path by path, the curves of Fig. 1 cross at ≈ 1.6 MiB (direct path, ReBAR on), ≈ 3.0 MiB (direct path, ReBAR off) and ≈ 1.2 MiB (copy path, both settings). Nothing was measured between 1 and 4 MiB; the Sect. 6 extension measures it.</w:t>
      </w:r>
    </w:p>
    <w:p>
      <w:pPr>
        <w:pStyle w:val="Normal"/>
      </w:pPr>
      <w:r>
        <w:rPr>
          <w:b/>
          <w:bCs/>
        </w:rPr>
        <w:t xml:space="preserve">ReBAR changes only `s2_direct`.</w:t>
      </w:r>
      <w:r>
        <w:t xml:space="preserve"> With ReBAR on, the CPU→GPU buffer lives in device memory, so the CPU's 1 MiB write crosses PCIe (96 vs 33 µs), while the GPU's read pass, which </w:t>
      </w:r>
      <w:r>
        <w:rPr>
          <w:rStyle w:val="CodeChar"/>
        </w:rPr>
        <w:t xml:space="preserve">rt</w:t>
      </w:r>
      <w:r>
        <w:t xml:space="preserve"> excludes, becomes almost free (7 vs 86 µs). </w:t>
      </w:r>
      <w:r>
        <w:rPr>
          <w:rStyle w:val="CodeChar"/>
        </w:rPr>
        <w:t xml:space="preserve">rt</w:t>
      </w:r>
      <w:r>
        <w:t xml:space="preserve"> therefore rises from 142 to 207 µs. We report </w:t>
      </w:r>
      <w:r>
        <w:rPr>
          <w:rStyle w:val="CodeChar"/>
        </w:rPr>
        <w:t xml:space="preserve">rt</w:t>
      </w:r>
      <w:r>
        <w:t xml:space="preserve"> as defined and give </w:t>
      </w:r>
      <w:r>
        <w:rPr>
          <w:rStyle w:val="CodeChar"/>
        </w:rPr>
        <w:t xml:space="preserve">rt</w:t>
      </w:r>
      <w:r>
        <w:t xml:space="preserve"> + GPU read as a secondary figure. Every other path agrees within a few percent between the two series.</w:t>
      </w:r>
    </w:p>
    <w:p>
      <w:pPr>
        <w:pStyle w:val="Normal"/>
      </w:pPr>
      <w:r>
        <w:rPr>
          <w:b/>
          <w:bCs/>
        </w:rPr>
        <w:t xml:space="preserve">Outcome.</w:t>
      </w:r>
      <w:r>
        <w:t xml:space="preserve"> H1 ("lower for all payload sizes") is refuted. The data show a crossover, which the protocol named in advance as the expected honest outcome for the frame-level hypotheses. The study was re-scoped to H1′ (Sect. 1), with its predictions written down before the extension was measured.</w:t>
      </w:r>
    </w:p>
    <w:p>
      <w:pPr>
        <w:pStyle w:val="Heading1"/>
        <w:keepNext/>
      </w:pPr>
      <w:r>
        <w:t xml:space="preserve">6 Payload crossover and GPU state</w:t>
      </w:r>
    </w:p>
    <w:p>
      <w:pPr>
        <w:pStyle w:val="Normal"/>
      </w:pPr>
      <w:r>
        <w:rPr>
          <w:i/>
          <w:iCs/>
        </w:rPr>
        <w:t xml:space="preserve">[Written after the extension series on both platforms (H1′, predictions of 2026-10-13 in the protocol).]</w:t>
      </w:r>
    </w:p>
    <w:p>
      <w:pPr>
        <w:pStyle w:val="Heading1"/>
        <w:keepNext/>
      </w:pPr>
      <w:r>
        <w:t xml:space="preserve">7 Simulation workload and pipeline</w:t>
      </w:r>
    </w:p>
    <w:p>
      <w:pPr>
        <w:pStyle w:val="Heading2"/>
        <w:keepNext/>
      </w:pPr>
      <w:r>
        <w:t xml:space="preserve">7.1 The game as a workload</w:t>
      </w:r>
    </w:p>
    <w:p>
      <w:pPr>
        <w:pStyle w:val="Normal"/>
      </w:pPr>
      <w:r>
        <w:t xml:space="preserve">Lightbound is a top-down survival-stealth roguelite. The player carries a lantern through procedurally generated cave floors swarming with thousands of light-sensitive shadow creatures. Light hurts the creatures, so every creature's behaviour depends on the light field around it, and the light field depends on the player, static lights and creatures being destroyed. That loop is what makes the workload useful for our question:</w:t>
      </w:r>
    </w:p>
    <w:p>
      <w:pPr>
        <w:pStyle w:val="ListParagraph"/>
        <w:numPr>
          <w:ilvl w:val="0"/>
          <w:numId w:val="1"/>
        </w:numPr>
      </w:pPr>
      <w:r>
        <w:t xml:space="preserve">the </w:t>
      </w:r>
      <w:r>
        <w:rPr>
          <w:b/>
          <w:bCs/>
        </w:rPr>
        <w:t xml:space="preserve">GPU</w:t>
      </w:r>
      <w:r>
        <w:t xml:space="preserve"> computes what each creature perceives: light, its gradient, line of sight, and neighbours;</w:t>
      </w:r>
    </w:p>
    <w:p>
      <w:pPr>
        <w:pStyle w:val="ListParagraph"/>
        <w:numPr>
          <w:ilvl w:val="0"/>
          <w:numId w:val="1"/>
        </w:numPr>
      </w:pPr>
      <w:r>
        <w:t xml:space="preserve">the </w:t>
      </w:r>
      <w:r>
        <w:rPr>
          <w:b/>
          <w:bCs/>
        </w:rPr>
        <w:t xml:space="preserve">CPU</w:t>
      </w:r>
      <w:r>
        <w:t xml:space="preserve"> decides what each creature does, with a pure decision function;</w:t>
      </w:r>
    </w:p>
    <w:p>
      <w:pPr>
        <w:pStyle w:val="ListParagraph"/>
        <w:numPr>
          <w:ilvl w:val="0"/>
          <w:numId w:val="1"/>
        </w:numPr>
      </w:pPr>
      <w:r>
        <w:t xml:space="preserve">the </w:t>
      </w:r>
      <w:r>
        <w:rPr>
          <w:b/>
          <w:bCs/>
        </w:rPr>
        <w:t xml:space="preserve">GPU</w:t>
      </w:r>
      <w:r>
        <w:t xml:space="preserve"> moves and draws them.</w:t>
      </w:r>
    </w:p>
    <w:p>
      <w:pPr>
        <w:pStyle w:val="Normal"/>
      </w:pPr>
      <w:r>
        <w:t xml:space="preserve">Every frame therefore needs at least one GPU→CPU→GPU round trip, and better decisions need more.</w:t>
      </w:r>
    </w:p>
    <w:p>
      <w:pPr>
        <w:pStyle w:val="Normal"/>
      </w:pPr>
      <w:r>
        <w:rPr>
          <w:b/>
          <w:bCs/>
        </w:rPr>
        <w:t xml:space="preserve">Floors</w:t>
      </w:r>
      <w:r>
        <w:t xml:space="preserve"> are generated from a seed and validated, so a seed reproduces a floor bit for bit across platforms (M2; the same golden hashes on macOS and Windows). Benchmarks use five fixed seeds at 200 × 200 tiles.</w:t>
      </w:r>
    </w:p>
    <w:p>
      <w:pPr>
        <w:pStyle w:val="Heading2"/>
        <w:keepNext/>
      </w:pPr>
      <w:r>
        <w:t xml:space="preserve">7.2 One frame</w:t>
      </w:r>
    </w:p>
    <w:p>
      <w:pPr>
        <w:pStyle w:val="Normal"/>
      </w:pPr>
      <w:r>
        <w:t xml:space="preserve">Per simulation tick (60 Hz fixed step; in bench mode one tick per rendered frame, vsync off), the passes are those of Table 5.</w:t>
      </w:r>
    </w:p>
    <w:p>
      <w:pPr>
        <w:pStyle w:val="Caption"/>
        <w:keepNext/>
      </w:pPr>
      <w:r>
        <w:rPr>
          <w:b/>
          <w:bCs/>
        </w:rPr>
        <w:t xml:space="preserve">Table 5 </w:t>
      </w:r>
      <w:r>
        <w:t xml:space="preserve">The passes of one simulation step</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4"/>
        <w:gridCol w:w="774"/>
        <w:gridCol w:w="6978"/>
      </w:tblGrid>
      <w:tr>
        <w:trPr>
          <w:cantSplit/>
          <w:tblHeader/>
        </w:trPr>
        <w:tc>
          <w:tcPr>
            <w:tcW w:w="1274" w:type="dxa"/>
            <w:tcBorders>
              <w:top w:val="single" w:sz="4" w:space="0" w:color="auto"/>
              <w:bottom w:val="single" w:sz="4" w:space="0" w:color="auto"/>
            </w:tcBorders>
          </w:tcPr>
          <w:p>
            <w:pPr>
              <w:pStyle w:val="TableCell"/>
              <w:jc w:val="left"/>
            </w:pPr>
            <w:r>
              <w:rPr>
                <w:b/>
                <w:bCs/>
              </w:rPr>
              <w:t xml:space="preserve">pass</w:t>
            </w:r>
          </w:p>
        </w:tc>
        <w:tc>
          <w:tcPr>
            <w:tcW w:w="774" w:type="dxa"/>
            <w:tcBorders>
              <w:top w:val="single" w:sz="4" w:space="0" w:color="auto"/>
              <w:bottom w:val="single" w:sz="4" w:space="0" w:color="auto"/>
            </w:tcBorders>
          </w:tcPr>
          <w:p>
            <w:pPr>
              <w:pStyle w:val="TableCell"/>
              <w:jc w:val="left"/>
            </w:pPr>
            <w:r>
              <w:rPr>
                <w:b/>
                <w:bCs/>
              </w:rPr>
              <w:t xml:space="preserve">where</w:t>
            </w:r>
          </w:p>
        </w:tc>
        <w:tc>
          <w:tcPr>
            <w:tcW w:w="6978" w:type="dxa"/>
            <w:tcBorders>
              <w:top w:val="single" w:sz="4" w:space="0" w:color="auto"/>
              <w:bottom w:val="single" w:sz="4" w:space="0" w:color="auto"/>
            </w:tcBorders>
          </w:tcPr>
          <w:p>
            <w:pPr>
              <w:pStyle w:val="TableCell"/>
              <w:jc w:val="left"/>
            </w:pPr>
            <w:r>
              <w:rPr>
                <w:b/>
                <w:bCs/>
              </w:rPr>
              <w:t xml:space="preserve">work</w:t>
            </w:r>
          </w:p>
        </w:tc>
      </w:tr>
      <w:tr>
        <w:trPr>
          <w:cantSplit/>
        </w:trPr>
        <w:tc>
          <w:tcPr>
            <w:tcW w:w="1274" w:type="dxa"/>
            <w:tcBorders/>
          </w:tcPr>
          <w:p>
            <w:pPr>
              <w:pStyle w:val="TableCell"/>
              <w:jc w:val="left"/>
            </w:pPr>
            <w:r>
              <w:t xml:space="preserve">A</w:t>
            </w:r>
          </w:p>
        </w:tc>
        <w:tc>
          <w:tcPr>
            <w:tcW w:w="774" w:type="dxa"/>
            <w:tcBorders/>
          </w:tcPr>
          <w:p>
            <w:pPr>
              <w:pStyle w:val="TableCell"/>
              <w:jc w:val="left"/>
            </w:pPr>
            <w:r>
              <w:t xml:space="preserve">GPU</w:t>
            </w:r>
          </w:p>
        </w:tc>
        <w:tc>
          <w:tcPr>
            <w:tcW w:w="6978" w:type="dxa"/>
            <w:tcBorders/>
          </w:tcPr>
          <w:p>
            <w:pPr>
              <w:pStyle w:val="TableCell"/>
              <w:jc w:val="left"/>
            </w:pPr>
            <w:r>
              <w:t xml:space="preserve">light field, spatial hash (radix sort by 16 px cell), perception for all N agents → </w:t>
            </w:r>
            <w:r>
              <w:rPr>
                <w:rStyle w:val="CodeChar"/>
              </w:rPr>
              <w:t xml:space="preserve">Perception[N]</w:t>
            </w:r>
          </w:p>
        </w:tc>
      </w:tr>
      <w:tr>
        <w:trPr>
          <w:cantSplit/>
        </w:trPr>
        <w:tc>
          <w:tcPr>
            <w:tcW w:w="1274" w:type="dxa"/>
            <w:tcBorders/>
          </w:tcPr>
          <w:p>
            <w:pPr>
              <w:pStyle w:val="TableCell"/>
              <w:jc w:val="left"/>
            </w:pPr>
            <w:r>
              <w:t xml:space="preserve">B</w:t>
            </w:r>
          </w:p>
        </w:tc>
        <w:tc>
          <w:tcPr>
            <w:tcW w:w="774" w:type="dxa"/>
            <w:tcBorders/>
          </w:tcPr>
          <w:p>
            <w:pPr>
              <w:pStyle w:val="TableCell"/>
              <w:jc w:val="left"/>
            </w:pPr>
            <w:r>
              <w:t xml:space="preserve">CPU</w:t>
            </w:r>
          </w:p>
        </w:tc>
        <w:tc>
          <w:tcPr>
            <w:tcW w:w="6978" w:type="dxa"/>
            <w:tcBorders/>
          </w:tcPr>
          <w:p>
            <w:pPr>
              <w:pStyle w:val="TableCell"/>
              <w:jc w:val="left"/>
            </w:pPr>
            <w:r>
              <w:rPr>
                <w:rStyle w:val="CodeChar"/>
              </w:rPr>
              <w:t xml:space="preserve">decide()</w:t>
            </w:r>
            <w:r>
              <w:t xml:space="preserve"> for all agents on W worker threads, light damage, alarm propagation (BFS over the neighbour graph), events, list of ambiguous agents</w:t>
            </w:r>
          </w:p>
        </w:tc>
      </w:tr>
      <w:tr>
        <w:trPr>
          <w:cantSplit/>
        </w:trPr>
        <w:tc>
          <w:tcPr>
            <w:tcW w:w="1274" w:type="dxa"/>
            <w:tcBorders/>
          </w:tcPr>
          <w:p>
            <w:pPr>
              <w:pStyle w:val="TableCell"/>
              <w:jc w:val="left"/>
            </w:pPr>
            <w:r>
              <w:t xml:space="preserve">C, C′, C″</w:t>
            </w:r>
          </w:p>
        </w:tc>
        <w:tc>
          <w:tcPr>
            <w:tcW w:w="774" w:type="dxa"/>
            <w:tcBorders/>
          </w:tcPr>
          <w:p>
            <w:pPr>
              <w:pStyle w:val="TableCell"/>
              <w:jc w:val="left"/>
            </w:pPr>
            <w:r>
              <w:t xml:space="preserve">GPU</w:t>
            </w:r>
          </w:p>
        </w:tc>
        <w:tc>
          <w:tcPr>
            <w:tcW w:w="6978" w:type="dxa"/>
            <w:tcBorders/>
          </w:tcPr>
          <w:p>
            <w:pPr>
              <w:pStyle w:val="TableCell"/>
              <w:jc w:val="left"/>
            </w:pPr>
            <w:r>
              <w:t xml:space="preserve">K ≥ 2: refined queries for ambiguous agents (light at the exact position, then line-of-sight rays for alarms)</w:t>
            </w:r>
          </w:p>
        </w:tc>
      </w:tr>
      <w:tr>
        <w:trPr>
          <w:cantSplit/>
        </w:trPr>
        <w:tc>
          <w:tcPr>
            <w:tcW w:w="1274" w:type="dxa"/>
            <w:tcBorders/>
          </w:tcPr>
          <w:p>
            <w:pPr>
              <w:pStyle w:val="TableCell"/>
              <w:jc w:val="left"/>
            </w:pPr>
            <w:r>
              <w:t xml:space="preserve">D, D′, D″</w:t>
            </w:r>
          </w:p>
        </w:tc>
        <w:tc>
          <w:tcPr>
            <w:tcW w:w="774" w:type="dxa"/>
            <w:tcBorders/>
          </w:tcPr>
          <w:p>
            <w:pPr>
              <w:pStyle w:val="TableCell"/>
              <w:jc w:val="left"/>
            </w:pPr>
            <w:r>
              <w:t xml:space="preserve">CPU</w:t>
            </w:r>
          </w:p>
        </w:tc>
        <w:tc>
          <w:tcPr>
            <w:tcW w:w="6978" w:type="dxa"/>
            <w:tcBorders/>
          </w:tcPr>
          <w:p>
            <w:pPr>
              <w:pStyle w:val="TableCell"/>
              <w:jc w:val="left"/>
            </w:pPr>
            <w:r>
              <w:t xml:space="preserve">re-decide the refined agents, emit the next requests</w:t>
            </w:r>
          </w:p>
        </w:tc>
      </w:tr>
      <w:tr>
        <w:trPr>
          <w:cantSplit/>
        </w:trPr>
        <w:tc>
          <w:tcPr>
            <w:tcW w:w="1274" w:type="dxa"/>
            <w:tcBorders>
              <w:bottom w:val="single" w:sz="4" w:space="0" w:color="auto"/>
            </w:tcBorders>
          </w:tcPr>
          <w:p>
            <w:pPr>
              <w:pStyle w:val="TableCell"/>
              <w:jc w:val="left"/>
            </w:pPr>
            <w:r>
              <w:t xml:space="preserve">E</w:t>
            </w:r>
          </w:p>
        </w:tc>
        <w:tc>
          <w:tcPr>
            <w:tcW w:w="774" w:type="dxa"/>
            <w:tcBorders>
              <w:bottom w:val="single" w:sz="4" w:space="0" w:color="auto"/>
            </w:tcBorders>
          </w:tcPr>
          <w:p>
            <w:pPr>
              <w:pStyle w:val="TableCell"/>
              <w:jc w:val="left"/>
            </w:pPr>
            <w:r>
              <w:t xml:space="preserve">GPU</w:t>
            </w:r>
          </w:p>
        </w:tc>
        <w:tc>
          <w:tcPr>
            <w:tcW w:w="6978" w:type="dxa"/>
            <w:tcBorders>
              <w:bottom w:val="single" w:sz="4" w:space="0" w:color="auto"/>
            </w:tcBorders>
          </w:tcPr>
          <w:p>
            <w:pPr>
              <w:pStyle w:val="TableCell"/>
              <w:jc w:val="left"/>
            </w:pPr>
            <w:r>
              <w:t xml:space="preserve">read </w:t>
            </w:r>
            <w:r>
              <w:rPr>
                <w:rStyle w:val="CodeChar"/>
              </w:rPr>
              <w:t xml:space="preserve">Intent[N]</w:t>
            </w:r>
            <w:r>
              <w:t xml:space="preserve">, steer, separate, integrate, then render (albedo, lighting, particles, post, UI)</w:t>
            </w:r>
          </w:p>
        </w:tc>
      </w:tr>
    </w:tbl>
    <w:p>
      <w:pPr>
        <w:pStyle w:val="Spacer"/>
      </w:pPr>
    </w:p>
    <w:p>
      <w:pPr>
        <w:pStyle w:val="Normal"/>
      </w:pPr>
      <w:r>
        <w:rPr>
          <w:b/>
          <w:bCs/>
        </w:rPr>
        <w:t xml:space="preserve">K</w:t>
      </w:r>
      <w:r>
        <w:t xml:space="preserve"> is the number of round trips per frame, from 1 to 4, and each extra round trip buys a visible gameplay quality:</w:t>
      </w:r>
    </w:p>
    <w:p>
      <w:pPr>
        <w:pStyle w:val="ListParagraph"/>
        <w:numPr>
          <w:ilvl w:val="0"/>
          <w:numId w:val="1"/>
        </w:numPr>
      </w:pPr>
      <w:r>
        <w:t xml:space="preserve">K = 2: precise decisions at light edges;</w:t>
      </w:r>
    </w:p>
    <w:p>
      <w:pPr>
        <w:pStyle w:val="ListParagraph"/>
        <w:numPr>
          <w:ilvl w:val="0"/>
          <w:numId w:val="1"/>
        </w:numPr>
      </w:pPr>
      <w:r>
        <w:t xml:space="preserve">K = 3: alarms confirmed by line of sight;</w:t>
      </w:r>
    </w:p>
    <w:p>
      <w:pPr>
        <w:pStyle w:val="ListParagraph"/>
        <w:numPr>
          <w:ilvl w:val="0"/>
          <w:numId w:val="1"/>
        </w:numPr>
      </w:pPr>
      <w:r>
        <w:t xml:space="preserve">K = 4: a second alarm wave.</w:t>
      </w:r>
    </w:p>
    <w:p>
      <w:pPr>
        <w:pStyle w:val="Normal"/>
      </w:pPr>
      <w:r>
        <w:t xml:space="preserve">This gives the game a natural reason to pay for more round trips, rather than an artificial loop.</w:t>
      </w:r>
    </w:p>
    <w:p>
      <w:pPr>
        <w:pStyle w:val="Heading2"/>
        <w:keepNext/>
      </w:pPr>
      <w:r>
        <w:t xml:space="preserve">7.3 Strategies</w:t>
      </w:r>
    </w:p>
    <w:p>
      <w:pPr>
        <w:pStyle w:val="Normal"/>
      </w:pPr>
      <w:r>
        <w:t xml:space="preserve">The game code receives </w:t>
      </w:r>
      <w:r>
        <w:rPr>
          <w:rStyle w:val="CodeChar"/>
        </w:rPr>
        <w:t xml:space="preserve">const Perception*</w:t>
      </w:r>
      <w:r>
        <w:t xml:space="preserve"> and writes </w:t>
      </w:r>
      <w:r>
        <w:rPr>
          <w:rStyle w:val="CodeChar"/>
        </w:rPr>
        <w:t xml:space="preserve">Intent*</w:t>
      </w:r>
      <w:r>
        <w:t xml:space="preserve">, and never knows how they were supplied (invariant R2). The orchestrator implements four strategies (Table 6).</w:t>
      </w:r>
    </w:p>
    <w:p>
      <w:pPr>
        <w:pStyle w:val="Caption"/>
        <w:keepNext/>
      </w:pPr>
      <w:r>
        <w:rPr>
          <w:b/>
          <w:bCs/>
        </w:rPr>
        <w:t xml:space="preserve">Table 6 </w:t>
      </w:r>
      <w:r>
        <w:t xml:space="preserve">Transfer strategies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0"/>
        <w:gridCol w:w="1731"/>
        <w:gridCol w:w="4278"/>
        <w:gridCol w:w="2527"/>
      </w:tblGrid>
      <w:tr>
        <w:trPr>
          <w:cantSplit/>
          <w:tblHeader/>
        </w:trPr>
        <w:tc>
          <w:tcPr>
            <w:tcW w:w="490" w:type="dxa"/>
            <w:tcBorders>
              <w:top w:val="single" w:sz="4" w:space="0" w:color="auto"/>
              <w:bottom w:val="single" w:sz="4" w:space="0" w:color="auto"/>
            </w:tcBorders>
          </w:tcPr>
          <w:p>
            <w:pPr>
              <w:pStyle w:val="TableCell"/>
              <w:jc w:val="left"/>
            </w:pPr>
          </w:p>
        </w:tc>
        <w:tc>
          <w:tcPr>
            <w:tcW w:w="1731" w:type="dxa"/>
            <w:tcBorders>
              <w:top w:val="single" w:sz="4" w:space="0" w:color="auto"/>
              <w:bottom w:val="single" w:sz="4" w:space="0" w:color="auto"/>
            </w:tcBorders>
          </w:tcPr>
          <w:p>
            <w:pPr>
              <w:pStyle w:val="TableCell"/>
              <w:jc w:val="left"/>
            </w:pPr>
            <w:r>
              <w:rPr>
                <w:b/>
                <w:bCs/>
              </w:rPr>
              <w:t xml:space="preserve">name</w:t>
            </w:r>
          </w:p>
        </w:tc>
        <w:tc>
          <w:tcPr>
            <w:tcW w:w="4278" w:type="dxa"/>
            <w:tcBorders>
              <w:top w:val="single" w:sz="4" w:space="0" w:color="auto"/>
              <w:bottom w:val="single" w:sz="4" w:space="0" w:color="auto"/>
            </w:tcBorders>
          </w:tcPr>
          <w:p>
            <w:pPr>
              <w:pStyle w:val="TableCell"/>
              <w:jc w:val="left"/>
            </w:pPr>
            <w:r>
              <w:rPr>
                <w:b/>
                <w:bCs/>
              </w:rPr>
              <w:t xml:space="preserve">data path</w:t>
            </w:r>
          </w:p>
        </w:tc>
        <w:tc>
          <w:tcPr>
            <w:tcW w:w="2527" w:type="dxa"/>
            <w:tcBorders>
              <w:top w:val="single" w:sz="4" w:space="0" w:color="auto"/>
              <w:bottom w:val="single" w:sz="4" w:space="0" w:color="auto"/>
            </w:tcBorders>
          </w:tcPr>
          <w:p>
            <w:pPr>
              <w:pStyle w:val="TableCell"/>
              <w:jc w:val="left"/>
            </w:pPr>
            <w:r>
              <w:rPr>
                <w:b/>
                <w:bCs/>
              </w:rPr>
              <w:t xml:space="preserve">round trips per frame</w:t>
            </w:r>
          </w:p>
        </w:tc>
      </w:tr>
      <w:tr>
        <w:trPr>
          <w:cantSplit/>
        </w:trPr>
        <w:tc>
          <w:tcPr>
            <w:tcW w:w="490" w:type="dxa"/>
            <w:tcBorders/>
          </w:tcPr>
          <w:p>
            <w:pPr>
              <w:pStyle w:val="TableCell"/>
              <w:jc w:val="left"/>
            </w:pPr>
            <w:r>
              <w:t xml:space="preserve">S0</w:t>
            </w:r>
          </w:p>
        </w:tc>
        <w:tc>
          <w:tcPr>
            <w:tcW w:w="1731" w:type="dxa"/>
            <w:tcBorders/>
          </w:tcPr>
          <w:p>
            <w:pPr>
              <w:pStyle w:val="TableCell"/>
              <w:jc w:val="left"/>
            </w:pPr>
            <w:r>
              <w:t xml:space="preserve">delayed</w:t>
            </w:r>
          </w:p>
        </w:tc>
        <w:tc>
          <w:tcPr>
            <w:tcW w:w="4278" w:type="dxa"/>
            <w:tcBorders/>
          </w:tcPr>
          <w:p>
            <w:pPr>
              <w:pStyle w:val="TableCell"/>
              <w:jc w:val="left"/>
            </w:pPr>
            <w:r>
              <w:t xml:space="preserve">the CPU reads perception from L = 2 frames ago without waiting; its intents apply next frame</w:t>
            </w:r>
          </w:p>
        </w:tc>
        <w:tc>
          <w:tcPr>
            <w:tcW w:w="2527" w:type="dxa"/>
            <w:tcBorders/>
          </w:tcPr>
          <w:p>
            <w:pPr>
              <w:pStyle w:val="TableCell"/>
              <w:jc w:val="left"/>
            </w:pPr>
            <w:r>
              <w:t xml:space="preserve">0 (K forced to 1, delayed)</w:t>
            </w:r>
          </w:p>
        </w:tc>
      </w:tr>
      <w:tr>
        <w:trPr>
          <w:cantSplit/>
        </w:trPr>
        <w:tc>
          <w:tcPr>
            <w:tcW w:w="490" w:type="dxa"/>
            <w:tcBorders/>
          </w:tcPr>
          <w:p>
            <w:pPr>
              <w:pStyle w:val="TableCell"/>
              <w:jc w:val="left"/>
            </w:pPr>
            <w:r>
              <w:t xml:space="preserve">S1</w:t>
            </w:r>
          </w:p>
        </w:tc>
        <w:tc>
          <w:tcPr>
            <w:tcW w:w="1731" w:type="dxa"/>
            <w:tcBorders/>
          </w:tcPr>
          <w:p>
            <w:pPr>
              <w:pStyle w:val="TableCell"/>
              <w:jc w:val="left"/>
            </w:pPr>
            <w:r>
              <w:t xml:space="preserve">same-frame copy</w:t>
            </w:r>
          </w:p>
        </w:tc>
        <w:tc>
          <w:tcPr>
            <w:tcW w:w="4278" w:type="dxa"/>
            <w:tcBorders/>
          </w:tcPr>
          <w:p>
            <w:pPr>
              <w:pStyle w:val="TableCell"/>
              <w:jc w:val="left"/>
            </w:pPr>
            <w:r>
              <w:t xml:space="preserve">research buffers in GPU-private memory, copied to and from host-visible staging at each hand-off</w:t>
            </w:r>
          </w:p>
        </w:tc>
        <w:tc>
          <w:tcPr>
            <w:tcW w:w="2527" w:type="dxa"/>
            <w:tcBorders/>
          </w:tcPr>
          <w:p>
            <w:pPr>
              <w:pStyle w:val="TableCell"/>
              <w:jc w:val="left"/>
            </w:pPr>
            <w:r>
              <w:t xml:space="preserve">K, plus copies</w:t>
            </w:r>
          </w:p>
        </w:tc>
      </w:tr>
      <w:tr>
        <w:trPr>
          <w:cantSplit/>
        </w:trPr>
        <w:tc>
          <w:tcPr>
            <w:tcW w:w="490" w:type="dxa"/>
            <w:tcBorders/>
          </w:tcPr>
          <w:p>
            <w:pPr>
              <w:pStyle w:val="TableCell"/>
              <w:jc w:val="left"/>
            </w:pPr>
            <w:r>
              <w:t xml:space="preserve">S2</w:t>
            </w:r>
          </w:p>
        </w:tc>
        <w:tc>
          <w:tcPr>
            <w:tcW w:w="1731" w:type="dxa"/>
            <w:tcBorders/>
          </w:tcPr>
          <w:p>
            <w:pPr>
              <w:pStyle w:val="TableCell"/>
              <w:jc w:val="left"/>
            </w:pPr>
            <w:r>
              <w:t xml:space="preserve">same-frame direct</w:t>
            </w:r>
          </w:p>
        </w:tc>
        <w:tc>
          <w:tcPr>
            <w:tcW w:w="4278" w:type="dxa"/>
            <w:tcBorders/>
          </w:tcPr>
          <w:p>
            <w:pPr>
              <w:pStyle w:val="TableCell"/>
              <w:jc w:val="left"/>
            </w:pPr>
            <w:r>
              <w:t xml:space="preserve">research buffers accessed directly by both processors (Metal shared storage; on Vulkan, host-cached system memory for GPU→CPU and ReBAR device memory for CPU→GPU)</w:t>
            </w:r>
          </w:p>
        </w:tc>
        <w:tc>
          <w:tcPr>
            <w:tcW w:w="2527" w:type="dxa"/>
            <w:tcBorders/>
          </w:tcPr>
          <w:p>
            <w:pPr>
              <w:pStyle w:val="TableCell"/>
              <w:jc w:val="left"/>
            </w:pPr>
            <w:r>
              <w:t xml:space="preserve">K, no copies</w:t>
            </w:r>
          </w:p>
        </w:tc>
      </w:tr>
      <w:tr>
        <w:trPr>
          <w:cantSplit/>
        </w:trPr>
        <w:tc>
          <w:tcPr>
            <w:tcW w:w="490" w:type="dxa"/>
            <w:tcBorders>
              <w:bottom w:val="single" w:sz="4" w:space="0" w:color="auto"/>
            </w:tcBorders>
          </w:tcPr>
          <w:p>
            <w:pPr>
              <w:pStyle w:val="TableCell"/>
              <w:jc w:val="left"/>
            </w:pPr>
            <w:r>
              <w:t xml:space="preserve">S3</w:t>
            </w:r>
          </w:p>
        </w:tc>
        <w:tc>
          <w:tcPr>
            <w:tcW w:w="1731" w:type="dxa"/>
            <w:tcBorders>
              <w:bottom w:val="single" w:sz="4" w:space="0" w:color="auto"/>
            </w:tcBorders>
          </w:tcPr>
          <w:p>
            <w:pPr>
              <w:pStyle w:val="TableCell"/>
              <w:jc w:val="left"/>
            </w:pPr>
            <w:r>
              <w:t xml:space="preserve">all-GPU</w:t>
            </w:r>
          </w:p>
        </w:tc>
        <w:tc>
          <w:tcPr>
            <w:tcW w:w="4278" w:type="dxa"/>
            <w:tcBorders>
              <w:bottom w:val="single" w:sz="4" w:space="0" w:color="auto"/>
            </w:tcBorders>
          </w:tcPr>
          <w:p>
            <w:pPr>
              <w:pStyle w:val="TableCell"/>
              <w:jc w:val="left"/>
            </w:pPr>
            <w:r>
              <w:rPr>
                <w:rStyle w:val="CodeChar"/>
              </w:rPr>
              <w:t xml:space="preserve">decide()</w:t>
            </w:r>
            <w:r>
              <w:t xml:space="preserve"> ported to the GPU; alarm by grid diffusion; no refinement</w:t>
            </w:r>
          </w:p>
        </w:tc>
        <w:tc>
          <w:tcPr>
            <w:tcW w:w="2527" w:type="dxa"/>
            <w:tcBorders>
              <w:bottom w:val="single" w:sz="4" w:space="0" w:color="auto"/>
            </w:tcBorders>
          </w:tcPr>
          <w:p>
            <w:pPr>
              <w:pStyle w:val="TableCell"/>
              <w:jc w:val="left"/>
            </w:pPr>
            <w:r>
              <w:t xml:space="preserve">0</w:t>
            </w:r>
          </w:p>
        </w:tc>
      </w:tr>
    </w:tbl>
    <w:p>
      <w:pPr>
        <w:pStyle w:val="Spacer"/>
      </w:pPr>
    </w:p>
    <w:p>
      <w:pPr>
        <w:pStyle w:val="Normal"/>
      </w:pPr>
      <w:r>
        <w:t xml:space="preserve">S0 is what engines do today (asynchronous readback). S1 and S2 are the same-frame alternatives whose cost the microbenchmark measured. S3 is the "don't round-trip at all" baseline, at the price of simpler behaviour. Submission is </w:t>
      </w:r>
      <w:r>
        <w:rPr>
          <w:rStyle w:val="CodeChar"/>
        </w:rPr>
        <w:t xml:space="preserve">chain</w:t>
      </w:r>
      <w:r>
        <w:t xml:space="preserve"> (the frame's GPU work submitted up front, each segment waiting on a CPU-signalled value) for the main matrix, and </w:t>
      </w:r>
      <w:r>
        <w:rPr>
          <w:rStyle w:val="CodeChar"/>
        </w:rPr>
        <w:t xml:space="preserve">perpass</w:t>
      </w:r>
      <w:r>
        <w:t xml:space="preserve"> in a subset.</w:t>
      </w:r>
    </w:p>
    <w:p>
      <w:pPr>
        <w:pStyle w:val="Heading2"/>
        <w:keepNext/>
      </w:pPr>
      <w:r>
        <w:t xml:space="preserve">7.4 Control and determinism</w:t>
      </w:r>
    </w:p>
    <w:p>
      <w:pPr>
        <w:pStyle w:val="ListParagraph"/>
        <w:numPr>
          <w:ilvl w:val="0"/>
          <w:numId w:val="1"/>
        </w:numPr>
      </w:pPr>
      <w:r>
        <w:rPr>
          <w:b/>
          <w:bCs/>
        </w:rPr>
        <w:t xml:space="preserve">Fixed render workload</w:t>
      </w:r>
      <w:r>
        <w:t xml:space="preserve"> across conditions: internal resolution, light caps (≤ 64 static lights per floor), post-processing, vsync off (R5).</w:t>
      </w:r>
    </w:p>
    <w:p>
      <w:pPr>
        <w:pStyle w:val="ListParagraph"/>
        <w:numPr>
          <w:ilvl w:val="0"/>
          <w:numId w:val="1"/>
        </w:numPr>
      </w:pPr>
      <w:r>
        <w:rPr>
          <w:b/>
          <w:bCs/>
        </w:rPr>
        <w:t xml:space="preserve">Determinism:</w:t>
      </w:r>
      <w:r>
        <w:t xml:space="preserve"> fixed timestep, PCG32 streams per agent with explicit seeds, no unordered iteration. Worker results are merged in chunk order. </w:t>
      </w:r>
      <w:r>
        <w:rPr>
          <w:rStyle w:val="CodeChar"/>
        </w:rPr>
        <w:t xml:space="preserve">decide()</w:t>
      </w:r>
      <w:r>
        <w:t xml:space="preserve"> is a pure function of agent state, perception and world context (R3, R4). This is what makes the staleness oracle possible (Sect. 10): a same-frame run and a delayed run can be compared decision by decision.</w:t>
      </w:r>
    </w:p>
    <w:p>
      <w:pPr>
        <w:pStyle w:val="ListParagraph"/>
        <w:numPr>
          <w:ilvl w:val="0"/>
          <w:numId w:val="1"/>
        </w:numPr>
      </w:pPr>
      <w:r>
        <w:rPr>
          <w:b/>
          <w:bCs/>
        </w:rPr>
        <w:t xml:space="preserve">Driven player, constant N:</w:t>
      </w:r>
      <w:r>
        <w:t xml:space="preserve"> a deterministic bench bot walks the floor's critical path at 70 px/s, sweeps the lantern, and fires flares, strobes and focus beams on a fixed frame schedule, so the stimuli are the same on every platform. All N creatures spawn at t = 0 and do not die in bench mode. Damage is still computed, so the CPU cost stays, but N stays constant. Each run has 600 warm-up frames and 3,600 measured frames, with 4 worker threads on every platform.</w:t>
      </w:r>
    </w:p>
    <w:p>
      <w:pPr>
        <w:pStyle w:val="ListParagraph"/>
        <w:numPr>
          <w:ilvl w:val="0"/>
          <w:numId w:val="1"/>
        </w:numPr>
      </w:pPr>
      <w:r>
        <w:rPr>
          <w:b/>
          <w:bCs/>
        </w:rPr>
        <w:t xml:space="preserve">Matrix:</w:t>
      </w:r>
      <w:r>
        <w:t xml:space="preserve"> strategies × K (1–4, S1/S2 only) × N (1k–100k) × 5 seeds × 3 repetitions with a process restart, in randomized order with cooldowns. That is 900 runs per platform.</w:t>
      </w:r>
    </w:p>
    <w:p>
      <w:pPr>
        <w:pStyle w:val="Heading2"/>
        <w:keepNext/>
      </w:pPr>
      <w:r>
        <w:t xml:space="preserve">7.5 What the microbenchmark does not capture</w:t>
      </w:r>
    </w:p>
    <w:p>
      <w:pPr>
        <w:pStyle w:val="Normal"/>
      </w:pPr>
      <w:r>
        <w:t xml:space="preserve">The game's round trips differ from the microbenchmark's in three ways that Sect. 9 must model or bound:</w:t>
      </w:r>
    </w:p>
    <w:p>
      <w:pPr>
        <w:pStyle w:val="ListParagraph"/>
        <w:numPr>
          <w:ilvl w:val="0"/>
          <w:numId w:val="4"/>
        </w:numPr>
      </w:pPr>
      <w:r>
        <w:t xml:space="preserve">The GPU is busy between hand-offs (pass A and independent work), which is the reason for the hot-GPU extension.</w:t>
      </w:r>
    </w:p>
    <w:p>
      <w:pPr>
        <w:pStyle w:val="ListParagraph"/>
        <w:numPr>
          <w:ilvl w:val="0"/>
          <w:numId w:val="4"/>
        </w:numPr>
      </w:pPr>
      <w:r>
        <w:t xml:space="preserve">The CPU's work between hand-offs is real and parallel (W workers reading </w:t>
      </w:r>
      <w:r>
        <w:rPr>
          <w:rStyle w:val="CodeChar"/>
        </w:rPr>
        <w:t xml:space="preserve">Perception</w:t>
      </w:r>
      <w:r>
        <w:t xml:space="preserve"> and writing </w:t>
      </w:r>
      <w:r>
        <w:rPr>
          <w:rStyle w:val="CodeChar"/>
        </w:rPr>
        <w:t xml:space="preserve">Intent</w:t>
      </w:r>
      <w:r>
        <w:t xml:space="preserve">), not a single-threaded sum.</w:t>
      </w:r>
    </w:p>
    <w:p>
      <w:pPr>
        <w:pStyle w:val="ListParagraph"/>
        <w:numPr>
          <w:ilvl w:val="0"/>
          <w:numId w:val="4"/>
        </w:numPr>
      </w:pPr>
      <w:r>
        <w:t xml:space="preserve">The GPU→CPU payload has a fixed part independent of N (the spatial hash's </w:t>
      </w:r>
      <w:r>
        <w:rPr>
          <w:rStyle w:val="CodeChar"/>
        </w:rPr>
        <w:t xml:space="preserve">CellRange</w:t>
      </w:r>
      <w:r>
        <w:t xml:space="preserve">, ≈ 312 KiB per 200 × 200 floor).</w:t>
      </w:r>
    </w:p>
    <w:p>
      <w:pPr>
        <w:pStyle w:val="Heading1"/>
        <w:keepNext/>
      </w:pPr>
      <w:r>
        <w:t xml:space="preserve">8 Step-time results</w:t>
      </w:r>
    </w:p>
    <w:p>
      <w:pPr>
        <w:pStyle w:val="Normal"/>
      </w:pPr>
      <w:r>
        <w:rPr>
          <w:i/>
          <w:iCs/>
        </w:rPr>
        <w:t xml:space="preserve">[Written after the M4 and M8 run matrices (H2, H3, H5).]</w:t>
      </w:r>
    </w:p>
    <w:p>
      <w:pPr>
        <w:pStyle w:val="Heading1"/>
        <w:keepNext/>
      </w:pPr>
      <w:r>
        <w:t xml:space="preserve">9 Cost model</w:t>
      </w:r>
    </w:p>
    <w:p>
      <w:pPr>
        <w:pStyle w:val="Heading2"/>
        <w:keepNext/>
      </w:pPr>
      <w:r>
        <w:t xml:space="preserve">9.1 The model</w:t>
      </w:r>
    </w:p>
    <w:p>
      <w:pPr>
        <w:pStyle w:val="Normal"/>
      </w:pPr>
      <w:r>
        <w:t xml:space="preserve">The protocol fixes the model's form before any game run, per platform </w:t>
      </w:r>
      <w:r>
        <w:rPr>
          <w:i/>
          <w:iCs/>
        </w:rPr>
        <w:t xml:space="preserve">p</w:t>
      </w:r>
      <w:r>
        <w:t xml:space="preserve"> and strategy </w:t>
      </w:r>
      <w:r>
        <w:rPr>
          <w:i/>
          <w:iCs/>
        </w:rPr>
        <w:t xml:space="preserve">S</w:t>
      </w:r>
      <w:r>
        <w:t xml:space="preserve">:</w:t>
      </w:r>
    </w:p>
    <w:p>
      <w:pPr>
        <w:pStyle w:val="Code"/>
      </w:pPr>
      <w:r>
        <w:t xml:space="preserve">T_frame(N, K, S) ≈ a_gpu·N + b_gpu + a_cpu·N + b_cpu</w:t>
      </w:r>
    </w:p>
    <w:p>
      <w:pPr>
        <w:pStyle w:val="Code"/>
      </w:pPr>
      <w:r>
        <w:t xml:space="preserve">                   + K · ( T_sync + (P_g2c(N) + P_c2g(N)) / BW_eff(S) )</w:t>
      </w:r>
    </w:p>
    <w:p>
      <w:pPr>
        <w:pStyle w:val="Code"/>
      </w:pPr>
      <w:r>
        <w:t xml:space="preserve">                   + [S1] K · T_copy_setup</w:t>
      </w:r>
    </w:p>
    <w:p>
      <w:pPr>
        <w:pStyle w:val="ListParagraph"/>
        <w:numPr>
          <w:ilvl w:val="0"/>
          <w:numId w:val="1"/>
        </w:numPr>
      </w:pPr>
      <w:r>
        <w:rPr>
          <w:b/>
          <w:bCs/>
        </w:rPr>
        <w:t xml:space="preserve">The first line</w:t>
      </w:r>
      <w:r>
        <w:t xml:space="preserve"> is the work that does not depend on K: GPU passes A and E, and CPU pass B. It grows linearly in the agent count N. Its coefficients come only from the game at K = 1.</w:t>
      </w:r>
    </w:p>
    <w:p>
      <w:pPr>
        <w:pStyle w:val="ListParagraph"/>
        <w:numPr>
          <w:ilvl w:val="0"/>
          <w:numId w:val="1"/>
        </w:numPr>
      </w:pPr>
      <w:r>
        <w:rPr>
          <w:b/>
          <w:bCs/>
        </w:rPr>
        <w:t xml:space="preserve">The second line</w:t>
      </w:r>
      <w:r>
        <w:t xml:space="preserve"> is the cost of K round trips. </w:t>
      </w:r>
      <w:r>
        <w:rPr>
          <w:rStyle w:val="CodeChar"/>
        </w:rPr>
        <w:t xml:space="preserve">T_sync</w:t>
      </w:r>
      <w:r>
        <w:t xml:space="preserve"> is the payload-independent hand-off (GPU→CPU plus CPU→GPU), and the payload term is the bytes moved per round trip divided by an effective bandwidth. Both come only from the microbenchmark.</w:t>
      </w:r>
    </w:p>
    <w:p>
      <w:pPr>
        <w:pStyle w:val="ListParagraph"/>
        <w:numPr>
          <w:ilvl w:val="0"/>
          <w:numId w:val="1"/>
        </w:numPr>
      </w:pPr>
      <w:r>
        <w:rPr>
          <w:b/>
          <w:bCs/>
        </w:rPr>
        <w:t xml:space="preserve">The third line</w:t>
      </w:r>
      <w:r>
        <w:t xml:space="preserve"> adds, for the copy strategy, the fixed cost of setting up its copies.</w:t>
      </w:r>
    </w:p>
    <w:p>
      <w:pPr>
        <w:pStyle w:val="Normal"/>
      </w:pPr>
      <w:r>
        <w:t xml:space="preserve">Fitting the two halves on disjoint data is the point: if a model fitted on K = 1 runs and a microbenchmark predicts K = 2–4, the microbenchmark is a usable design tool for engine developers. We report the prediction error as MAPE per platform, and the predicted against measured crossover K*.</w:t>
      </w:r>
    </w:p>
    <w:p>
      <w:pPr>
        <w:pStyle w:val="Heading2"/>
        <w:keepNext/>
      </w:pPr>
      <w:r>
        <w:t xml:space="preserve">9.2 Payload per round trip, in agents</w:t>
      </w:r>
    </w:p>
    <w:p>
      <w:pPr>
        <w:pStyle w:val="Normal"/>
      </w:pPr>
      <w:r>
        <w:t xml:space="preserve">From the buffer layouts, one round trip moves the bytes of Table 7.</w:t>
      </w:r>
    </w:p>
    <w:p>
      <w:pPr>
        <w:pStyle w:val="Caption"/>
        <w:keepNext/>
      </w:pPr>
      <w:r>
        <w:rPr>
          <w:b/>
          <w:bCs/>
        </w:rPr>
        <w:t xml:space="preserve">Table 7 </w:t>
      </w:r>
      <w:r>
        <w:t xml:space="preserve">Bytes per round trip</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3"/>
        <w:gridCol w:w="5350"/>
        <w:gridCol w:w="2653"/>
      </w:tblGrid>
      <w:tr>
        <w:trPr>
          <w:cantSplit/>
          <w:tblHeader/>
        </w:trPr>
        <w:tc>
          <w:tcPr>
            <w:tcW w:w="1023" w:type="dxa"/>
            <w:tcBorders>
              <w:top w:val="single" w:sz="4" w:space="0" w:color="auto"/>
              <w:bottom w:val="single" w:sz="4" w:space="0" w:color="auto"/>
            </w:tcBorders>
          </w:tcPr>
          <w:p>
            <w:pPr>
              <w:pStyle w:val="TableCell"/>
              <w:jc w:val="left"/>
            </w:pPr>
            <w:r>
              <w:rPr>
                <w:b/>
                <w:bCs/>
              </w:rPr>
              <w:t xml:space="preserve">direction</w:t>
            </w:r>
          </w:p>
        </w:tc>
        <w:tc>
          <w:tcPr>
            <w:tcW w:w="5350" w:type="dxa"/>
            <w:tcBorders>
              <w:top w:val="single" w:sz="4" w:space="0" w:color="auto"/>
              <w:bottom w:val="single" w:sz="4" w:space="0" w:color="auto"/>
            </w:tcBorders>
          </w:tcPr>
          <w:p>
            <w:pPr>
              <w:pStyle w:val="TableCell"/>
              <w:jc w:val="left"/>
            </w:pPr>
            <w:r>
              <w:rPr>
                <w:b/>
                <w:bCs/>
              </w:rPr>
              <w:t xml:space="preserve">buffers</w:t>
            </w:r>
          </w:p>
        </w:tc>
        <w:tc>
          <w:tcPr>
            <w:tcW w:w="2653" w:type="dxa"/>
            <w:tcBorders>
              <w:top w:val="single" w:sz="4" w:space="0" w:color="auto"/>
              <w:bottom w:val="single" w:sz="4" w:space="0" w:color="auto"/>
            </w:tcBorders>
          </w:tcPr>
          <w:p>
            <w:pPr>
              <w:pStyle w:val="TableCell"/>
              <w:jc w:val="left"/>
            </w:pPr>
            <w:r>
              <w:rPr>
                <w:b/>
                <w:bCs/>
              </w:rPr>
              <w:t xml:space="preserve">bytes</w:t>
            </w:r>
          </w:p>
        </w:tc>
      </w:tr>
      <w:tr>
        <w:trPr>
          <w:cantSplit/>
        </w:trPr>
        <w:tc>
          <w:tcPr>
            <w:tcW w:w="1023" w:type="dxa"/>
            <w:tcBorders/>
          </w:tcPr>
          <w:p>
            <w:pPr>
              <w:pStyle w:val="TableCell"/>
              <w:jc w:val="left"/>
            </w:pPr>
            <w:r>
              <w:t xml:space="preserve">GPU→CPU</w:t>
            </w:r>
          </w:p>
        </w:tc>
        <w:tc>
          <w:tcPr>
            <w:tcW w:w="5350" w:type="dxa"/>
            <w:tcBorders/>
          </w:tcPr>
          <w:p>
            <w:pPr>
              <w:pStyle w:val="TableCell"/>
              <w:jc w:val="left"/>
            </w:pPr>
            <w:r>
              <w:rPr>
                <w:rStyle w:val="CodeChar"/>
              </w:rPr>
              <w:t xml:space="preserve">Perception</w:t>
            </w:r>
            <w:r>
              <w:t xml:space="preserve"> 32 B + </w:t>
            </w:r>
            <w:r>
              <w:rPr>
                <w:rStyle w:val="CodeChar"/>
              </w:rPr>
              <w:t xml:space="preserve">SortedIds</w:t>
            </w:r>
            <w:r>
              <w:t xml:space="preserve"> 4 B per agent; </w:t>
            </w:r>
            <w:r>
              <w:rPr>
                <w:rStyle w:val="CodeChar"/>
              </w:rPr>
              <w:t xml:space="preserve">CellRange</w:t>
            </w:r>
            <w:r>
              <w:t xml:space="preserve"> 8 B per spatial-hash cell; </w:t>
            </w:r>
            <w:r>
              <w:rPr>
                <w:rStyle w:val="CodeChar"/>
              </w:rPr>
              <w:t xml:space="preserve">GpuEvents</w:t>
            </w:r>
            <w:r>
              <w:t xml:space="preserve"> ≤ 16 KiB</w:t>
            </w:r>
          </w:p>
        </w:tc>
        <w:tc>
          <w:tcPr>
            <w:tcW w:w="2653" w:type="dxa"/>
            <w:tcBorders/>
          </w:tcPr>
          <w:p>
            <w:pPr>
              <w:pStyle w:val="TableCell"/>
              <w:jc w:val="left"/>
            </w:pPr>
            <w:r>
              <w:t xml:space="preserve">≈ 36 B·N + 8 B·cells</w:t>
            </w:r>
          </w:p>
        </w:tc>
      </w:tr>
      <w:tr>
        <w:trPr>
          <w:cantSplit/>
        </w:trPr>
        <w:tc>
          <w:tcPr>
            <w:tcW w:w="1023" w:type="dxa"/>
            <w:tcBorders>
              <w:bottom w:val="single" w:sz="4" w:space="0" w:color="auto"/>
            </w:tcBorders>
          </w:tcPr>
          <w:p>
            <w:pPr>
              <w:pStyle w:val="TableCell"/>
              <w:jc w:val="left"/>
            </w:pPr>
            <w:r>
              <w:t xml:space="preserve">CPU→GPU</w:t>
            </w:r>
          </w:p>
        </w:tc>
        <w:tc>
          <w:tcPr>
            <w:tcW w:w="5350" w:type="dxa"/>
            <w:tcBorders>
              <w:bottom w:val="single" w:sz="4" w:space="0" w:color="auto"/>
            </w:tcBorders>
          </w:tcPr>
          <w:p>
            <w:pPr>
              <w:pStyle w:val="TableCell"/>
              <w:jc w:val="left"/>
            </w:pPr>
            <w:r>
              <w:rPr>
                <w:rStyle w:val="CodeChar"/>
              </w:rPr>
              <w:t xml:space="preserve">Intent</w:t>
            </w:r>
            <w:r>
              <w:t xml:space="preserve"> 16 B per agent; </w:t>
            </w:r>
            <w:r>
              <w:rPr>
                <w:rStyle w:val="CodeChar"/>
              </w:rPr>
              <w:t xml:space="preserve">RefineRequest</w:t>
            </w:r>
            <w:r>
              <w:t xml:space="preserve"> 16 B for ≤ N/4 agents (K ≥ 2)</w:t>
            </w:r>
          </w:p>
        </w:tc>
        <w:tc>
          <w:tcPr>
            <w:tcW w:w="2653" w:type="dxa"/>
            <w:tcBorders>
              <w:bottom w:val="single" w:sz="4" w:space="0" w:color="auto"/>
            </w:tcBorders>
          </w:tcPr>
          <w:p>
            <w:pPr>
              <w:pStyle w:val="TableCell"/>
              <w:jc w:val="left"/>
            </w:pPr>
            <w:r>
              <w:t xml:space="preserve">16 B·N, up to ≈ 20 B·N</w:t>
            </w:r>
          </w:p>
        </w:tc>
      </w:tr>
    </w:tbl>
    <w:p>
      <w:pPr>
        <w:pStyle w:val="Spacer"/>
      </w:pPr>
    </w:p>
    <w:p>
      <w:pPr>
        <w:pStyle w:val="Normal"/>
      </w:pPr>
      <w:r>
        <w:t xml:space="preserve">With a 16 px cell and 16 px tiles, a 200 × 200-tile floor has 40,000 cells, so </w:t>
      </w:r>
      <w:r>
        <w:rPr>
          <w:rStyle w:val="CodeChar"/>
        </w:rPr>
        <w:t xml:space="preserve">CellRange</w:t>
      </w:r>
      <w:r>
        <w:t xml:space="preserve"> adds ≈ 312 KiB per GPU→CPU hand-off, independent of N. This is a fixed term the microbenchmark does not have. It enters </w:t>
      </w:r>
      <w:r>
        <w:rPr>
          <w:rStyle w:val="CodeChar"/>
        </w:rPr>
        <w:t xml:space="preserve">P_g2c(N)</w:t>
      </w:r>
      <w:r>
        <w:t xml:space="preserve"> as an intercept, and the model must keep it rather than fold it into </w:t>
      </w:r>
      <w:r>
        <w:rPr>
          <w:rStyle w:val="CodeChar"/>
        </w:rPr>
        <w:t xml:space="preserve">T_sync</w:t>
      </w:r>
      <w:r>
        <w:t xml:space="preserve">.</w:t>
      </w:r>
    </w:p>
    <w:p>
      <w:pPr>
        <w:pStyle w:val="Normal"/>
      </w:pPr>
      <w:r>
        <w:t xml:space="preserve">Averaged over the two directions, a round trip moves ≈ 28 B per agent, so 1 MiB per direction is ≈ 37k agents. The idle-GPU crossover interpolated in Sect. 5 is therefore ≈ 89k agents with ReBAR on (≈ 2.4 MiB per direction), at the top of the protocol's N grid (1k–100k), and ≈ 112k with ReBAR off (≈ 3.0 MiB), beyond the grid but below the capacity of 131,072. The model thus makes a testable prediction about the game, not only about the benchmark. If the hot-GPU crossover moves down as H1′ predicts (to ≤ 256 KiB), the game's crossover in N moves to ≲ 10k agents.</w:t>
      </w:r>
    </w:p>
    <w:p>
      <w:pPr>
        <w:pStyle w:val="Normal"/>
      </w:pPr>
      <w:r>
        <w:t xml:space="preserve">These agent counts ignore the </w:t>
      </w:r>
      <w:r>
        <w:rPr>
          <w:rStyle w:val="CodeChar"/>
        </w:rPr>
        <w:t xml:space="preserve">CellRange</w:t>
      </w:r>
      <w:r>
        <w:t xml:space="preserve"> intercept. With it, the GPU→CPU direction reaches a given payload with ≈ 9k fewer agents (312 KiB / 36 B), which moves the crossover lower still. If the hot crossover is at or below ≈ 312 KiB, the game's GPU→CPU hand-off is past it at every N.</w:t>
      </w:r>
    </w:p>
    <w:p>
      <w:pPr>
        <w:pStyle w:val="Heading2"/>
        <w:keepNext/>
      </w:pPr>
      <w:r>
        <w:t xml:space="preserve">9.3 Estimating the round-trip terms</w:t>
      </w:r>
    </w:p>
    <w:p>
      <w:pPr>
        <w:pStyle w:val="ListParagraph"/>
        <w:numPr>
          <w:ilvl w:val="0"/>
          <w:numId w:val="1"/>
        </w:numPr>
      </w:pPr>
      <w:r>
        <w:rPr>
          <w:b/>
          <w:bCs/>
        </w:rPr>
        <w:t xml:space="preserve">`T_sync(p, state)`:</w:t>
      </w:r>
      <w:r>
        <w:t xml:space="preserve"> the empty round trip p50 (chain/spin), separately for idle and hot GPU. Idle values are known: 214 µs (M5) and 60 µs (3060 Ti). Hot values come from the extension.</w:t>
      </w:r>
    </w:p>
    <w:p>
      <w:pPr>
        <w:pStyle w:val="ListParagraph"/>
        <w:numPr>
          <w:ilvl w:val="0"/>
          <w:numId w:val="1"/>
        </w:numPr>
      </w:pPr>
      <w:r>
        <w:rPr>
          <w:b/>
          <w:bCs/>
        </w:rPr>
        <w:t xml:space="preserve">`BW_eff(S, p, state)`:</w:t>
      </w:r>
      <w:r>
        <w:t xml:space="preserve"> the slope of round trip against payload over the extension grid, fitted on log-spaced points with </w:t>
      </w:r>
      <w:r>
        <w:rPr>
          <w:rStyle w:val="CodeChar"/>
        </w:rPr>
        <w:t xml:space="preserve">T_sync</w:t>
      </w:r>
      <w:r>
        <w:t xml:space="preserve"> held fixed. For S1 the slope includes both copies, and </w:t>
      </w:r>
      <w:r>
        <w:rPr>
          <w:rStyle w:val="CodeChar"/>
        </w:rPr>
        <w:t xml:space="preserve">T_copy_setup</w:t>
      </w:r>
      <w:r>
        <w:t xml:space="preserve"> is the S1–S2 difference at the smallest payload.</w:t>
      </w:r>
    </w:p>
    <w:p>
      <w:pPr>
        <w:pStyle w:val="ListParagraph"/>
        <w:numPr>
          <w:ilvl w:val="0"/>
          <w:numId w:val="1"/>
        </w:numPr>
      </w:pPr>
      <w:r>
        <w:rPr>
          <w:b/>
          <w:bCs/>
        </w:rPr>
        <w:t xml:space="preserve">Piecewise behaviour.</w:t>
      </w:r>
      <w:r>
        <w:t xml:space="preserve"> The M5's curve is flat to ≈ 1 MiB and steepens after 4 MiB (figure 1); a single </w:t>
      </w:r>
      <w:r>
        <w:rPr>
          <w:rStyle w:val="CodeChar"/>
        </w:rPr>
        <w:t xml:space="preserve">BW_eff</w:t>
      </w:r>
      <w:r>
        <w:t xml:space="preserve"> will not fit both regimes. The model uses the measured curve, interpolated log–log at the game's actual </w:t>
      </w:r>
      <w:r>
        <w:rPr>
          <w:rStyle w:val="CodeChar"/>
        </w:rPr>
        <w:t xml:space="preserve">P(N)</w:t>
      </w:r>
      <w:r>
        <w:t xml:space="preserve">, instead of a straight line. This is a deviation from the protocol's linear form, to be recorded as a decision when the fit is made, not now.</w:t>
      </w:r>
    </w:p>
    <w:p>
      <w:pPr>
        <w:pStyle w:val="ListParagraph"/>
        <w:numPr>
          <w:ilvl w:val="0"/>
          <w:numId w:val="1"/>
        </w:numPr>
      </w:pPr>
      <w:r>
        <w:rPr>
          <w:b/>
          <w:bCs/>
        </w:rPr>
        <w:t xml:space="preserve">Which GPU state applies.</w:t>
      </w:r>
      <w:r>
        <w:t xml:space="preserve"> In the game the GPU is busy between hand-offs, because pass A and the independent work run there. So the </w:t>
      </w:r>
      <w:r>
        <w:rPr>
          <w:i/>
          <w:iCs/>
        </w:rPr>
        <w:t xml:space="preserve">hot</w:t>
      </w:r>
      <w:r>
        <w:t xml:space="preserve"> microbenchmark values are the a priori choice. The idle values give the bound for a GPU that finishes early. We report both predictions; neither is chosen after seeing the game data.</w:t>
      </w:r>
    </w:p>
    <w:p>
      <w:pPr>
        <w:pStyle w:val="Heading2"/>
        <w:keepNext/>
      </w:pPr>
      <w:r>
        <w:t xml:space="preserve">9.4 What would falsify it</w:t>
      </w:r>
    </w:p>
    <w:p>
      <w:pPr>
        <w:pStyle w:val="ListParagraph"/>
        <w:numPr>
          <w:ilvl w:val="0"/>
          <w:numId w:val="1"/>
        </w:numPr>
      </w:pPr>
      <w:r>
        <w:t xml:space="preserve">The model under-predicts K = 2–4 by more than the run-to-run spread. Then something per round trip is missing, for example cache effects on the CPU's read of freshly written GPU data, or the alarm BFS's random access to </w:t>
      </w:r>
      <w:r>
        <w:rPr>
          <w:rStyle w:val="CodeChar"/>
        </w:rPr>
        <w:t xml:space="preserve">CellRange</w:t>
      </w:r>
      <w:r>
        <w:t xml:space="preserve">.</w:t>
      </w:r>
    </w:p>
    <w:p>
      <w:pPr>
        <w:pStyle w:val="ListParagraph"/>
        <w:numPr>
          <w:ilvl w:val="0"/>
          <w:numId w:val="1"/>
        </w:numPr>
      </w:pPr>
      <w:r>
        <w:t xml:space="preserve">The predicted K* is on the wrong side of the measured one.</w:t>
      </w:r>
    </w:p>
    <w:p>
      <w:pPr>
        <w:pStyle w:val="ListParagraph"/>
        <w:numPr>
          <w:ilvl w:val="0"/>
          <w:numId w:val="1"/>
        </w:numPr>
      </w:pPr>
      <w:r>
        <w:t xml:space="preserve">On the M5, the multimodal hand-off (Sect. 5) makes </w:t>
      </w:r>
      <w:r>
        <w:rPr>
          <w:rStyle w:val="CodeChar"/>
        </w:rPr>
        <w:t xml:space="preserve">T_sync</w:t>
      </w:r>
      <w:r>
        <w:t xml:space="preserve"> a mixture, so per-frame times may be bimodal. The model predicts the median frame; p95/p99 frame times are reported but not modelled.</w:t>
      </w:r>
    </w:p>
    <w:p>
      <w:pPr>
        <w:pStyle w:val="Heading1"/>
        <w:keepNext/>
      </w:pPr>
      <w:r>
        <w:t xml:space="preserve">10 Decision staleness</w:t>
      </w:r>
    </w:p>
    <w:p>
      <w:pPr>
        <w:pStyle w:val="Normal"/>
      </w:pPr>
      <w:r>
        <w:rPr>
          <w:i/>
          <w:iCs/>
        </w:rPr>
        <w:t xml:space="preserve">[Written after the M3 oracle and the M8 audit runs (H4).]</w:t>
      </w:r>
    </w:p>
    <w:p>
      <w:pPr>
        <w:pStyle w:val="Heading1"/>
        <w:keepNext/>
      </w:pPr>
      <w:r>
        <w:t xml:space="preserve">11 Energy</w:t>
      </w:r>
    </w:p>
    <w:p>
      <w:pPr>
        <w:pStyle w:val="Normal"/>
      </w:pPr>
      <w:r>
        <w:rPr>
          <w:i/>
          <w:iCs/>
        </w:rPr>
        <w:t xml:space="preserve">[Written after M8 (H6, secondary).]</w:t>
      </w:r>
    </w:p>
    <w:p>
      <w:pPr>
        <w:pStyle w:val="Heading1"/>
        <w:keepNext/>
      </w:pPr>
      <w:r>
        <w:t xml:space="preserve">12 Threats to validity</w:t>
      </w:r>
    </w:p>
    <w:p>
      <w:pPr>
        <w:pStyle w:val="Heading2"/>
        <w:keepNext/>
      </w:pPr>
      <w:r>
        <w:t xml:space="preserve">12.1 Platform and API differences</w:t>
      </w:r>
    </w:p>
    <w:p>
      <w:pPr>
        <w:pStyle w:val="ListParagraph"/>
        <w:numPr>
          <w:ilvl w:val="0"/>
          <w:numId w:val="1"/>
        </w:numPr>
      </w:pPr>
      <w:r>
        <w:rPr>
          <w:b/>
          <w:bCs/>
        </w:rPr>
        <w:t xml:space="preserve">Different APIs.</w:t>
      </w:r>
      <w:r>
        <w:t xml:space="preserve"> The M5 runs Metal and the RTX cards run Vulkan, so an API's own overhead is part of every platform difference. Mitigations:</w:t>
      </w:r>
    </w:p>
    <w:p>
      <w:pPr>
        <w:pStyle w:val="ListParagraph"/>
        <w:numPr>
          <w:ilvl w:val="1"/>
          <w:numId w:val="1"/>
        </w:numPr>
      </w:pPr>
      <w:r>
        <w:t xml:space="preserve">One Slang source per kernel, identical buffer layouts, and one algorithm per path (R1).</w:t>
      </w:r>
    </w:p>
    <w:p>
      <w:pPr>
        <w:pStyle w:val="ListParagraph"/>
        <w:numPr>
          <w:ilvl w:val="1"/>
          <w:numId w:val="1"/>
        </w:numPr>
      </w:pPr>
      <w:r>
        <w:t xml:space="preserve">Each API's thinnest synchronization primitive: </w:t>
      </w:r>
      <w:r>
        <w:rPr>
          <w:rStyle w:val="CodeChar"/>
        </w:rPr>
        <w:t xml:space="preserve">MTLSharedEvent</w:t>
      </w:r>
      <w:r>
        <w:t xml:space="preserve"> and timeline semaphores.</w:t>
      </w:r>
    </w:p>
    <w:p>
      <w:pPr>
        <w:pStyle w:val="ListParagraph"/>
        <w:numPr>
          <w:ilvl w:val="1"/>
          <w:numId w:val="1"/>
        </w:numPr>
      </w:pPr>
      <w:r>
        <w:t xml:space="preserve">A MoltenVK control on the M5, which runs Vulkan on top of Metal: optional, not yet run.</w:t>
      </w:r>
    </w:p>
    <w:p>
      <w:pPr>
        <w:pStyle w:val="Normal"/>
        <w:ind w:left="720"/>
      </w:pPr>
      <w:r>
        <w:t xml:space="preserve">We report the M5–RTX differences as differences between platforms (hardware plus API), not between memory architectures alone.</w:t>
      </w:r>
    </w:p>
    <w:p>
      <w:pPr>
        <w:pStyle w:val="ListParagraph"/>
        <w:numPr>
          <w:ilvl w:val="0"/>
          <w:numId w:val="1"/>
        </w:numPr>
      </w:pPr>
      <w:r>
        <w:rPr>
          <w:b/>
          <w:bCs/>
        </w:rPr>
        <w:t xml:space="preserve">Different raw power.</w:t>
      </w:r>
      <w:r>
        <w:t xml:space="preserve"> The platforms differ in CPU, GPU and memory, not only in the link. We therefore report hand-off costs (</w:t>
      </w:r>
      <w:r>
        <w:rPr>
          <w:rStyle w:val="CodeChar"/>
        </w:rPr>
        <w:t xml:space="preserve">g2c</w:t>
      </w:r>
      <w:r>
        <w:t xml:space="preserve">, </w:t>
      </w:r>
      <w:r>
        <w:rPr>
          <w:rStyle w:val="CodeChar"/>
        </w:rPr>
        <w:t xml:space="preserve">c2g</w:t>
      </w:r>
      <w:r>
        <w:t xml:space="preserve">) and within-platform ablations (S1 vs S2, payload, GPU state) alongside absolute round trips.</w:t>
      </w:r>
    </w:p>
    <w:p>
      <w:pPr>
        <w:pStyle w:val="ListParagraph"/>
        <w:numPr>
          <w:ilvl w:val="0"/>
          <w:numId w:val="1"/>
        </w:numPr>
      </w:pPr>
      <w:r>
        <w:rPr>
          <w:b/>
          <w:bCs/>
        </w:rPr>
        <w:t xml:space="preserve">PCIe gen3.</w:t>
      </w:r>
      <w:r>
        <w:t xml:space="preserve"> The PC's slot runs at gen3, not the gen4 the protocol planned. The measured link is the platform definition (DECISIONS #33). Gen4 results may differ, especially in the payload-dependent part.</w:t>
      </w:r>
    </w:p>
    <w:p>
      <w:pPr>
        <w:pStyle w:val="ListParagraph"/>
        <w:numPr>
          <w:ilvl w:val="0"/>
          <w:numId w:val="1"/>
        </w:numPr>
      </w:pPr>
      <w:r>
        <w:rPr>
          <w:b/>
          <w:bCs/>
        </w:rPr>
        <w:t xml:space="preserve">ReBAR.</w:t>
      </w:r>
      <w:r>
        <w:t xml:space="preserve"> ReBAR moves the cost of the CPU→GPU direct path from the GPU's read into the CPU's write. We report </w:t>
      </w:r>
      <w:r>
        <w:rPr>
          <w:rStyle w:val="CodeChar"/>
        </w:rPr>
        <w:t xml:space="preserve">rt</w:t>
      </w:r>
      <w:r>
        <w:t xml:space="preserve"> as defined, plus </w:t>
      </w:r>
      <w:r>
        <w:rPr>
          <w:rStyle w:val="CodeChar"/>
        </w:rPr>
        <w:t xml:space="preserve">rt</w:t>
      </w:r>
      <w:r>
        <w:t xml:space="preserve"> + GPU read, and keep the ReBAR-off series separate (Sect. 5).</w:t>
      </w:r>
    </w:p>
    <w:p>
      <w:pPr>
        <w:pStyle w:val="ListParagraph"/>
        <w:numPr>
          <w:ilvl w:val="0"/>
          <w:numId w:val="1"/>
        </w:numPr>
      </w:pPr>
      <w:r>
        <w:rPr>
          <w:b/>
          <w:bCs/>
        </w:rPr>
        <w:t xml:space="preserve">One device per class.</w:t>
      </w:r>
      <w:r>
        <w:t xml:space="preserve"> Each platform is a single machine: one M5 and one 3060 Ti, with the 4060 Ti pending. We claim nothing about variation between units of the same model.</w:t>
      </w:r>
    </w:p>
    <w:p>
      <w:pPr>
        <w:pStyle w:val="Heading2"/>
        <w:keepNext/>
      </w:pPr>
      <w:r>
        <w:t xml:space="preserve">12.2 Measurement hygiene on a shared, fanless laptop</w:t>
      </w:r>
    </w:p>
    <w:p>
      <w:pPr>
        <w:pStyle w:val="Normal"/>
      </w:pPr>
      <w:r>
        <w:t xml:space="preserve">The M5 is the author's daily machine, not a dedicated benchmark host. Its round trips are latency-bound and sit close to the GPU's power-management decisions (Sect. 5), so they are far more sensitive to the environment than bandwidth figures. We found five ways the environment can bias a series or cast doubt on one, each with evidence from our own runs:</w:t>
      </w:r>
    </w:p>
    <w:p>
      <w:pPr>
        <w:pStyle w:val="ListParagraph"/>
        <w:numPr>
          <w:ilvl w:val="0"/>
          <w:numId w:val="5"/>
        </w:numPr>
      </w:pPr>
      <w:r>
        <w:rPr>
          <w:b/>
          <w:bCs/>
        </w:rPr>
        <w:t xml:space="preserve">Power source.</w:t>
      </w:r>
      <w:r>
        <w:t xml:space="preserve"> A series on battery was excluded, and the protocol requires the Mac to be plugged in. "Plugged in" is not a measurement, though: macOS reports "AC Power" on an under-powered 20 W adapter as well. Every series therefore logs the adapter's wattage (</w:t>
      </w:r>
      <w:r>
        <w:rPr>
          <w:rStyle w:val="CodeChar"/>
        </w:rPr>
        <w:t xml:space="preserve">pmset -g ac</w:t>
      </w:r>
      <w:r>
        <w:t xml:space="preserve">) and the battery current, and starts only on a supply of at least 35 W with the battery neither charging nor draining. We first suspected the 20 W adapter of the shift in item 5; a check on a 40 W supply with the battery at 0 mA showed the same shift, so the adapter was not its cause.</w:t>
      </w:r>
    </w:p>
    <w:p>
      <w:pPr>
        <w:pStyle w:val="ListParagraph"/>
        <w:numPr>
          <w:ilvl w:val="0"/>
          <w:numId w:val="5"/>
        </w:numPr>
      </w:pPr>
      <w:r>
        <w:rPr>
          <w:b/>
          <w:bCs/>
        </w:rPr>
        <w:t xml:space="preserve">Other processes using the GPU.</w:t>
      </w:r>
      <w:r>
        <w:t xml:space="preserve"> A browser tab that animates kept the GPU 17–30 % busy (IOAccelerator "Device Utilization") with no benchmark running. Under that load, idle cells were 1.5–3× slower and erratic: </w:t>
      </w:r>
      <w:r>
        <w:rPr>
          <w:rStyle w:val="CodeChar"/>
        </w:rPr>
        <w:t xml:space="preserve">s1_copy</w:t>
      </w:r>
      <w:r>
        <w:t xml:space="preserve"> 1 MiB p50 525 vs 351 µs, p99 1780 vs 516 µs. Rule: no other GPU client; a series starts only once GPU utilization has stayed ≤ 5 % and the 1-minute load average below 3 for two minutes.</w:t>
      </w:r>
    </w:p>
    <w:p>
      <w:pPr>
        <w:pStyle w:val="ListParagraph"/>
        <w:numPr>
          <w:ilvl w:val="0"/>
          <w:numId w:val="5"/>
        </w:numPr>
      </w:pPr>
      <w:r>
        <w:rPr>
          <w:b/>
          <w:bCs/>
        </w:rPr>
        <w:t xml:space="preserve">CPU contention.</w:t>
      </w:r>
      <w:r>
        <w:t xml:space="preserve"> A concurrent 8-core analysis job (load average 14–16) inflated the p99 of the first cells about twofold. The same start rule catches it.</w:t>
      </w:r>
    </w:p>
    <w:p>
      <w:pPr>
        <w:pStyle w:val="ListParagraph"/>
        <w:numPr>
          <w:ilvl w:val="0"/>
          <w:numId w:val="5"/>
        </w:numPr>
      </w:pPr>
      <w:r>
        <w:rPr>
          <w:b/>
          <w:bCs/>
        </w:rPr>
        <w:t xml:space="preserve">Display and sleep state.</w:t>
      </w:r>
      <w:r>
        <w:t xml:space="preserve"> The protocol keeps the display on. Preventing only system sleep (</w:t>
      </w:r>
      <w:r>
        <w:rPr>
          <w:rStyle w:val="CodeChar"/>
        </w:rPr>
        <w:t xml:space="preserve">caffeinate -is</w:t>
      </w:r>
      <w:r>
        <w:t xml:space="preserve">) lets the display sleep after 10 minutes, so runs use </w:t>
      </w:r>
      <w:r>
        <w:rPr>
          <w:rStyle w:val="CodeChar"/>
        </w:rPr>
        <w:t xml:space="preserve">caffeinate -dis</w:t>
      </w:r>
      <w:r>
        <w:t xml:space="preserve">. A sleep-prevention assertion does not end a maintenance </w:t>
      </w:r>
      <w:r>
        <w:rPr>
          <w:i/>
          <w:iCs/>
        </w:rPr>
        <w:t xml:space="preserve">dark wake</w:t>
      </w:r>
      <w:r>
        <w:t xml:space="preserve"> (display off, system partly awake), though, and one of our checks ran in a dark wake without our noticing. Runs now start only in full wake (</w:t>
      </w:r>
      <w:r>
        <w:rPr>
          <w:rStyle w:val="CodeChar"/>
        </w:rPr>
        <w:t xml:space="preserve">pmset -g systemstate</w:t>
      </w:r>
      <w:r>
        <w:t xml:space="preserve"> lists the graphics capability) and re-check it before every process. In that check, dark wake made no difference beyond item 5: full-wake runs three hours later were as slow.</w:t>
      </w:r>
    </w:p>
    <w:p>
      <w:pPr>
        <w:pStyle w:val="ListParagraph"/>
        <w:numPr>
          <w:ilvl w:val="0"/>
          <w:numId w:val="5"/>
        </w:numPr>
      </w:pPr>
      <w:r>
        <w:rPr>
          <w:b/>
          <w:bCs/>
        </w:rPr>
        <w:t xml:space="preserve">A persistent shift we have not explained.</w:t>
      </w:r>
      <w:r>
        <w:t xml:space="preserve"> Since at least 2026-10-17, every check on the M5 has measured </w:t>
      </w:r>
      <w:r>
        <w:rPr>
          <w:i/>
          <w:iCs/>
        </w:rPr>
        <w:t xml:space="preserve">spin-wait</w:t>
      </w:r>
      <w:r>
        <w:t xml:space="preserve"> round trips ≈ 100–280 µs slower than the accepted series of 2026-09-24, for example </w:t>
      </w:r>
      <w:r>
        <w:rPr>
          <w:rStyle w:val="CodeChar"/>
        </w:rPr>
        <w:t xml:space="preserve">s1_copy</w:t>
      </w:r>
      <w:r>
        <w:t xml:space="preserve"> 1 MiB (chained submit) p50 ≈ 575 vs 352 µs. </w:t>
      </w:r>
      <w:r>
        <w:rPr>
          <w:i/>
          <w:iCs/>
        </w:rPr>
        <w:t xml:space="preserve">Block-wait</w:t>
      </w:r>
      <w:r>
        <w:t xml:space="preserve"> cells are unaffected: within 11 µs at 4 KiB, and 84–140 µs faster at 1 MiB. In spin mode, the work on both processors slows down: the CPU's own read of 1 MiB takes 45 vs 14 µs and the GPU's 1 MiB copy 65 vs 21 µs. Each of the following was ruled out by a direct comparison: the binary (the accepted series' commit, rebuilt and alternated with the current binary, agrees within 2 %); the power supply (20 W and 40 W, item 1); the external display and display activity (internal panel only, and all displays asleep); dark versus full wake (item 4); the process's nice level (0 vs 5); and the launch context (a terminal application, as for the accepted series, versus a detached terminal-session service: four alternating runs each, spin cells +109–243 vs +111–262 µs). One process-level clue: the benchmark spent only 68–90 % of its CPU time on the performance cores, and across eight runs the share correlates with the empty spin round trip (r = −0.89; the 90 % run measured 299 µs against 434–471 µs). This is consistent with the spinning thread being placed on efficiency cores part of the time, but whole-process counters cannot show it. Consequences: the accepted M5 idle numbers (Sect. 5) describe a machine state that we can no longer reproduce, and whether that state or the present one is typical of the platform is open. Sect. 5's verdict does not depend on it. In the present state the M5's block-wait cells are still slower than the 3060 Ti's best path (</w:t>
      </w:r>
      <w:r>
        <w:rPr>
          <w:rStyle w:val="CodeChar"/>
        </w:rPr>
        <w:t xml:space="preserve">s2_direct</w:t>
      </w:r>
      <w:r>
        <w:t xml:space="preserve"> 1 MiB, chained, p50 205–222 vs 145–161 µs; on the PC, block and spin wait differ by ≤ 6 µs). The interpolated crossover does depend on it: it rests on the M5's 1 MiB level and would move to smaller payloads if the present block-wait level held. No M5 extension series is measured until a two-minute reference check of the empty, </w:t>
      </w:r>
      <w:r>
        <w:rPr>
          <w:rStyle w:val="CodeChar"/>
        </w:rPr>
        <w:t xml:space="preserve">s1_copy</w:t>
      </w:r>
      <w:r>
        <w:t xml:space="preserve"> and </w:t>
      </w:r>
      <w:r>
        <w:rPr>
          <w:rStyle w:val="CodeChar"/>
        </w:rPr>
        <w:t xml:space="preserve">s2_direct</w:t>
      </w:r>
      <w:r>
        <w:t xml:space="preserve"> cells reproduces the accepted levels.</w:t>
      </w:r>
    </w:p>
    <w:p>
      <w:pPr>
        <w:pStyle w:val="Normal"/>
      </w:pPr>
      <w:r>
        <w:t xml:space="preserve">In each case the first minute of cells showed the problem against the accepted levels, and the attempt was stopped and discarded, never repaired or pooled. A practical lesson for latency studies on laptops: "on AC", "idle" and "awake" have to be checked by measurement, not assumed, and a reference check before every series catches what the checklist misses.</w:t>
      </w:r>
    </w:p>
    <w:p>
      <w:pPr>
        <w:pStyle w:val="Heading2"/>
        <w:keepNext/>
      </w:pPr>
      <w:r>
        <w:t xml:space="preserve">12.3 Run-to-run variation</w:t>
      </w:r>
    </w:p>
    <w:p>
      <w:pPr>
        <w:pStyle w:val="ListParagraph"/>
        <w:numPr>
          <w:ilvl w:val="0"/>
          <w:numId w:val="1"/>
        </w:numPr>
      </w:pPr>
      <w:r>
        <w:rPr>
          <w:b/>
          <w:bCs/>
        </w:rPr>
        <w:t xml:space="preserve">The M5 fails the protocol's run-to-run criterion</w:t>
      </w:r>
      <w:r>
        <w:t xml:space="preserve"> (26 of 52 cells vary by ≥ 10 % across process restarts; worst primary cell 29 %). The reason is the multimodal CPU→GPU hand-off, whose dominant mode persists for minutes. We report this as a result, not as noise to be averaged away: p50 and p99 are pooled over three restarts, and histograms show the modes. The PC passes (0 of 124 cells; worst 8.4 %).</w:t>
      </w:r>
    </w:p>
    <w:p>
      <w:pPr>
        <w:pStyle w:val="ListParagraph"/>
        <w:numPr>
          <w:ilvl w:val="0"/>
          <w:numId w:val="1"/>
        </w:numPr>
      </w:pPr>
      <w:r>
        <w:rPr>
          <w:b/>
          <w:bCs/>
        </w:rPr>
        <w:t xml:space="preserve">Thermal state.</w:t>
      </w:r>
      <w:r>
        <w:t xml:space="preserve"> The fanless chassis can throttle. Each series logs the thermal state at start and end. The accepted Mac series stayed at "fair" throughout, and the protocol flags throttled runs. Idle cells run before hot cells, because idle blocks measured after loaded ones come out faster (hysteresis, DECISIONS #32).</w:t>
      </w:r>
    </w:p>
    <w:p>
      <w:pPr>
        <w:pStyle w:val="ListParagraph"/>
        <w:numPr>
          <w:ilvl w:val="0"/>
          <w:numId w:val="1"/>
        </w:numPr>
      </w:pPr>
      <w:r>
        <w:rPr>
          <w:b/>
          <w:bCs/>
        </w:rPr>
        <w:t xml:space="preserve">Clock correlation.</w:t>
      </w:r>
      <w:r>
        <w:t xml:space="preserve"> The GPU→CPU time mapping drifts on the PC unless it is refreshed by elapsed time. Before the fix, </w:t>
      </w:r>
      <w:r>
        <w:rPr>
          <w:rStyle w:val="CodeChar"/>
        </w:rPr>
        <w:t xml:space="preserve">g2c</w:t>
      </w:r>
      <w:r>
        <w:t xml:space="preserve"> and </w:t>
      </w:r>
      <w:r>
        <w:rPr>
          <w:rStyle w:val="CodeChar"/>
        </w:rPr>
        <w:t xml:space="preserve">c2g</w:t>
      </w:r>
      <w:r>
        <w:t xml:space="preserve"> drifted while </w:t>
      </w:r>
      <w:r>
        <w:rPr>
          <w:rStyle w:val="CodeChar"/>
        </w:rPr>
        <w:t xml:space="preserve">rt</w:t>
      </w:r>
      <w:r>
        <w:t xml:space="preserve"> stayed valid. The split between </w:t>
      </w:r>
      <w:r>
        <w:rPr>
          <w:rStyle w:val="CodeChar"/>
        </w:rPr>
        <w:t xml:space="preserve">g2c</w:t>
      </w:r>
      <w:r>
        <w:t xml:space="preserve"> and </w:t>
      </w:r>
      <w:r>
        <w:rPr>
          <w:rStyle w:val="CodeChar"/>
        </w:rPr>
        <w:t xml:space="preserve">c2g</w:t>
      </w:r>
      <w:r>
        <w:t xml:space="preserve"> is therefore reported only for series measured after the fix (DECISIONS #23, #30).</w:t>
      </w:r>
    </w:p>
    <w:p>
      <w:pPr>
        <w:pStyle w:val="Heading2"/>
        <w:keepNext/>
      </w:pPr>
      <w:r>
        <w:t xml:space="preserve">12.4 Interpretation</w:t>
      </w:r>
    </w:p>
    <w:p>
      <w:pPr>
        <w:pStyle w:val="ListParagraph"/>
        <w:numPr>
          <w:ilvl w:val="0"/>
          <w:numId w:val="1"/>
        </w:numPr>
      </w:pPr>
      <w:r>
        <w:rPr>
          <w:b/>
          <w:bCs/>
        </w:rPr>
        <w:t xml:space="preserve">Power-state explanation.</w:t>
      </w:r>
      <w:r>
        <w:t xml:space="preserve"> That the M5's multimodal </w:t>
      </w:r>
      <w:r>
        <w:rPr>
          <w:rStyle w:val="CodeChar"/>
        </w:rPr>
        <w:t xml:space="preserve">c2g</w:t>
      </w:r>
      <w:r>
        <w:t xml:space="preserve"> comes from GPU idle states is an inference. We found no published idle-exit latencies for Apple or NVIDIA GPUs (Sect. 2), and macOS does not expose GPU power states to user code. The hot-GPU cells test the inference indirectly: if holding the GPU busy collapses the modes, the reading is supported. Until then the text says "consistent with".</w:t>
      </w:r>
    </w:p>
    <w:p>
      <w:pPr>
        <w:pStyle w:val="ListParagraph"/>
        <w:numPr>
          <w:ilvl w:val="0"/>
          <w:numId w:val="1"/>
        </w:numPr>
      </w:pPr>
      <w:r>
        <w:rPr>
          <w:b/>
          <w:bCs/>
        </w:rPr>
        <w:t xml:space="preserve">Hypotheses after the fact.</w:t>
      </w:r>
      <w:r>
        <w:t xml:space="preserve"> H1′ was written after M1's idle results were known (2026-10-13), but before the extension that tests it was measured. We state this, and keep the refuted H1 and its criterion in the paper unchanged.</w:t>
      </w:r>
    </w:p>
    <w:p>
      <w:pPr>
        <w:pStyle w:val="Heading1"/>
        <w:keepNext/>
      </w:pPr>
      <w:r>
        <w:t xml:space="preserve">13 Conclusion</w:t>
      </w:r>
    </w:p>
    <w:p>
      <w:pPr>
        <w:pStyle w:val="Normal"/>
      </w:pPr>
      <w:r>
        <w:rPr>
          <w:i/>
          <w:iCs/>
        </w:rPr>
        <w:t xml:space="preserve">[Written last.]</w:t>
      </w:r>
    </w:p>
    <w:p>
      <w:pPr>
        <w:pStyle w:val="Heading1"/>
        <w:keepNext/>
      </w:pPr>
      <w:r>
        <w:t xml:space="preserve">Declarations</w:t>
      </w:r>
    </w:p>
    <w:p>
      <w:pPr>
        <w:pStyle w:val="Normal"/>
      </w:pPr>
      <w:r>
        <w:rPr>
          <w:b/>
          <w:bCs/>
        </w:rPr>
        <w:t xml:space="preserve">Funding. </w:t>
      </w:r>
      <w:r>
        <w:t xml:space="preserve">[None / to state.]</w:t>
      </w:r>
    </w:p>
    <w:p>
      <w:pPr>
        <w:pStyle w:val="Normal"/>
      </w:pPr>
      <w:r>
        <w:rPr>
          <w:b/>
          <w:bCs/>
        </w:rPr>
        <w:t xml:space="preserve">Competing interests. </w:t>
      </w:r>
      <w:r>
        <w:t xml:space="preserve">[The author declares no competing interests. / to state]</w:t>
      </w:r>
    </w:p>
    <w:p>
      <w:pPr>
        <w:pStyle w:val="Normal"/>
      </w:pPr>
      <w:r>
        <w:rPr>
          <w:b/>
          <w:bCs/>
        </w:rPr>
        <w:t xml:space="preserve">Data and code availability. </w:t>
      </w:r>
      <w:r>
        <w:t xml:space="preserve">The benchmark, the simulation, the analysis scripts and the measured series are in the public repository https://github.com/jttarigan/Lightbound [archived DOI: to decide].</w:t>
      </w:r>
    </w:p>
    <w:p>
      <w:pPr>
        <w:pStyle w:val="Normal"/>
      </w:pPr>
      <w:r>
        <w:rPr>
          <w:b/>
          <w:bCs/>
        </w:rPr>
        <w:t xml:space="preserve">Use of AI tools. </w:t>
      </w:r>
      <w:r>
        <w:t xml:space="preserve">[Wording: the author's decision. Springer Nature asks for AI use beyond copy-editing to be declared in the Methods section; this draft was written with an AI assistant.]</w:t>
      </w:r>
    </w:p>
    <w:p>
      <w:pPr>
        <w:pStyle w:val="Heading1"/>
        <w:keepNext/>
      </w:pPr>
      <w:r>
        <w:t xml:space="preserve">References</w:t>
      </w:r>
    </w:p>
    <w:p>
      <w:pPr>
        <w:pStyle w:val="Bibliography"/>
      </w:pPr>
      <w:r>
        <w:fldChar w:fldCharType="begin"/>
      </w:r>
      <w:r>
        <w:instrText xml:space="preserve"> ADDIN ZOTERO_BIBL {"uncited":[],"omitted":[],"custom":[]} CSL_BIBLIOGRAPHY </w:instrText>
      </w:r>
      <w:r>
        <w:fldChar w:fldCharType="separate"/>
      </w:r>
      <w:r>
        <w:t xml:space="preserve">1.</w:t>
      </w:r>
      <w:r>
        <w:tab/>
      </w:r>
      <w:r>
        <w:t xml:space="preserve">Schieffer G, Wahlgren J, Ren J, et al (2024) Harnessing Integrated CPU-GPU System Memory for HPC: a first look into Grace Hopper. In: Proceedings of the 53rd International Conference on Parallel Processing. ACM, pp 199–209</w:t>
      </w:r>
    </w:p>
    <w:p>
      <w:pPr>
        <w:pStyle w:val="Bibliography"/>
      </w:pPr>
      <w:r>
        <w:t xml:space="preserve">2.</w:t>
      </w:r>
      <w:r>
        <w:tab/>
      </w:r>
      <w:r>
        <w:t xml:space="preserve">Wahlgren J, Schieffer G, Shi R, et al (2025) Dissecting CPU-GPU Unified Physical Memory on AMD MI300A APUs. In: 2025 IEEE International Symposium on Workload Characterization (IISWC). IEEE, pp 368–380</w:t>
      </w:r>
    </w:p>
    <w:p>
      <w:pPr>
        <w:pStyle w:val="Bibliography"/>
      </w:pPr>
      <w:r>
        <w:t xml:space="preserve">3.</w:t>
      </w:r>
      <w:r>
        <w:tab/>
      </w:r>
      <w:r>
        <w:t xml:space="preserve">Hübner P, Hu A, Peng I, Markidis S (2025) Apple vs. Oranges: Evaluating the Apple Silicon M-Series SoCs for HPC Performance and Efficiency</w:t>
      </w:r>
    </w:p>
    <w:p>
      <w:pPr>
        <w:pStyle w:val="Bibliography"/>
      </w:pPr>
      <w:r>
        <w:t xml:space="preserve">4.</w:t>
      </w:r>
      <w:r>
        <w:tab/>
      </w:r>
      <w:r>
        <w:t xml:space="preserve">Beischl A, Morozov M, Jungmair M, et al (2026) Evaluating Apple Silicon for Data Processing. In: Proceedings of the 22nd International Workshop on Data Management on New Hardware. ACM, pp 1–10</w:t>
      </w:r>
    </w:p>
    <w:p>
      <w:pPr>
        <w:pStyle w:val="Bibliography"/>
      </w:pPr>
      <w:r>
        <w:t xml:space="preserve">5.</w:t>
      </w:r>
      <w:r>
        <w:tab/>
      </w:r>
      <w:r>
        <w:t xml:space="preserve">Knap M, Czarnul P (2019) Performance evaluation of Unified Memory with prefetching and oversubscription for selected parallel CUDA applications on NVIDIA Pascal and Volta GPUs. The Journal of Supercomputing 75:7625–7645. https://doi.org/10.1007/s11227-019-02966-8</w:t>
      </w:r>
    </w:p>
    <w:p>
      <w:pPr>
        <w:pStyle w:val="Bibliography"/>
      </w:pPr>
      <w:r>
        <w:t xml:space="preserve">6.</w:t>
      </w:r>
      <w:r>
        <w:tab/>
      </w:r>
      <w:r>
        <w:t xml:space="preserve">Jarząbek Ł, Czarnul P (2017) Performance evaluation of unified memory and dynamic parallelism for selected parallel CUDA applications. The Journal of Supercomputing 73:5378–5401. https://doi.org/10.1007/s11227-017-2091-x</w:t>
      </w:r>
    </w:p>
    <w:p>
      <w:pPr>
        <w:pStyle w:val="Bibliography"/>
      </w:pPr>
      <w:r>
        <w:t xml:space="preserve">7.</w:t>
      </w:r>
      <w:r>
        <w:tab/>
      </w:r>
      <w:r>
        <w:t xml:space="preserve">Yu Q, Childers B, Huang L, et al (2020) A quantitative evaluation of unified memory in GPUs. The Journal of Supercomputing 76:2958–2985. https://doi.org/10.1007/s11227-019-03079-y</w:t>
      </w:r>
    </w:p>
    <w:p>
      <w:pPr>
        <w:pStyle w:val="Bibliography"/>
      </w:pPr>
      <w:r>
        <w:t xml:space="preserve">8.</w:t>
      </w:r>
      <w:r>
        <w:tab/>
      </w:r>
      <w:r>
        <w:t xml:space="preserve">Spafford KL, Meredith JS, Lee S, et al (2012) The tradeoffs of fused memory hierarchies in heterogeneous computing architectures. In: Proceedings of the 9th conference on Computing Frontiers. ACM, pp 103–112</w:t>
      </w:r>
    </w:p>
    <w:p>
      <w:pPr>
        <w:pStyle w:val="Bibliography"/>
      </w:pPr>
      <w:r>
        <w:t xml:space="preserve">9.</w:t>
      </w:r>
      <w:r>
        <w:tab/>
      </w:r>
      <w:r>
        <w:t xml:space="preserve">Lumpp F, Patel HD, Bombieri N (2021) A Framework for Optimizing CPU-iGPU Communication on Embedded Platforms. In: 2021 58th ACM/IEEE Design Automation Conference (DAC). IEEE, pp 685–690</w:t>
      </w:r>
    </w:p>
    <w:p>
      <w:pPr>
        <w:pStyle w:val="Bibliography"/>
      </w:pPr>
      <w:r>
        <w:t xml:space="preserve">10.</w:t>
      </w:r>
      <w:r>
        <w:tab/>
      </w:r>
      <w:r>
        <w:t xml:space="preserve">Gómez-Luna J, El Hajj I, Chang L-W, et al (2017) Chai: Collaborative heterogeneous applications for integrated-architectures. In: 2017 IEEE International Symposium on Performance Analysis of Systems and Software (ISPASS). IEEE, pp 43–54</w:t>
      </w:r>
    </w:p>
    <w:p>
      <w:pPr>
        <w:pStyle w:val="Bibliography"/>
      </w:pPr>
      <w:r>
        <w:t xml:space="preserve">11.</w:t>
      </w:r>
      <w:r>
        <w:tab/>
      </w:r>
      <w:r>
        <w:t xml:space="preserve">Sun Y, Gong X, Ziabari AK, et al (2016) Hetero-mark, a benchmark suite for CPU-GPU collaborative computing. In: 2016 IEEE International Symposium on Workload Characterization (IISWC). IEEE, pp 1–10</w:t>
      </w:r>
    </w:p>
    <w:p>
      <w:pPr>
        <w:pStyle w:val="Bibliography"/>
      </w:pPr>
      <w:r>
        <w:t xml:space="preserve">12.</w:t>
      </w:r>
      <w:r>
        <w:tab/>
      </w:r>
      <w:r>
        <w:t xml:space="preserve">Gera P, Kim H, Kim H, et al (2018) Performance Characterisation and Simulation of Intel’s Integrated GPU Architecture. In: 2018 IEEE International Symposium on Performance Analysis of Systems and Software (ISPASS). IEEE, pp 139–148</w:t>
      </w:r>
    </w:p>
    <w:p>
      <w:pPr>
        <w:pStyle w:val="Bibliography"/>
      </w:pPr>
      <w:r>
        <w:t xml:space="preserve">13.</w:t>
      </w:r>
      <w:r>
        <w:tab/>
      </w:r>
      <w:r>
        <w:t xml:space="preserve">Feng D, Xu Z, Wang R, Lin FX (2025) Profiling Apple Silicon Performance for ML Training</w:t>
      </w:r>
    </w:p>
    <w:p>
      <w:pPr>
        <w:pStyle w:val="Bibliography"/>
      </w:pPr>
      <w:r>
        <w:t xml:space="preserve">14.</w:t>
      </w:r>
      <w:r>
        <w:tab/>
      </w:r>
      <w:r>
        <w:t xml:space="preserve">Maczan J (2026) Measuring and Reducing WebGPU Dispatch Overhead for LLM Inference</w:t>
      </w:r>
    </w:p>
    <w:p>
      <w:pPr>
        <w:pStyle w:val="Bibliography"/>
      </w:pPr>
      <w:r>
        <w:t xml:space="preserve">15.</w:t>
      </w:r>
      <w:r>
        <w:tab/>
      </w:r>
      <w:r>
        <w:t xml:space="preserve">Cassagne A, Amiot N, Bouyer M (2025) Dalek: An Unconventional and Energy-Aware Heterogeneous Cluster</w:t>
      </w:r>
    </w:p>
    <w:p>
      <w:pPr>
        <w:pStyle w:val="Bibliography"/>
      </w:pPr>
      <w:r>
        <w:t xml:space="preserve">16.</w:t>
      </w:r>
      <w:r>
        <w:tab/>
      </w:r>
      <w:r>
        <w:t xml:space="preserve">Velicka D, Vysocky O, Riha L (2025) Methodology for GPU Frequency Switching Latency Measurement. In: 2025 IEEE International Parallel and Distributed Processing Symposium Workshops (IPDPSW). IEEE, pp 830–839</w:t>
      </w:r>
    </w:p>
    <w:p>
      <w:pPr>
        <w:pStyle w:val="Bibliography"/>
      </w:pPr>
      <w:r>
        <w:t xml:space="preserve">17.</w:t>
      </w:r>
      <w:r>
        <w:tab/>
      </w:r>
      <w:r>
        <w:t xml:space="preserve">Velicka D, Vysocky O, Yasal O, Riha L (2026) An in-depth study of GPU frequency-scaling latency and its optimization on modern architectures. Future Generation Computer Systems 179:108331. https://doi.org/10.1016/j.future.2025.108331</w:t>
      </w:r>
    </w:p>
    <w:p>
      <w:pPr>
        <w:pStyle w:val="Bibliography"/>
      </w:pPr>
      <w:r>
        <w:t xml:space="preserve">18.</w:t>
      </w:r>
      <w:r>
        <w:tab/>
      </w:r>
      <w:r>
        <w:t xml:space="preserve">Skrzypczak J, Czarnul P (2023) Efficient parallel implementation of crowd simulation using a hybrid CPU+GPU high performance computing system. Simulation Modelling Practice and Theory 123:102691. https://doi.org/10.1016/j.simpat.2022.102691</w:t>
      </w:r>
      <w:r>
        <w:fldChar w:fldCharType="end"/>
      </w:r>
    </w:p>
    <w:sectPr>
      <w:footerReference w:type="default" r:id="rIdFooter1"/>
      <w:pgSz w:w="11906" w:h="16838"/>
      <w:pgMar w:top="1440" w:right="1440" w:bottom="1440" w:left="1440" w:header="708" w:footer="708" w:gutter="0"/>
      <w:cols w:space="708"/>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1">
    <w:multiLevelType w:val="hybridMultilevel"/>
    <w:lvl w:ilvl="0">
      <w:start w:val="1"/>
      <w:numFmt w:val="decimal"/>
      <w:lvlText w:val="%1."/>
      <w:lvlJc w:val="left"/>
      <w:pPr>
        <w:ind w:left="720" w:hanging="360"/>
      </w:pPr>
    </w:lvl>
    <w:lvl w:ilvl="1">
      <w:start w:val="1"/>
      <w:numFmt w:val="bullet"/>
      <w:lvlText w:val="–"/>
      <w:lvlJc w:val="left"/>
      <w:pPr>
        <w:ind w:left="144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cs="Times New Roman" w:eastAsia="Times New Roman"/>
        <w:sz w:val="22"/>
        <w:szCs w:val="22"/>
        <w:lang w:val="en-GB"/>
      </w:rPr>
    </w:rPrDefault>
    <w:pPrDefault>
      <w:pPr>
        <w:spacing w:before="0" w:after="120" w:line="240" w:lineRule="auto"/>
      </w:pPr>
    </w:pPrDefault>
  </w:docDefaults>
  <w:style w:type="paragraph" w:styleId="Normal" w:default="1">
    <w:name w:val="Normal"/>
    <w:qFormat/>
    <w:pPr>
      <w:spacing w:before="0" w:after="120" w:line="240" w:lineRule="auto"/>
    </w:pPr>
    <w:rPr>
      <w:rFonts w:ascii="Times New Roman" w:hAnsi="Times New Roman" w:cs="Times New Roman" w:eastAsia="Times New Roman"/>
      <w:sz w:val="22"/>
      <w:szCs w:val="22"/>
    </w:rPr>
  </w:style>
  <w:style w:type="paragraph" w:styleId="Title">
    <w:name w:val="Title"/>
    <w:basedOn w:val="Normal"/>
    <w:next w:val="Normal"/>
    <w:qFormat/>
    <w:pPr>
      <w:spacing w:before="0" w:after="240" w:line="240" w:lineRule="auto"/>
      <w:keepNext/>
    </w:pPr>
    <w:rPr>
      <w:sz w:val="32"/>
      <w:szCs w:val="32"/>
      <w:b/>
      <w:bCs/>
    </w:rPr>
  </w:style>
  <w:style w:type="paragraph" w:styleId="Author">
    <w:name w:val="Author"/>
    <w:basedOn w:val="Normal"/>
    <w:next w:val="Normal"/>
    <w:qFormat/>
    <w:pPr>
      <w:spacing w:before="0" w:after="60" w:line="240" w:lineRule="auto"/>
    </w:pPr>
    <w:rPr>
      <w:sz w:val="24"/>
      <w:szCs w:val="24"/>
    </w:rPr>
  </w:style>
  <w:style w:type="paragraph" w:styleId="Affiliation">
    <w:name w:val="Affiliation"/>
    <w:basedOn w:val="Normal"/>
    <w:next w:val="Normal"/>
    <w:qFormat/>
    <w:pPr>
      <w:spacing w:before="0" w:after="60" w:line="240" w:lineRule="auto"/>
    </w:pPr>
    <w:rPr>
      <w:sz w:val="20"/>
      <w:szCs w:val="20"/>
      <w:i/>
      <w:iCs/>
    </w:rPr>
  </w:style>
  <w:style w:type="paragraph" w:styleId="Abstract">
    <w:name w:val="Abstract"/>
    <w:basedOn w:val="Normal"/>
    <w:next w:val="Normal"/>
    <w:qFormat/>
    <w:pPr>
      <w:spacing w:before="0" w:after="120" w:line="240" w:lineRule="auto"/>
      <w:ind w:left="567" w:right="567"/>
    </w:pPr>
    <w:rPr>
      <w:sz w:val="21"/>
      <w:szCs w:val="21"/>
    </w:rPr>
  </w:style>
  <w:style w:type="paragraph" w:styleId="Keywords">
    <w:name w:val="Keywords"/>
    <w:basedOn w:val="Normal"/>
    <w:next w:val="Normal"/>
    <w:qFormat/>
    <w:pPr>
      <w:spacing w:before="0" w:after="240" w:line="240" w:lineRule="auto"/>
      <w:ind w:left="567" w:right="567"/>
    </w:pPr>
    <w:rPr>
      <w:sz w:val="21"/>
      <w:szCs w:val="21"/>
    </w:rPr>
  </w:style>
  <w:style w:type="paragraph" w:styleId="Heading1">
    <w:name w:val="heading 1"/>
    <w:basedOn w:val="Normal"/>
    <w:next w:val="Normal"/>
    <w:qFormat/>
    <w:pPr>
      <w:spacing w:before="360" w:after="120" w:line="240" w:lineRule="auto"/>
      <w:keepNext/>
      <w:keepLines/>
      <w:outlineLvl w:val="0"/>
    </w:pPr>
    <w:rPr>
      <w:sz w:val="26"/>
      <w:szCs w:val="26"/>
      <w:b/>
      <w:bCs/>
    </w:rPr>
  </w:style>
  <w:style w:type="paragraph" w:styleId="Heading2">
    <w:name w:val="heading 2"/>
    <w:basedOn w:val="Normal"/>
    <w:next w:val="Normal"/>
    <w:qFormat/>
    <w:pPr>
      <w:spacing w:before="240" w:after="120" w:line="240" w:lineRule="auto"/>
      <w:keepNext/>
      <w:keepLines/>
      <w:outlineLvl w:val="1"/>
    </w:pPr>
    <w:rPr>
      <w:sz w:val="23"/>
      <w:szCs w:val="23"/>
      <w:b/>
      <w:bCs/>
    </w:rPr>
  </w:style>
  <w:style w:type="paragraph" w:styleId="Heading3">
    <w:name w:val="heading 3"/>
    <w:basedOn w:val="Normal"/>
    <w:next w:val="Normal"/>
    <w:qFormat/>
    <w:pPr>
      <w:spacing w:before="200" w:after="80" w:line="240" w:lineRule="auto"/>
      <w:keepNext/>
      <w:keepLines/>
      <w:outlineLvl w:val="2"/>
    </w:pPr>
    <w:rPr>
      <w:sz w:val="22"/>
      <w:szCs w:val="22"/>
      <w:b/>
      <w:bCs/>
      <w:i/>
      <w:iCs/>
    </w:rPr>
  </w:style>
  <w:style w:type="paragraph" w:styleId="ListParagraph">
    <w:name w:val="List Paragraph"/>
    <w:basedOn w:val="Normal"/>
    <w:next w:val="Normal"/>
    <w:qFormat/>
    <w:pPr>
      <w:spacing w:before="0" w:after="60" w:line="240" w:lineRule="auto"/>
      <w:contextualSpacing/>
    </w:pPr>
  </w:style>
  <w:style w:type="paragraph" w:styleId="Caption">
    <w:name w:val="caption"/>
    <w:basedOn w:val="Normal"/>
    <w:next w:val="Normal"/>
    <w:qFormat/>
    <w:pPr>
      <w:spacing w:before="120" w:after="60" w:line="240" w:lineRule="auto"/>
      <w:keepNext/>
    </w:pPr>
    <w:rPr>
      <w:sz w:val="20"/>
      <w:szCs w:val="20"/>
    </w:rPr>
  </w:style>
  <w:style w:type="paragraph" w:styleId="FigureCaption">
    <w:name w:val="Figure Caption"/>
    <w:basedOn w:val="Normal"/>
    <w:next w:val="Normal"/>
    <w:qFormat/>
    <w:pPr>
      <w:spacing w:before="60" w:after="240" w:line="240" w:lineRule="auto"/>
    </w:pPr>
    <w:rPr>
      <w:sz w:val="20"/>
      <w:szCs w:val="20"/>
    </w:rPr>
  </w:style>
  <w:style w:type="paragraph" w:styleId="Figure">
    <w:name w:val="Figure"/>
    <w:basedOn w:val="Normal"/>
    <w:next w:val="Normal"/>
    <w:qFormat/>
    <w:pPr>
      <w:spacing w:before="120" w:after="0" w:line="240" w:lineRule="auto"/>
      <w:keepNext/>
      <w:jc w:val="center"/>
    </w:pPr>
  </w:style>
  <w:style w:type="paragraph" w:styleId="TableCell">
    <w:name w:val="Table Cell"/>
    <w:basedOn w:val="Normal"/>
    <w:next w:val="Normal"/>
    <w:qFormat/>
    <w:pPr>
      <w:spacing w:before="20" w:after="20" w:line="240" w:lineRule="auto"/>
    </w:pPr>
    <w:rPr>
      <w:sz w:val="19"/>
      <w:szCs w:val="19"/>
    </w:rPr>
  </w:style>
  <w:style w:type="paragraph" w:styleId="Spacer">
    <w:name w:val="Spacer"/>
    <w:basedOn w:val="Normal"/>
    <w:next w:val="Normal"/>
    <w:qFormat/>
    <w:pPr>
      <w:spacing w:before="0" w:after="0" w:line="240" w:lineRule="auto"/>
    </w:pPr>
    <w:rPr>
      <w:sz w:val="8"/>
      <w:szCs w:val="8"/>
    </w:rPr>
  </w:style>
  <w:style w:type="paragraph" w:styleId="Code">
    <w:name w:val="Code"/>
    <w:basedOn w:val="Normal"/>
    <w:next w:val="Normal"/>
    <w:qFormat/>
    <w:pPr>
      <w:spacing w:before="0" w:after="0" w:line="240" w:lineRule="auto"/>
      <w:ind w:left="567"/>
      <w:contextualSpacing/>
    </w:pPr>
    <w:rPr>
      <w:rFonts w:ascii="Courier New" w:hAnsi="Courier New" w:cs="Courier New" w:eastAsia="Courier New"/>
      <w:sz w:val="19"/>
      <w:szCs w:val="19"/>
    </w:rPr>
  </w:style>
  <w:style w:type="paragraph" w:styleId="Bibliography">
    <w:name w:val="Bibliography"/>
    <w:basedOn w:val="Normal"/>
    <w:next w:val="Normal"/>
    <w:qFormat/>
    <w:pPr>
      <w:spacing w:before="0" w:after="60" w:line="240" w:lineRule="auto"/>
      <w:ind w:left="360" w:hanging="360"/>
    </w:pPr>
    <w:rPr>
      <w:sz w:val="20"/>
      <w:szCs w:val="20"/>
    </w:rPr>
  </w:style>
  <w:style w:type="character" w:styleId="CodeChar">
    <w:name w:val="Code Char"/>
    <w:qFormat/>
    <w:rPr>
      <w:rFonts w:ascii="Courier New" w:hAnsi="Courier New" w:cs="Courier New" w:eastAsia="Courier New"/>
      <w:sz w:val="20"/>
      <w:szCs w:val="20"/>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Fig1" Type="http://schemas.openxmlformats.org/officeDocument/2006/relationships/image" Target="media/fig1_roundtrip_vs_payload.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shared CPU–GPU memory pay off? Fine-grained round trips on an Apple M5 and PCIe GPUs, measured in a real-time agent simulation</dc:title>
  <dc:creator>Jos Timanta Tarigan</dc:creator>
  <dcterms:created xsi:type="dcterms:W3CDTF">2026-10-21T13:58:58Z</dcterms:created>
  <dcterms:modified xsi:type="dcterms:W3CDTF">2026-10-21T13:58:58Z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id="407a6f5a"/&gt;&lt;style id="http://www.zotero.org/styles/springer-basic-brackets"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