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89f13c7da324f07d4f20258ba06927c9c5c9ff"/>
      <w:r>
        <w:t xml:space="preserve">Cross-mechanism synthesis (barotrauma x collision x shear)</w:t>
      </w:r>
      <w:bookmarkEnd w:id="20"/>
    </w:p>
    <w:p>
      <w:pPr>
        <w:pStyle w:val="FirstParagraph"/>
      </w:pPr>
      <w:r>
        <w:t xml:space="preserve">A first synthesis across the three mechanism modules and the three-axis framework</w:t>
      </w:r>
      <w:r>
        <w:t xml:space="preserve"> </w:t>
      </w:r>
      <w:r>
        <w:t xml:space="preserve">(mechanism x exposure pathway x outcome timing), covering the 120-study union</w:t>
      </w:r>
      <w:r>
        <w:t xml:space="preserve"> </w:t>
      </w:r>
      <w:r>
        <w:t xml:space="preserve">within a 255-paper corpus now coded on all three axes. Companion file:</w:t>
      </w:r>
      <w:r>
        <w:t xml:space="preserve"> </w:t>
      </w:r>
      <w:r>
        <w:rPr>
          <w:rStyle w:val="VerbatimChar"/>
        </w:rPr>
        <w:t xml:space="preserve">outputs/Cross_mechanism_gap_matrix.xlsx</w:t>
      </w:r>
      <w:r>
        <w:t xml:space="preserve">.</w:t>
      </w:r>
    </w:p>
    <w:p>
      <w:pPr>
        <w:pStyle w:val="Heading2"/>
      </w:pPr>
      <w:bookmarkStart w:id="21" w:name="X432cc0249298c913d87dece2229f91ea544331d"/>
      <w:r>
        <w:t xml:space="preserve">1. Reproducibility vs. scope - an inverse relationship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Live-fish studies scored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reporting completeness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Barotrauma</w:t>
            </w:r>
          </w:p>
        </w:tc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t xml:space="preserve">39 (32 lab + 7 field)</w:t>
            </w:r>
          </w:p>
        </w:tc>
        <w:tc>
          <w:p>
            <w:pPr>
              <w:pStyle w:val="Compact"/>
              <w:jc w:val="left"/>
            </w:pPr>
            <w:r>
              <w:t xml:space="preserve">74%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Collision (blade strike &amp; impact)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25 (9 simulated + 16 field)</w:t>
            </w:r>
          </w:p>
        </w:tc>
        <w:tc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Shear (fluid shear / strain rate)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12 (lab only)</w:t>
            </w:r>
          </w:p>
        </w:tc>
        <w:tc>
          <w:p>
            <w:pPr>
              <w:pStyle w:val="Compact"/>
              <w:jc w:val="left"/>
            </w:pPr>
            <w:r>
              <w:t xml:space="preserve">94%</w:t>
            </w:r>
          </w:p>
        </w:tc>
      </w:tr>
    </w:tbl>
    <w:p>
      <w:pPr>
        <w:pStyle w:val="BodyText"/>
      </w:pPr>
      <w:r>
        <w:t xml:space="preserve">The headline pattern:</w:t>
      </w:r>
      <w:r>
        <w:t xml:space="preserve"> </w:t>
      </w:r>
      <w:r>
        <w:rPr>
          <w:b/>
        </w:rPr>
        <w:t xml:space="preserve">the better-reported a mechanism is, the narrower its</w:t>
      </w:r>
      <w:r>
        <w:rPr>
          <w:b/>
        </w:rPr>
        <w:t xml:space="preserve"> </w:t>
      </w:r>
      <w:r>
        <w:rPr>
          <w:b/>
        </w:rPr>
        <w:t xml:space="preserve">evidence base.</w:t>
      </w:r>
      <w:r>
        <w:t xml:space="preserve"> </w:t>
      </w:r>
      <w:r>
        <w:t xml:space="preserve">Shear has near-complete reporting but rests on ~12 lab studies</w:t>
      </w:r>
      <w:r>
        <w:t xml:space="preserve"> </w:t>
      </w:r>
      <w:r>
        <w:t xml:space="preserve">from essentially one apparatus lineage; barotrauma has the broadest, most diverse</w:t>
      </w:r>
      <w:r>
        <w:t xml:space="preserve"> </w:t>
      </w:r>
      <w:r>
        <w:t xml:space="preserve">evidence but the weakest reporting (undefined pressure-change metrics, missing</w:t>
      </w:r>
      <w:r>
        <w:t xml:space="preserve"> </w:t>
      </w:r>
      <w:r>
        <w:t xml:space="preserve">acclimation duration). High internal reproducibility (shear) and broad external</w:t>
      </w:r>
      <w:r>
        <w:t xml:space="preserve"> </w:t>
      </w:r>
      <w:r>
        <w:t xml:space="preserve">coverage (barotrauma) are, so far, mutually exclusive in this literature.</w:t>
      </w:r>
    </w:p>
    <w:p>
      <w:pPr>
        <w:pStyle w:val="Heading2"/>
      </w:pPr>
      <w:bookmarkStart w:id="22" w:name="X3a4af4e412142e710e2a946e1913ea126eb09af"/>
      <w:r>
        <w:t xml:space="preserve">2. Taxonomic coverage - concentrated on salmonids and eels</w:t>
      </w:r>
      <w:bookmarkEnd w:id="22"/>
    </w:p>
    <w:p>
      <w:pPr>
        <w:pStyle w:val="FirstParagraph"/>
      </w:pPr>
      <w:r>
        <w:t xml:space="preserve">Studies per mechanism by family group (from</w:t>
      </w:r>
      <w:r>
        <w:t xml:space="preserve"> </w:t>
      </w:r>
      <w:r>
        <w:rPr>
          <w:rStyle w:val="VerbatimChar"/>
        </w:rPr>
        <w:t xml:space="preserve">Cross_mechanism_gap_matrix.xlsx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 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Barotrauma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Collision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Salmonids</w:t>
            </w:r>
          </w:p>
        </w:tc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Eels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Perches &amp; relatives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Cyprinids (s.l.)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Lampreys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Sturgeons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Clupeids (shads &amp; herrings)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Catfishes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Gobies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Sculpins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Livebearers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/>
        </w:rPr>
        <w:t xml:space="preserve">Two taxa carry the field.</w:t>
      </w:r>
      <w:r>
        <w:t xml:space="preserve"> </w:t>
      </w:r>
      <w:r>
        <w:t xml:space="preserve">Salmonids and eels account for the large majority</w:t>
      </w:r>
      <w:r>
        <w:t xml:space="preserve"> </w:t>
      </w:r>
      <w:r>
        <w:t xml:space="preserve">of all live-fish evidence across every mechanism.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Whole families have no data.</w:t>
      </w:r>
      <w:r>
        <w:t xml:space="preserve"> </w:t>
      </w:r>
      <w:r>
        <w:t xml:space="preserve">Gobies, sculpins and livebearers are absent</w:t>
      </w:r>
      <w:r>
        <w:t xml:space="preserve"> </w:t>
      </w:r>
      <w:r>
        <w:t xml:space="preserve">across all three mechanisms - i.e. small-bodied and benthic/bottom-associated</w:t>
      </w:r>
      <w:r>
        <w:t xml:space="preserve"> </w:t>
      </w:r>
      <w:r>
        <w:t xml:space="preserve">fishes are systematically untested, despite encountering the same structures.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Per-mechanism holes:</w:t>
      </w:r>
      <w:r>
        <w:t xml:space="preserve"> </w:t>
      </w:r>
      <w:r>
        <w:t xml:space="preserve">shear has been tested on no sturgeon, catfish, goby,</w:t>
      </w:r>
      <w:r>
        <w:t xml:space="preserve"> </w:t>
      </w:r>
      <w:r>
        <w:t xml:space="preserve">sculpin or livebearer; collision has essentially no catfish or perch data;</w:t>
      </w:r>
      <w:r>
        <w:t xml:space="preserve"> </w:t>
      </w:r>
      <w:r>
        <w:t xml:space="preserve">barotrauma is the broadest but still thin for clupeids and catfishes.</w:t>
      </w:r>
    </w:p>
    <w:p>
      <w:pPr>
        <w:pStyle w:val="Heading2"/>
      </w:pPr>
      <w:bookmarkStart w:id="23" w:name="Xe8e92d99706966ee6e3de0f81c38b65127ee2af"/>
      <w:r>
        <w:t xml:space="preserve">3. Outcome timing - the iceberg below immediate survival</w:t>
      </w:r>
      <w:bookmarkEnd w:id="23"/>
    </w:p>
    <w:p>
      <w:pPr>
        <w:pStyle w:val="FirstParagraph"/>
      </w:pPr>
      <w:r>
        <w:t xml:space="preserve">Studies reporting each outcome-timing class (multi-valued):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Barotrauma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Collision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Delayed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Sublethal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/ long-term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Indirect (e.g. predation)</w:t>
            </w:r>
          </w:p>
        </w:tc>
        <w:tc>
          <w:p>
            <w:pPr>
              <w:pStyle w:val="Compact"/>
              <w:jc w:val="left"/>
            </w:pPr>
            <w:r>
              <w:t xml:space="preserve">17*</w:t>
            </w:r>
          </w:p>
        </w:tc>
        <w:tc>
          <w:p>
            <w:pPr>
              <w:pStyle w:val="Compact"/>
              <w:jc w:val="left"/>
            </w:pPr>
            <w:r>
              <w:t xml:space="preserve">6*</w:t>
            </w:r>
          </w:p>
        </w:tc>
        <w:tc>
          <w:p>
            <w:pPr>
              <w:pStyle w:val="Compact"/>
              <w:jc w:val="left"/>
            </w:pPr>
            <w:r>
              <w:t xml:space="preserve">14*</w:t>
            </w:r>
          </w:p>
        </w:tc>
      </w:tr>
    </w:tbl>
    <w:p>
      <w:pPr>
        <w:pStyle w:val="BodyText"/>
      </w:pPr>
      <w:r>
        <w:t xml:space="preserve">Immediate, delayed and sublethal endpoints are well represented, but</w:t>
      </w:r>
      <w:r>
        <w:t xml:space="preserve"> </w:t>
      </w:r>
      <w:r>
        <w:rPr>
          <w:b/>
        </w:rPr>
        <w:t xml:space="preserve">latent/long-term mortality is barely measured</w:t>
      </w:r>
      <w:r>
        <w:t xml:space="preserve"> </w:t>
      </w:r>
      <w:r>
        <w:t xml:space="preserve">(2-9 studies per mechanism) and</w:t>
      </w:r>
      <w:r>
        <w:t xml:space="preserve"> </w:t>
      </w:r>
      <w:r>
        <w:t xml:space="preserve">indirect (post-passage predation) mortality is mostly</w:t>
      </w:r>
      <w:r>
        <w:t xml:space="preserve"> </w:t>
      </w:r>
      <w:r>
        <w:rPr>
          <w:i/>
        </w:rPr>
        <w:t xml:space="preserve">discussed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</w:rPr>
        <w:t xml:space="preserve">quantified</w:t>
      </w:r>
      <w:r>
        <w:t xml:space="preserve"> </w:t>
      </w:r>
      <w:r>
        <w:t xml:space="preserve">(*the Indirect counts flag studies that address it, not that they</w:t>
      </w:r>
      <w:r>
        <w:t xml:space="preserve"> </w:t>
      </w:r>
      <w:r>
        <w:t xml:space="preserve">measured it - treat as an upper bound). The true population-level cost of passage</w:t>
      </w:r>
      <w:r>
        <w:t xml:space="preserve"> </w:t>
      </w:r>
      <w:r>
        <w:t xml:space="preserve">- delayed death, fitness loss, and predation on disoriented/injured fish - is the</w:t>
      </w:r>
      <w:r>
        <w:t xml:space="preserve"> </w:t>
      </w:r>
      <w:r>
        <w:t xml:space="preserve">least-quantified part of the whole field.</w:t>
      </w:r>
    </w:p>
    <w:p>
      <w:pPr>
        <w:pStyle w:val="Heading2"/>
      </w:pPr>
      <w:bookmarkStart w:id="24" w:name="X655d34ac3f86122ddcb5b90a0d0445d2d24adb4"/>
      <w:r>
        <w:t xml:space="preserve">4. Exposure pathway - lab-bound and rarely localised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Study environment.</w:t>
      </w:r>
      <w:r>
        <w:t xml:space="preserve"> </w:t>
      </w:r>
      <w:r>
        <w:t xml:space="preserve">Shear is almost entirely laboratory; barotrauma is</w:t>
      </w:r>
      <w:r>
        <w:t xml:space="preserve"> </w:t>
      </w:r>
      <w:r>
        <w:t xml:space="preserve">mostly lab chamber with some field; collision is the most balanced (simulated</w:t>
      </w:r>
      <w:r>
        <w:t xml:space="preserve"> </w:t>
      </w:r>
      <w:r>
        <w:t xml:space="preserve">rigs + field passage). Field live-fish shear injury is effectively absent.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Location during passage.</w:t>
      </w:r>
      <w:r>
        <w:t xml:space="preserve"> </w:t>
      </w:r>
      <w:r>
        <w:t xml:space="preserve">Real-structure live-fish studies overwhelmingly</w:t>
      </w:r>
      <w:r>
        <w:t xml:space="preserve"> </w:t>
      </w:r>
      <w:r>
        <w:t xml:space="preserve">report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whole-route (not localised)</w:t>
      </w:r>
      <w:r>
        <w:rPr>
          <w:b/>
        </w:rPr>
        <w:t xml:space="preserve">”</w:t>
      </w:r>
      <w:r>
        <w:t xml:space="preserve"> </w:t>
      </w:r>
      <w:r>
        <w:t xml:space="preserve">- balloon-tag/recapture survival can</w:t>
      </w:r>
      <w:r>
        <w:t xml:space="preserve"> </w:t>
      </w:r>
      <w:r>
        <w:t xml:space="preserve">rarely attribute injury to a component. Only CFD studies localise to the</w:t>
      </w:r>
      <w:r>
        <w:t xml:space="preserve"> </w:t>
      </w:r>
      <w:r>
        <w:t xml:space="preserve">runner, draft tube, wicket gates, etc. So the place where injury actually</w:t>
      </w:r>
      <w:r>
        <w:t xml:space="preserve"> </w:t>
      </w:r>
      <w:r>
        <w:t xml:space="preserve">happens inside a machine is known mostly from models, not from fish.</w:t>
      </w:r>
    </w:p>
    <w:p>
      <w:pPr>
        <w:pStyle w:val="Heading2"/>
      </w:pPr>
      <w:bookmarkStart w:id="25" w:name="what-the-gaps-tell-us-to-do-next"/>
      <w:r>
        <w:t xml:space="preserve">5. What the gaps tell us to do next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Add the missing direct-contact and gas mechanisms</w:t>
      </w:r>
      <w:r>
        <w:t xml:space="preserve"> </w:t>
      </w:r>
      <w:r>
        <w:t xml:space="preserve">- grinding/abrasion</w:t>
      </w:r>
      <w:r>
        <w:t xml:space="preserve"> </w:t>
      </w:r>
      <w:r>
        <w:t xml:space="preserve">(completes the contact picture with collision) and gas supersaturation/GBT</w:t>
      </w:r>
      <w:r>
        <w:t xml:space="preserve"> </w:t>
      </w:r>
      <w:r>
        <w:t xml:space="preserve">(de-conflates from barotrauma). These were the prior priority and the matrix</w:t>
      </w:r>
      <w:r>
        <w:t xml:space="preserve"> </w:t>
      </w:r>
      <w:r>
        <w:t xml:space="preserve">confirms they are not covered by the existing three.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Break the salmonid/eel monoculture.</w:t>
      </w:r>
      <w:r>
        <w:t xml:space="preserve"> </w:t>
      </w:r>
      <w:r>
        <w:t xml:space="preserve">Prioritise benthic and small-bodied</w:t>
      </w:r>
      <w:r>
        <w:t xml:space="preserve"> </w:t>
      </w:r>
      <w:r>
        <w:t xml:space="preserve">fishes (gobies, sculpins, catfishes) and non-temperate species, and report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/</w:t>
      </w:r>
      <w:r>
        <w:rPr>
          <w:rStyle w:val="VerbatimChar"/>
        </w:rPr>
        <w:t xml:space="preserve">family_group</w:t>
      </w:r>
      <w:r>
        <w:t xml:space="preserve"> </w:t>
      </w:r>
      <w:r>
        <w:t xml:space="preserve">so coverage can be tracked.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Measure the iceberg.</w:t>
      </w:r>
      <w:r>
        <w:t xml:space="preserve"> </w:t>
      </w:r>
      <w:r>
        <w:t xml:space="preserve">Build latent/long-term, sublethal and quantified</w:t>
      </w:r>
      <w:r>
        <w:t xml:space="preserve"> </w:t>
      </w:r>
      <w:r>
        <w:t xml:space="preserve">indirect (predation) endpoints into study designs - the biggest blind spot.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Localise injury in the field.</w:t>
      </w:r>
      <w:r>
        <w:t xml:space="preserve"> </w:t>
      </w:r>
      <w:r>
        <w:t xml:space="preserve">Couple lab dose-response and CFD component</w:t>
      </w:r>
      <w:r>
        <w:t xml:space="preserve"> </w:t>
      </w:r>
      <w:r>
        <w:t xml:space="preserve">exposure to field passage so real injuries can be attributed to a location,</w:t>
      </w:r>
      <w:r>
        <w:t xml:space="preserve"> </w:t>
      </w:r>
      <w:r>
        <w:t xml:space="preserve">not just to</w:t>
      </w:r>
      <w:r>
        <w:t xml:space="preserve"> </w:t>
      </w:r>
      <w:r>
        <w:t xml:space="preserve">“</w:t>
      </w:r>
      <w:r>
        <w:t xml:space="preserve">the turbine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Trade reproducibility for breadth deliberately.</w:t>
      </w:r>
      <w:r>
        <w:t xml:space="preserve"> </w:t>
      </w:r>
      <w:r>
        <w:t xml:space="preserve">Apply shear’s reporting</w:t>
      </w:r>
      <w:r>
        <w:t xml:space="preserve"> </w:t>
      </w:r>
      <w:r>
        <w:t xml:space="preserve">discipline (its minimum-reporting rigour) to the broader, messier barotrauma</w:t>
      </w:r>
      <w:r>
        <w:t xml:space="preserve"> </w:t>
      </w:r>
      <w:r>
        <w:t xml:space="preserve">and collision evidence.</w:t>
      </w:r>
    </w:p>
    <w:p>
      <w:pPr>
        <w:pStyle w:val="Heading2"/>
      </w:pPr>
      <w:bookmarkStart w:id="26" w:name="provenance-caveats"/>
      <w:r>
        <w:t xml:space="preserve">Provenance &amp; caveats</w:t>
      </w:r>
      <w:bookmarkEnd w:id="26"/>
    </w:p>
    <w:p>
      <w:pPr>
        <w:pStyle w:val="FirstParagraph"/>
      </w:pPr>
      <w:r>
        <w:t xml:space="preserve">Mechanism membership and metrics come from the per-mechanism registers; family</w:t>
      </w:r>
      <w:r>
        <w:t xml:space="preserve"> </w:t>
      </w:r>
      <w:r>
        <w:t xml:space="preserve">groups are mapped from</w:t>
      </w:r>
      <w:r>
        <w:t xml:space="preserve"> </w:t>
      </w:r>
      <w:r>
        <w:rPr>
          <w:rStyle w:val="VerbatimChar"/>
        </w:rPr>
        <w:t xml:space="preserve">data/vocab/species.csv</w:t>
      </w:r>
      <w:r>
        <w:t xml:space="preserve">; exposure/timing from</w:t>
      </w:r>
      <w:r>
        <w:t xml:space="preserve"> </w:t>
      </w:r>
      <w:r>
        <w:rPr>
          <w:rStyle w:val="VerbatimChar"/>
        </w:rPr>
        <w:t xml:space="preserve">data/axes_exposure_timing.csv</w:t>
      </w:r>
      <w:r>
        <w:t xml:space="preserve"> </w:t>
      </w:r>
      <w:r>
        <w:t xml:space="preserve">(all 255 rows (currently Mined, pending verification); the 97 field/numerical</w:t>
      </w:r>
      <w:r>
        <w:t xml:space="preserve"> </w:t>
      </w:r>
      <w:r>
        <w:t xml:space="preserve">rows were reviewed per-paper, 66 corrected - see</w:t>
      </w:r>
      <w:r>
        <w:t xml:space="preserve"> </w:t>
      </w:r>
      <w:r>
        <w:rPr>
          <w:rStyle w:val="VerbatimChar"/>
        </w:rPr>
        <w:t xml:space="preserve">methodology/07</w:t>
      </w:r>
      <w:r>
        <w:t xml:space="preserve">). Indirect-timing counts are upper bounds</w:t>
      </w:r>
      <w:r>
        <w:t xml:space="preserve"> </w:t>
      </w:r>
      <w:r>
        <w:t xml:space="preserve">(coverage, not quantification). Counts exceed unique-paper totals because studies</w:t>
      </w:r>
      <w:r>
        <w:t xml:space="preserve"> </w:t>
      </w:r>
      <w:r>
        <w:t xml:space="preserve">span several taxa, environments and timing classes.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2026-06-30T13:18:03Z</dcterms:created>
  <dcterms:modified xsi:type="dcterms:W3CDTF">2026-06-30T13:18:03Z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