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p>
      <w:pPr>
        <w:pStyle w:val="FirstParagraph"/>
      </w:pPr>
      <w:r>
        <w:rPr>
          <w:b/>
        </w:rPr>
        <w:t xml:space="preserve">Fish Passage Injury &amp; Mortality</w:t>
      </w:r>
      <w:r>
        <w:br/>
      </w:r>
      <w:r>
        <w:rPr>
          <w:b/>
        </w:rPr>
        <w:t xml:space="preserve">State of the Art</w:t>
      </w:r>
    </w:p>
    <w:p>
      <w:pPr>
        <w:pStyle w:val="BodyText"/>
      </w:pPr>
      <w:r>
        <w:rPr>
          <w:i/>
        </w:rPr>
        <w:t xml:space="preserve">A mechanism-based synthesis of a 255-paper downstream-passage library</w:t>
      </w:r>
      <w:r>
        <w:rPr>
          <w:i/>
        </w:rPr>
        <w:t xml:space="preserve"> </w:t>
      </w:r>
      <w:r>
        <w:rPr>
          <w:i/>
        </w:rPr>
        <w:t xml:space="preserve">(1928–2026)</w:t>
      </w:r>
      <w:r>
        <w:br/>
      </w:r>
      <w:r>
        <w:rPr>
          <w:i/>
        </w:rPr>
        <w:t xml:space="preserve">Quantitative claims verified against 37 key papers; see the extraction</w:t>
      </w:r>
      <w:r>
        <w:rPr>
          <w:i/>
        </w:rPr>
        <w:t xml:space="preserve"> </w:t>
      </w:r>
      <w:r>
        <w:rPr>
          <w:i/>
        </w:rPr>
        <w:t xml:space="preserve">spreadsheet (</w:t>
      </w:r>
      <w:r>
        <w:rPr>
          <w:i/>
        </w:rPr>
        <w:t xml:space="preserve">‘</w:t>
      </w:r>
      <w:r>
        <w:rPr>
          <w:i/>
        </w:rPr>
        <w:t xml:space="preserve">Confidence</w:t>
      </w:r>
      <w:r>
        <w:rPr>
          <w:i/>
        </w:rPr>
        <w:t xml:space="preserve">’</w:t>
      </w:r>
      <w:r>
        <w:rPr>
          <w:i/>
        </w:rPr>
        <w:t xml:space="preserve"> </w:t>
      </w:r>
      <w:r>
        <w:rPr>
          <w:i/>
        </w:rPr>
        <w:t xml:space="preserve">column)</w:t>
      </w:r>
    </w:p>
    <w:p>
      <w:pPr>
        <w:pStyle w:val="Heading1"/>
      </w:pPr>
      <w:bookmarkStart w:id="20" w:name="scope-corpus"/>
      <w:r>
        <w:t xml:space="preserve">1. Scope &amp; corpus</w:t>
      </w:r>
      <w:bookmarkEnd w:id="20"/>
    </w:p>
    <w:p>
      <w:pPr>
        <w:pStyle w:val="FirstParagraph"/>
      </w:pPr>
      <w:r>
        <w:t xml:space="preserve">This synthesis covers 255 publications on downstream fish passage and</w:t>
      </w:r>
      <w:r>
        <w:t xml:space="preserve"> </w:t>
      </w:r>
      <w:r>
        <w:t xml:space="preserve">the injury and mortality it causes — passage through hydropower</w:t>
      </w:r>
      <w:r>
        <w:t xml:space="preserve"> </w:t>
      </w:r>
      <w:r>
        <w:t xml:space="preserve">turbines, pumps, Archimedean screws, weirs, spillways, and</w:t>
      </w:r>
      <w:r>
        <w:t xml:space="preserve"> </w:t>
      </w:r>
      <w:r>
        <w:t xml:space="preserve">bypass/fish-friendly structures (1928–2026). Headline quantitative</w:t>
      </w:r>
      <w:r>
        <w:t xml:space="preserve"> </w:t>
      </w:r>
      <w:r>
        <w:t xml:space="preserve">claims below were checked against the original papers; 37 key empirical</w:t>
      </w:r>
      <w:r>
        <w:t xml:space="preserve"> </w:t>
      </w:r>
      <w:r>
        <w:t xml:space="preserve">studies are marked</w:t>
      </w:r>
      <w:r>
        <w:t xml:space="preserve"> </w:t>
      </w:r>
      <w:r>
        <w:t xml:space="preserve">‘</w:t>
      </w:r>
      <w:r>
        <w:t xml:space="preserve">Verified</w:t>
      </w:r>
      <w:r>
        <w:t xml:space="preserve">’</w:t>
      </w:r>
      <w:r>
        <w:t xml:space="preserve"> </w:t>
      </w:r>
      <w:r>
        <w:t xml:space="preserve">in the companion spreadsheet. Other cell</w:t>
      </w:r>
      <w:r>
        <w:t xml:space="preserve"> </w:t>
      </w:r>
      <w:r>
        <w:t xml:space="preserve">values remain text-mined first-pass estimates.</w:t>
      </w:r>
    </w:p>
    <w:tbl>
      <w:tblPr>
        <w:tblStyle w:val="Table"/>
        <w:tblW w:type="pct" w:w="5000.0"/>
        <w:tblLook w:firstRow="1"/>
      </w:tblPr>
      <w:tblGrid>
        <w:gridCol w:w="1108"/>
        <w:gridCol w:w="792"/>
        <w:gridCol w:w="6019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rPr>
                <w:b/>
              </w:rPr>
              <w:t xml:space="preserve">Study type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rPr>
                <w:b/>
              </w:rPr>
              <w:t xml:space="preserve">Papers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rPr>
                <w:b/>
              </w:rPr>
              <w:t xml:space="preserve">Contribution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Lab</w:t>
            </w:r>
          </w:p>
        </w:tc>
        <w:tc>
          <w:p>
            <w:pPr>
              <w:pStyle w:val="Compact"/>
              <w:jc w:val="left"/>
            </w:pPr>
            <w:r>
              <w:t xml:space="preserve">77</w:t>
            </w:r>
          </w:p>
        </w:tc>
        <w:tc>
          <w:p>
            <w:pPr>
              <w:pStyle w:val="Compact"/>
              <w:jc w:val="left"/>
            </w:pPr>
            <w:r>
              <w:t xml:space="preserve">Controlled dose–response: pressure chambers, shear flumes, blade-strike rigs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p>
            <w:pPr>
              <w:pStyle w:val="Compact"/>
              <w:jc w:val="left"/>
            </w:pPr>
            <w:r>
              <w:t xml:space="preserve">68</w:t>
            </w:r>
          </w:p>
        </w:tc>
        <w:tc>
          <w:p>
            <w:pPr>
              <w:pStyle w:val="Compact"/>
              <w:jc w:val="left"/>
            </w:pPr>
            <w:r>
              <w:t xml:space="preserve">Real-structure survival, telemetry, Sensor Fish, ecological assessment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Numerical</w:t>
            </w:r>
          </w:p>
        </w:tc>
        <w:tc>
          <w:p>
            <w:pPr>
              <w:pStyle w:val="Compact"/>
              <w:jc w:val="left"/>
            </w:pPr>
            <w:r>
              <w:t xml:space="preserve">48</w:t>
            </w:r>
          </w:p>
        </w:tc>
        <w:tc>
          <w:p>
            <w:pPr>
              <w:pStyle w:val="Compact"/>
              <w:jc w:val="left"/>
            </w:pPr>
            <w:r>
              <w:t xml:space="preserve">CFD, blade-strike &amp; particle models, BioPA / bio-hill charts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Review</w:t>
            </w:r>
          </w:p>
        </w:tc>
        <w:tc>
          <w:p>
            <w:pPr>
              <w:pStyle w:val="Compact"/>
              <w:jc w:val="left"/>
            </w:pPr>
            <w:r>
              <w:t xml:space="preserve">49</w:t>
            </w:r>
          </w:p>
        </w:tc>
        <w:tc>
          <w:p>
            <w:pPr>
              <w:pStyle w:val="Compact"/>
              <w:jc w:val="left"/>
            </w:pPr>
            <w:r>
              <w:t xml:space="preserve">Syntheses, overviews, meta-analyses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Guidelines</w:t>
            </w:r>
          </w:p>
        </w:tc>
        <w:tc>
          <w:p>
            <w:pPr>
              <w:pStyle w:val="Compact"/>
              <w:jc w:val="left"/>
            </w:pPr>
            <w:r>
              <w:t xml:space="preserve">13</w:t>
            </w:r>
          </w:p>
        </w:tc>
        <w:tc>
          <w:p>
            <w:pPr>
              <w:pStyle w:val="Compact"/>
              <w:jc w:val="left"/>
            </w:pPr>
            <w:r>
              <w:t xml:space="preserve">Standards &amp; criteria (NEN 8775, German/Austrian/Dutch/Canadian guidance)</w:t>
            </w:r>
          </w:p>
        </w:tc>
      </w:tr>
    </w:tbl>
    <w:p>
      <w:pPr>
        <w:pStyle w:val="BodyText"/>
      </w:pPr>
      <w:r>
        <w:t xml:space="preserve">Mechanism coverage is dominated by barotrauma and shear, with blade</w:t>
      </w:r>
      <w:r>
        <w:t xml:space="preserve"> </w:t>
      </w:r>
      <w:r>
        <w:t xml:space="preserve">strike close behind (counts exceed 255 because most studies address</w:t>
      </w:r>
      <w:r>
        <w:t xml:space="preserve"> </w:t>
      </w:r>
      <w:r>
        <w:t xml:space="preserve">several mechanisms): barotrauma/pressure 87; shear 72; blade strike 52;</w:t>
      </w:r>
      <w:r>
        <w:t xml:space="preserve"> </w:t>
      </w:r>
      <w:r>
        <w:t xml:space="preserve">turbulence 43; entrainment/impingement 36; cavitation 29; gas</w:t>
      </w:r>
      <w:r>
        <w:t xml:space="preserve"> </w:t>
      </w:r>
      <w:r>
        <w:t xml:space="preserve">supersaturation 15; grinding 11.</w:t>
      </w:r>
    </w:p>
    <w:p>
      <w:pPr>
        <w:pStyle w:val="BodyText"/>
      </w:pPr>
      <w:r>
        <w:t xml:space="preserve">How big is the problem? The best single estimate is from a global</w:t>
      </w:r>
      <w:r>
        <w:t xml:space="preserve"> </w:t>
      </w:r>
      <w:r>
        <w:t xml:space="preserve">meta-analysis of &gt;275,000 fish across 75 species (Radinger &amp; van Treeck</w:t>
      </w:r>
      <w:r>
        <w:t xml:space="preserve"> </w:t>
      </w:r>
      <w:r>
        <w:t xml:space="preserve">2021): average hydropower-turbine fish mortality of 22.3% (95% CI</w:t>
      </w:r>
      <w:r>
        <w:t xml:space="preserve"> </w:t>
      </w:r>
      <w:r>
        <w:t xml:space="preserve">17.5–26.7%) after correcting for handling/catch effects — but with</w:t>
      </w:r>
      <w:r>
        <w:t xml:space="preserve"> </w:t>
      </w:r>
      <w:r>
        <w:t xml:space="preserve">large variation among turbine types, methods and taxa. Older syntheses</w:t>
      </w:r>
      <w:r>
        <w:t xml:space="preserve"> </w:t>
      </w:r>
      <w:r>
        <w:t xml:space="preserve">put direct turbine kill at roughly 3–30% depending on fish length and</w:t>
      </w:r>
      <w:r>
        <w:t xml:space="preserve"> </w:t>
      </w:r>
      <w:r>
        <w:t xml:space="preserve">turbine design (Amaral &amp; Hecker 2011).</w:t>
      </w:r>
    </w:p>
    <w:p>
      <w:pPr>
        <w:pStyle w:val="Heading1"/>
      </w:pPr>
      <w:bookmarkStart w:id="21" w:name="injury-mechanisms"/>
      <w:r>
        <w:t xml:space="preserve">2. Injury mechanisms</w:t>
      </w:r>
      <w:bookmarkEnd w:id="21"/>
    </w:p>
    <w:p>
      <w:pPr>
        <w:pStyle w:val="Heading2"/>
      </w:pPr>
      <w:bookmarkStart w:id="22" w:name="X1b694cbe5928063b61e10bbb13166de33aad2d2"/>
      <w:r>
        <w:t xml:space="preserve">2.1 Barotrauma (rapid decompression) — verified landmarks</w:t>
      </w:r>
      <w:bookmarkEnd w:id="22"/>
    </w:p>
    <w:p>
      <w:pPr>
        <w:pStyle w:val="FirstParagraph"/>
      </w:pPr>
      <w:r>
        <w:t xml:space="preserve">Barotrauma is the most intensively studied mechanism. The rapid pressure</w:t>
      </w:r>
      <w:r>
        <w:t xml:space="preserve"> </w:t>
      </w:r>
      <w:r>
        <w:t xml:space="preserve">drop near the runner (the</w:t>
      </w:r>
      <w:r>
        <w:t xml:space="preserve"> </w:t>
      </w:r>
      <w:r>
        <w:t xml:space="preserve">‘</w:t>
      </w:r>
      <w:r>
        <w:t xml:space="preserve">nadir</w:t>
      </w:r>
      <w:r>
        <w:t xml:space="preserve">’</w:t>
      </w:r>
      <w:r>
        <w:t xml:space="preserve">) over-expands swim-bladder gas,</w:t>
      </w:r>
      <w:r>
        <w:t xml:space="preserve"> </w:t>
      </w:r>
      <w:r>
        <w:t xml:space="preserve">causing emboli, swim-bladder rupture, exophthalmia and internal</w:t>
      </w:r>
      <w:r>
        <w:t xml:space="preserve"> </w:t>
      </w:r>
      <w:r>
        <w:t xml:space="preserve">haemorrhage. Susceptibility depends on the change relative to</w:t>
      </w:r>
      <w:r>
        <w:t xml:space="preserve"> </w:t>
      </w:r>
      <w:r>
        <w:t xml:space="preserve">acclimation, captured by the Ratio of Pressure Change (RPC = acclimation</w:t>
      </w:r>
      <w:r>
        <w:t xml:space="preserve"> </w:t>
      </w:r>
      <w:r>
        <w:t xml:space="preserve">pressure ÷ nadir) and its log form (LRP). The PNNL programme (Brown,</w:t>
      </w:r>
      <w:r>
        <w:t xml:space="preserve"> </w:t>
      </w:r>
      <w:r>
        <w:t xml:space="preserve">Carlson, Pflugrath, Stephenson, Colotelo) established</w:t>
      </w:r>
      <w:r>
        <w:t xml:space="preserve"> </w:t>
      </w:r>
      <w:r>
        <w:t xml:space="preserve">‘</w:t>
      </w:r>
      <w:r>
        <w:t xml:space="preserve">simulated turbine</w:t>
      </w:r>
      <w:r>
        <w:t xml:space="preserve"> </w:t>
      </w:r>
      <w:r>
        <w:t xml:space="preserve">passage</w:t>
      </w:r>
      <w:r>
        <w:t xml:space="preserve">’</w:t>
      </w:r>
      <w:r>
        <w:t xml:space="preserve"> </w:t>
      </w:r>
      <w:r>
        <w:t xml:space="preserve">in hyper/hypobaric chambers; Brown et al. (2012) showed injury</w:t>
      </w:r>
      <w:r>
        <w:t xml:space="preserve"> </w:t>
      </w:r>
      <w:r>
        <w:t xml:space="preserve">is driven mainly by Boyle’s-law gas expansion rather than Henry’s-law</w:t>
      </w:r>
      <w:r>
        <w:t xml:space="preserve"> </w:t>
      </w:r>
      <w:r>
        <w:t xml:space="preserve">gas exsolution, and McKinstry et al. (2007) replaced raw mortality with</w:t>
      </w:r>
      <w:r>
        <w:t xml:space="preserve"> </w:t>
      </w:r>
      <w:r>
        <w:t xml:space="preserve">a</w:t>
      </w:r>
      <w:r>
        <w:t xml:space="preserve"> </w:t>
      </w:r>
      <w:r>
        <w:t xml:space="preserve">‘</w:t>
      </w:r>
      <w:r>
        <w:t xml:space="preserve">mortal injury</w:t>
      </w:r>
      <w:r>
        <w:t xml:space="preserve">’</w:t>
      </w:r>
      <w:r>
        <w:t xml:space="preserve"> </w:t>
      </w:r>
      <w:r>
        <w:t xml:space="preserve">endpoint.</w:t>
      </w:r>
    </w:p>
    <w:tbl>
      <w:tblPr>
        <w:tblStyle w:val="Table"/>
        <w:tblW w:type="pct" w:w="5000.0"/>
        <w:tblLook w:firstRow="1"/>
      </w:tblPr>
      <w:tblGrid>
        <w:gridCol w:w="2112"/>
        <w:gridCol w:w="4699"/>
        <w:gridCol w:w="1108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rPr>
                <w:b/>
              </w:rPr>
              <w:t xml:space="preserve">Metric / question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rPr>
                <w:b/>
              </w:rPr>
              <w:t xml:space="preserve">Verified value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rPr>
                <w:b/>
              </w:rPr>
              <w:t xml:space="preserve">Source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Acclimation depth ceiling (juv. Chinook)</w:t>
            </w:r>
          </w:p>
        </w:tc>
        <w:tc>
          <w:p>
            <w:pPr>
              <w:pStyle w:val="Compact"/>
              <w:jc w:val="left"/>
            </w:pPr>
            <w:r>
              <w:t xml:space="preserve">Neutral buoyancy only to ~4.6–11.6 m; deeper = higher risk</w:t>
            </w:r>
          </w:p>
        </w:tc>
        <w:tc>
          <w:p>
            <w:pPr>
              <w:pStyle w:val="Compact"/>
              <w:jc w:val="left"/>
            </w:pPr>
            <w:r>
              <w:t xml:space="preserve">Pflugrath 2012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Precautionary pressure threshold</w:t>
            </w:r>
          </w:p>
        </w:tc>
        <w:tc>
          <w:p>
            <w:pPr>
              <w:pStyle w:val="Compact"/>
              <w:jc w:val="left"/>
            </w:pPr>
            <w:r>
              <w:t xml:space="preserve">Keep exposure pressure ≥ ~70% of acclimation pressure (Murray cod, silver perch)</w:t>
            </w:r>
          </w:p>
        </w:tc>
        <w:tc>
          <w:p>
            <w:pPr>
              <w:pStyle w:val="Compact"/>
              <w:jc w:val="left"/>
            </w:pPr>
            <w:r>
              <w:t xml:space="preserve">Boys 2016 (piecewise)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Eggs &amp; larvae</w:t>
            </w:r>
          </w:p>
        </w:tc>
        <w:tc>
          <w:p>
            <w:pPr>
              <w:pStyle w:val="Compact"/>
              <w:jc w:val="left"/>
            </w:pPr>
            <w:r>
              <w:t xml:space="preserve">Highly vulnerable; injuries near 100% at low pressure; keep ≥ ~40% surface pressure</w:t>
            </w:r>
          </w:p>
        </w:tc>
        <w:tc>
          <w:p>
            <w:pPr>
              <w:pStyle w:val="Compact"/>
              <w:jc w:val="left"/>
            </w:pPr>
            <w:r>
              <w:t xml:space="preserve">Boys 2016 (How low)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RPC dose–response (Neotropical)</w:t>
            </w:r>
          </w:p>
        </w:tc>
        <w:tc>
          <w:p>
            <w:pPr>
              <w:pStyle w:val="Compact"/>
              <w:jc w:val="left"/>
            </w:pPr>
            <w:r>
              <w:t xml:space="preserve">50% swim-bladder rupture at RPC ≈ 1.75 (pacu) – 2.2 (piracanjuba)</w:t>
            </w:r>
          </w:p>
        </w:tc>
        <w:tc>
          <w:p>
            <w:pPr>
              <w:pStyle w:val="Compact"/>
              <w:jc w:val="left"/>
            </w:pPr>
            <w:r>
              <w:t xml:space="preserve">Kerr 2023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Lamprey tolerance</w:t>
            </w:r>
          </w:p>
        </w:tc>
        <w:tc>
          <w:p>
            <w:pPr>
              <w:pStyle w:val="Compact"/>
              <w:jc w:val="left"/>
            </w:pPr>
            <w:r>
              <w:t xml:space="preserve">No injury at 146.2→13.8 kPa, where ~97.5% of juv. Chinook would be injured/killed</w:t>
            </w:r>
          </w:p>
        </w:tc>
        <w:tc>
          <w:p>
            <w:pPr>
              <w:pStyle w:val="Compact"/>
              <w:jc w:val="left"/>
            </w:pPr>
            <w:r>
              <w:t xml:space="preserve">Colotelo 2012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American eel tolerance</w:t>
            </w:r>
          </w:p>
        </w:tc>
        <w:tc>
          <w:p>
            <w:pPr>
              <w:pStyle w:val="Compact"/>
              <w:jc w:val="left"/>
            </w:pPr>
            <w:r>
              <w:t xml:space="preserve">Resilient at 172 kPa acclimation; barotrauma not a major concern</w:t>
            </w:r>
          </w:p>
        </w:tc>
        <w:tc>
          <w:p>
            <w:pPr>
              <w:pStyle w:val="Compact"/>
              <w:jc w:val="left"/>
            </w:pPr>
            <w:r>
              <w:t xml:space="preserve">Pflugrath 2019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Tag effect</w:t>
            </w:r>
          </w:p>
        </w:tc>
        <w:tc>
          <w:p>
            <w:pPr>
              <w:pStyle w:val="Compact"/>
              <w:jc w:val="left"/>
            </w:pPr>
            <w:r>
              <w:t xml:space="preserve">Tag presence + LRP are the strongest predictors of mortal injury (tags inflate mortality)</w:t>
            </w:r>
          </w:p>
        </w:tc>
        <w:tc>
          <w:p>
            <w:pPr>
              <w:pStyle w:val="Compact"/>
              <w:jc w:val="left"/>
            </w:pPr>
            <w:r>
              <w:t xml:space="preserve">Carlson 2012</w:t>
            </w:r>
          </w:p>
        </w:tc>
      </w:tr>
    </w:tbl>
    <w:p>
      <w:pPr>
        <w:pStyle w:val="BodyText"/>
      </w:pPr>
      <w:r>
        <w:t xml:space="preserve">Two important nuances. First, the field’s workhorse assumption — that</w:t>
      </w:r>
      <w:r>
        <w:t xml:space="preserve"> </w:t>
      </w:r>
      <w:r>
        <w:t xml:space="preserve">barotrauma follows the static Boyle’s law — has been directly</w:t>
      </w:r>
      <w:r>
        <w:t xml:space="preserve"> </w:t>
      </w:r>
      <w:r>
        <w:t xml:space="preserve">challenged: Kerr et al. (2023) show a dynamic (Modified</w:t>
      </w:r>
      <w:r>
        <w:t xml:space="preserve"> </w:t>
      </w:r>
      <w:r>
        <w:t xml:space="preserve">Rayleigh–Plesset) model diverges from Boyle’s law near zero nadir</w:t>
      </w:r>
      <w:r>
        <w:t xml:space="preserve"> </w:t>
      </w:r>
      <w:r>
        <w:t xml:space="preserve">pressure and under liquid tension, implying static chamber thresholds</w:t>
      </w:r>
      <w:r>
        <w:t xml:space="preserve"> </w:t>
      </w:r>
      <w:r>
        <w:t xml:space="preserve">can mis-state real risk. Second, the common shorthand that</w:t>
      </w:r>
      <w:r>
        <w:t xml:space="preserve"> </w:t>
      </w:r>
      <w:r>
        <w:t xml:space="preserve">‘</w:t>
      </w:r>
      <w:r>
        <w:t xml:space="preserve">physostomes</w:t>
      </w:r>
      <w:r>
        <w:t xml:space="preserve"> </w:t>
      </w:r>
      <w:r>
        <w:t xml:space="preserve">(open swim bladder) are more tolerant</w:t>
      </w:r>
      <w:r>
        <w:t xml:space="preserve">’</w:t>
      </w:r>
      <w:r>
        <w:t xml:space="preserve"> </w:t>
      </w:r>
      <w:r>
        <w:t xml:space="preserve">holds for eel and lamprey but is</w:t>
      </w:r>
      <w:r>
        <w:t xml:space="preserve"> </w:t>
      </w:r>
      <w:r>
        <w:t xml:space="preserve">not universal: Zitek et al. (2026) found physostomous cypriniform larvae</w:t>
      </w:r>
      <w:r>
        <w:t xml:space="preserve"> </w:t>
      </w:r>
      <w:r>
        <w:t xml:space="preserve">and juveniles among the most barotrauma-sensitive groups tested, and</w:t>
      </w:r>
      <w:r>
        <w:t xml:space="preserve"> </w:t>
      </w:r>
      <w:r>
        <w:t xml:space="preserve">observed lower mortality under partial-load operation. Susceptibility is</w:t>
      </w:r>
      <w:r>
        <w:t xml:space="preserve"> </w:t>
      </w:r>
      <w:r>
        <w:t xml:space="preserve">therefore species- AND life-stage-specific, not reducible to bladder</w:t>
      </w:r>
      <w:r>
        <w:t xml:space="preserve"> </w:t>
      </w:r>
      <w:r>
        <w:t xml:space="preserve">type alone.</w:t>
      </w:r>
    </w:p>
    <w:p>
      <w:pPr>
        <w:pStyle w:val="Heading2"/>
      </w:pPr>
      <w:bookmarkStart w:id="23" w:name="fluid-shear-verified-landmarks"/>
      <w:r>
        <w:t xml:space="preserve">2.2 Fluid shear — verified landmarks</w:t>
      </w:r>
      <w:bookmarkEnd w:id="23"/>
    </w:p>
    <w:p>
      <w:pPr>
        <w:pStyle w:val="FirstParagraph"/>
      </w:pPr>
      <w:r>
        <w:t xml:space="preserve">Shear injury arises where steep velocity gradients (shear layers, jets,</w:t>
      </w:r>
      <w:r>
        <w:t xml:space="preserve"> </w:t>
      </w:r>
      <w:r>
        <w:t xml:space="preserve">draft tubes, spillway plunge) tear at body surface, eyes, opercula and</w:t>
      </w:r>
      <w:r>
        <w:t xml:space="preserve"> </w:t>
      </w:r>
      <w:r>
        <w:t xml:space="preserve">gills. The exposure metric is the strain rate (s⁻¹), operationalised in</w:t>
      </w:r>
      <w:r>
        <w:t xml:space="preserve"> </w:t>
      </w:r>
      <w:r>
        <w:t xml:space="preserve">the PNNL submerged-jet apparatus (Neitzel 2000). Injury severity rises</w:t>
      </w:r>
      <w:r>
        <w:t xml:space="preserve"> </w:t>
      </w:r>
      <w:r>
        <w:t xml:space="preserve">with jet velocity / strain rate and with fish size and orientation; eye</w:t>
      </w:r>
      <w:r>
        <w:t xml:space="preserve"> </w:t>
      </w:r>
      <w:r>
        <w:t xml:space="preserve">and operculum injuries appear first, and acceleration predicts injury</w:t>
      </w:r>
      <w:r>
        <w:t xml:space="preserve"> </w:t>
      </w:r>
      <w:r>
        <w:t xml:space="preserve">better than velocity alone.</w:t>
      </w:r>
    </w:p>
    <w:tbl>
      <w:tblPr>
        <w:tblStyle w:val="Table"/>
        <w:tblW w:type="pct" w:w="5000.0"/>
        <w:tblLook w:firstRow="1"/>
      </w:tblPr>
      <w:tblGrid>
        <w:gridCol w:w="2455"/>
        <w:gridCol w:w="4604"/>
        <w:gridCol w:w="859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rPr>
                <w:b/>
              </w:rPr>
              <w:t xml:space="preserve">Finding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rPr>
                <w:b/>
              </w:rPr>
              <w:t xml:space="preserve">Verified value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rPr>
                <w:b/>
              </w:rPr>
              <w:t xml:space="preserve">Source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Injury onset (juv. Chinook, 93–128 mm)</w:t>
            </w:r>
          </w:p>
        </w:tc>
        <w:tc>
          <w:p>
            <w:pPr>
              <w:pStyle w:val="Compact"/>
              <w:jc w:val="left"/>
            </w:pPr>
            <w:r>
              <w:t xml:space="preserve">Opercle injury ~12.2 m/s; eye injury/equilibrium loss ≥16.8 m/s jet</w:t>
            </w:r>
          </w:p>
        </w:tc>
        <w:tc>
          <w:p>
            <w:pPr>
              <w:pStyle w:val="Compact"/>
              <w:jc w:val="left"/>
            </w:pPr>
            <w:r>
              <w:t xml:space="preserve">Deng 2005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Minor/major injury onset (submerged jet)</w:t>
            </w:r>
          </w:p>
        </w:tc>
        <w:tc>
          <w:p>
            <w:pPr>
              <w:pStyle w:val="Compact"/>
              <w:jc w:val="left"/>
            </w:pPr>
            <w:r>
              <w:t xml:space="preserve">Minor ~15.2 m/s; major ~21.3 m/s</w:t>
            </w:r>
          </w:p>
        </w:tc>
        <w:tc>
          <w:p>
            <w:pPr>
              <w:pStyle w:val="Compact"/>
              <w:jc w:val="left"/>
            </w:pPr>
            <w:r>
              <w:t xml:space="preserve">Deng 2010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Mekong species</w:t>
            </w:r>
          </w:p>
        </w:tc>
        <w:tc>
          <w:p>
            <w:pPr>
              <w:pStyle w:val="Compact"/>
              <w:jc w:val="left"/>
            </w:pPr>
            <w:r>
              <w:t xml:space="preserve">Injury rose with strain rate to ~1185 s⁻¹; gourami &gt; shark susceptibility</w:t>
            </w:r>
          </w:p>
        </w:tc>
        <w:tc>
          <w:p>
            <w:pPr>
              <w:pStyle w:val="Compact"/>
              <w:jc w:val="left"/>
            </w:pPr>
            <w:r>
              <w:t xml:space="preserve">Colotelo 2018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American eel</w:t>
            </w:r>
          </w:p>
        </w:tc>
        <w:tc>
          <w:p>
            <w:pPr>
              <w:pStyle w:val="Compact"/>
              <w:jc w:val="left"/>
            </w:pPr>
            <w:r>
              <w:t xml:space="preserve">No injury at strain rate &gt;800 s⁻¹ (immediate or 48 h) — shear-resistant</w:t>
            </w:r>
          </w:p>
        </w:tc>
        <w:tc>
          <w:p>
            <w:pPr>
              <w:pStyle w:val="Compact"/>
              <w:jc w:val="left"/>
            </w:pPr>
            <w:r>
              <w:t xml:space="preserve">Pflugrath 2021</w:t>
            </w:r>
          </w:p>
        </w:tc>
      </w:tr>
    </w:tbl>
    <w:p>
      <w:pPr>
        <w:pStyle w:val="BodyText"/>
      </w:pPr>
      <w:r>
        <w:t xml:space="preserve">Comparison trap: strain rate (s⁻¹) is not shear stress (Pa); the two are</w:t>
      </w:r>
      <w:r>
        <w:t xml:space="preserve"> </w:t>
      </w:r>
      <w:r>
        <w:t xml:space="preserve">frequently conflated in secondary literature.</w:t>
      </w:r>
    </w:p>
    <w:p>
      <w:pPr>
        <w:pStyle w:val="Heading2"/>
      </w:pPr>
      <w:bookmarkStart w:id="24" w:name="blade-strike-verified-landmarks"/>
      <w:r>
        <w:t xml:space="preserve">2.3 Blade strike — verified landmarks</w:t>
      </w:r>
      <w:bookmarkEnd w:id="24"/>
    </w:p>
    <w:p>
      <w:pPr>
        <w:pStyle w:val="FirstParagraph"/>
      </w:pPr>
      <w:r>
        <w:t xml:space="preserve">Blade strike is direct mechanical impact by a runner blade. Mortality</w:t>
      </w:r>
      <w:r>
        <w:t xml:space="preserve"> </w:t>
      </w:r>
      <w:r>
        <w:t xml:space="preserve">rises with strike velocity, fish length, thinner blades, and strike</w:t>
      </w:r>
      <w:r>
        <w:t xml:space="preserve"> </w:t>
      </w:r>
      <w:r>
        <w:t xml:space="preserve">location/orientation; engineering responses (blunt, slanted leading</w:t>
      </w:r>
      <w:r>
        <w:t xml:space="preserve"> </w:t>
      </w:r>
      <w:r>
        <w:t xml:space="preserve">edges) reduce it.</w:t>
      </w:r>
    </w:p>
    <w:tbl>
      <w:tblPr>
        <w:tblStyle w:val="Table"/>
        <w:tblW w:type="pct" w:w="5000.0"/>
        <w:tblLook w:firstRow="1"/>
      </w:tblPr>
      <w:tblGrid>
        <w:gridCol w:w="2314"/>
        <w:gridCol w:w="4782"/>
        <w:gridCol w:w="822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rPr>
                <w:b/>
              </w:rPr>
              <w:t xml:space="preserve">Finding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rPr>
                <w:b/>
              </w:rPr>
              <w:t xml:space="preserve">Verified value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rPr>
                <w:b/>
              </w:rPr>
              <w:t xml:space="preserve">Source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Strike severity drivers</w:t>
            </w:r>
          </w:p>
        </w:tc>
        <w:tc>
          <w:p>
            <w:pPr>
              <w:pStyle w:val="Compact"/>
              <w:jc w:val="left"/>
            </w:pPr>
            <w:r>
              <w:t xml:space="preserve">Midbody &gt; head &gt; tail; lateral &gt; dorsal/ventral; thinner blades &amp; higher velocity worse</w:t>
            </w:r>
          </w:p>
        </w:tc>
        <w:tc>
          <w:p>
            <w:pPr>
              <w:pStyle w:val="Compact"/>
              <w:jc w:val="left"/>
            </w:pPr>
            <w:r>
              <w:t xml:space="preserve">Bevelheimer 2019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Leading-edge geometry (rainbow trout, 10 m/s)</w:t>
            </w:r>
          </w:p>
        </w:tc>
        <w:tc>
          <w:p>
            <w:pPr>
              <w:pStyle w:val="Compact"/>
              <w:jc w:val="left"/>
            </w:pPr>
            <w:r>
              <w:t xml:space="preserve">98% survival at 30° slant vs 26.8% at 90° (L/t=2); 200-mm fish 68% vs 7.9% by strike location</w:t>
            </w:r>
          </w:p>
        </w:tc>
        <w:tc>
          <w:p>
            <w:pPr>
              <w:pStyle w:val="Compact"/>
              <w:jc w:val="left"/>
            </w:pPr>
            <w:r>
              <w:t xml:space="preserve">Amaral 2020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Body shape</w:t>
            </w:r>
          </w:p>
        </w:tc>
        <w:tc>
          <w:p>
            <w:pPr>
              <w:pStyle w:val="Compact"/>
              <w:jc w:val="left"/>
            </w:pPr>
            <w:r>
              <w:t xml:space="preserve">Anguilliform eel resists strike; laterally-compressed bluegill highly susceptible</w:t>
            </w:r>
          </w:p>
        </w:tc>
        <w:tc>
          <w:p>
            <w:pPr>
              <w:pStyle w:val="Compact"/>
              <w:jc w:val="left"/>
            </w:pPr>
            <w:r>
              <w:t xml:space="preserve">Saylor 2019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Surrogacy</w:t>
            </w:r>
          </w:p>
        </w:tc>
        <w:tc>
          <w:p>
            <w:pPr>
              <w:pStyle w:val="Compact"/>
              <w:jc w:val="left"/>
            </w:pPr>
            <w:r>
              <w:t xml:space="preserve">Salmonid surrogacy for untested species is unreliable; size &amp; morphology matter</w:t>
            </w:r>
          </w:p>
        </w:tc>
        <w:tc>
          <w:p>
            <w:pPr>
              <w:pStyle w:val="Compact"/>
              <w:jc w:val="left"/>
            </w:pPr>
            <w:r>
              <w:t xml:space="preserve">Saylor 2020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Novel runner (white sturgeon)</w:t>
            </w:r>
          </w:p>
        </w:tc>
        <w:tc>
          <w:p>
            <w:pPr>
              <w:pStyle w:val="Compact"/>
              <w:jc w:val="left"/>
            </w:pPr>
            <w:r>
              <w:t xml:space="preserve">Higher survival through a thick, slanted fish-friendly runner vs conventional</w:t>
            </w:r>
          </w:p>
        </w:tc>
        <w:tc>
          <w:p>
            <w:pPr>
              <w:pStyle w:val="Compact"/>
              <w:jc w:val="left"/>
            </w:pPr>
            <w:r>
              <w:t xml:space="preserve">Zillig 2025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Overall</w:t>
            </w:r>
          </w:p>
        </w:tc>
        <w:tc>
          <w:p>
            <w:pPr>
              <w:pStyle w:val="Compact"/>
              <w:jc w:val="left"/>
            </w:pPr>
            <w:r>
              <w:t xml:space="preserve">Blade strike often the primary kill mechanism (3–30%); blunter/slower = safer</w:t>
            </w:r>
          </w:p>
        </w:tc>
        <w:tc>
          <w:p>
            <w:pPr>
              <w:pStyle w:val="Compact"/>
              <w:jc w:val="left"/>
            </w:pPr>
            <w:r>
              <w:t xml:space="preserve">Amaral 2011</w:t>
            </w:r>
          </w:p>
        </w:tc>
      </w:tr>
    </w:tbl>
    <w:p>
      <w:pPr>
        <w:pStyle w:val="Heading2"/>
      </w:pPr>
      <w:bookmarkStart w:id="25" w:name="X92430d6e5232c9aca5b58a1e322ed7ccc1a99f3"/>
      <w:r>
        <w:t xml:space="preserve">2.4 Turbulence, cavitation, grinding, gas supersaturation</w:t>
      </w:r>
      <w:bookmarkEnd w:id="25"/>
    </w:p>
    <w:p>
      <w:pPr>
        <w:numPr>
          <w:ilvl w:val="0"/>
          <w:numId w:val="1001"/>
        </w:numPr>
      </w:pPr>
      <w:r>
        <w:t xml:space="preserve">Turbulence — disorients fish and increases strike/shear exposure;</w:t>
      </w:r>
      <w:r>
        <w:t xml:space="preserve"> </w:t>
      </w:r>
      <w:r>
        <w:t xml:space="preserve">usually studied with shear/behaviour (Cada; Odeh).</w:t>
      </w:r>
    </w:p>
    <w:p>
      <w:pPr>
        <w:numPr>
          <w:ilvl w:val="0"/>
          <w:numId w:val="1001"/>
        </w:numPr>
      </w:pPr>
      <w:r>
        <w:t xml:space="preserve">Cavitation — vapour-bubble collapse; in this corpus mostly</w:t>
      </w:r>
      <w:r>
        <w:t xml:space="preserve"> </w:t>
      </w:r>
      <w:r>
        <w:t xml:space="preserve">turbine-engineering (Avellan; Escaler) rather than direct fish</w:t>
      </w:r>
      <w:r>
        <w:t xml:space="preserve"> </w:t>
      </w:r>
      <w:r>
        <w:t xml:space="preserve">injury.</w:t>
      </w:r>
    </w:p>
    <w:p>
      <w:pPr>
        <w:numPr>
          <w:ilvl w:val="0"/>
          <w:numId w:val="1001"/>
        </w:numPr>
      </w:pPr>
      <w:r>
        <w:t xml:space="preserve">Grinding / abrasion / pinch — fish crushed in narrow gaps</w:t>
      </w:r>
      <w:r>
        <w:t xml:space="preserve"> </w:t>
      </w:r>
      <w:r>
        <w:t xml:space="preserve">(runner–hub, screw–trough); for American eel, the likely dominant</w:t>
      </w:r>
      <w:r>
        <w:t xml:space="preserve"> </w:t>
      </w:r>
      <w:r>
        <w:t xml:space="preserve">injury route alongside strike (Pflugrath 2021).</w:t>
      </w:r>
    </w:p>
    <w:p>
      <w:pPr>
        <w:numPr>
          <w:ilvl w:val="0"/>
          <w:numId w:val="1001"/>
        </w:numPr>
      </w:pPr>
      <w:r>
        <w:t xml:space="preserve">Gas supersaturation / GBT — total dissolved gas from spillway</w:t>
      </w:r>
      <w:r>
        <w:t xml:space="preserve"> </w:t>
      </w:r>
      <w:r>
        <w:t xml:space="preserve">plunge; distinct from barotrauma; depth modulates the effect</w:t>
      </w:r>
      <w:r>
        <w:t xml:space="preserve"> </w:t>
      </w:r>
      <w:r>
        <w:t xml:space="preserve">(Morris; Watson).</w:t>
      </w:r>
    </w:p>
    <w:p>
      <w:pPr>
        <w:pStyle w:val="Heading1"/>
      </w:pPr>
      <w:bookmarkStart w:id="26" w:name="cross-cutting-findings"/>
      <w:r>
        <w:t xml:space="preserve">3. Cross-cutting findings</w:t>
      </w:r>
      <w:bookmarkEnd w:id="26"/>
    </w:p>
    <w:p>
      <w:pPr>
        <w:pStyle w:val="Heading2"/>
      </w:pPr>
      <w:bookmarkStart w:id="27" w:name="species-life-stage-sensitivity"/>
      <w:r>
        <w:t xml:space="preserve">3.1 Species &amp; life-stage sensitivity</w:t>
      </w:r>
      <w:bookmarkEnd w:id="27"/>
    </w:p>
    <w:p>
      <w:pPr>
        <w:pStyle w:val="FirstParagraph"/>
      </w:pPr>
      <w:r>
        <w:t xml:space="preserve">The evidence base is salmonid-centric: juvenile Chinook and rainbow</w:t>
      </w:r>
      <w:r>
        <w:t xml:space="preserve"> </w:t>
      </w:r>
      <w:r>
        <w:t xml:space="preserve">trout/steelhead dominate (Chinook 57 studies, rainbow 34), with Atlantic</w:t>
      </w:r>
      <w:r>
        <w:t xml:space="preserve"> </w:t>
      </w:r>
      <w:r>
        <w:t xml:space="preserve">salmon, American shad and European/American eel well represented.</w:t>
      </w:r>
      <w:r>
        <w:t xml:space="preserve"> </w:t>
      </w:r>
      <w:r>
        <w:t xml:space="preserve">Tolerance ordering is mechanism-specific: eel and lamprey are highly</w:t>
      </w:r>
      <w:r>
        <w:t xml:space="preserve"> </w:t>
      </w:r>
      <w:r>
        <w:t xml:space="preserve">barotrauma- and (for eel) shear-tolerant (Colotelo 2012; Pflugrath 2019,</w:t>
      </w:r>
      <w:r>
        <w:t xml:space="preserve"> </w:t>
      </w:r>
      <w:r>
        <w:t xml:space="preserve">2021), yet eel remain vulnerable to blade strike and grinding. The</w:t>
      </w:r>
      <w:r>
        <w:t xml:space="preserve"> </w:t>
      </w:r>
      <w:r>
        <w:t xml:space="preserve">blanket</w:t>
      </w:r>
      <w:r>
        <w:t xml:space="preserve"> </w:t>
      </w:r>
      <w:r>
        <w:t xml:space="preserve">‘</w:t>
      </w:r>
      <w:r>
        <w:t xml:space="preserve">physostomes are tolerant</w:t>
      </w:r>
      <w:r>
        <w:t xml:space="preserve">’</w:t>
      </w:r>
      <w:r>
        <w:t xml:space="preserve"> </w:t>
      </w:r>
      <w:r>
        <w:t xml:space="preserve">rule fails for cypriniform</w:t>
      </w:r>
      <w:r>
        <w:t xml:space="preserve"> </w:t>
      </w:r>
      <w:r>
        <w:t xml:space="preserve">larvae/juveniles, which Zitek (2026) found highly sensitive. Juveniles</w:t>
      </w:r>
      <w:r>
        <w:t xml:space="preserve"> </w:t>
      </w:r>
      <w:r>
        <w:t xml:space="preserve">are by far the most-tested stage (74 studies); eggs and larvae (Boys</w:t>
      </w:r>
      <w:r>
        <w:t xml:space="preserve"> </w:t>
      </w:r>
      <w:r>
        <w:t xml:space="preserve">2016) are under-studied despite high vulnerability.</w:t>
      </w:r>
    </w:p>
    <w:p>
      <w:pPr>
        <w:pStyle w:val="Heading2"/>
      </w:pPr>
      <w:bookmarkStart w:id="28" w:name="fish-size"/>
      <w:r>
        <w:t xml:space="preserve">3.2 Fish size</w:t>
      </w:r>
      <w:bookmarkEnd w:id="28"/>
    </w:p>
    <w:p>
      <w:pPr>
        <w:pStyle w:val="FirstParagraph"/>
      </w:pPr>
      <w:r>
        <w:t xml:space="preserve">Larger fish face higher blade-strike probability and mortality (length</w:t>
      </w:r>
      <w:r>
        <w:t xml:space="preserve"> </w:t>
      </w:r>
      <w:r>
        <w:t xml:space="preserve">relative to blade spacing; Amaral 2020, Bevelheimer 2019), while</w:t>
      </w:r>
      <w:r>
        <w:t xml:space="preserve"> </w:t>
      </w:r>
      <w:r>
        <w:t xml:space="preserve">barotrauma scales with swim-bladder physiology and acclimation rather</w:t>
      </w:r>
      <w:r>
        <w:t xml:space="preserve"> </w:t>
      </w:r>
      <w:r>
        <w:t xml:space="preserve">than length. Interpret size mechanism-by-mechanism, not as a single</w:t>
      </w:r>
      <w:r>
        <w:t xml:space="preserve"> </w:t>
      </w:r>
      <w:r>
        <w:t xml:space="preserve">vulnerability axis.</w:t>
      </w:r>
    </w:p>
    <w:p>
      <w:pPr>
        <w:pStyle w:val="Heading2"/>
      </w:pPr>
      <w:bookmarkStart w:id="29" w:name="structure-turbine-type"/>
      <w:r>
        <w:t xml:space="preserve">3.3 Structure / turbine type</w:t>
      </w:r>
      <w:bookmarkEnd w:id="29"/>
    </w:p>
    <w:p>
      <w:pPr>
        <w:pStyle w:val="FirstParagraph"/>
      </w:pPr>
      <w:r>
        <w:t xml:space="preserve">Kaplan turbines are the most-studied structure (62 studies), then</w:t>
      </w:r>
      <w:r>
        <w:t xml:space="preserve"> </w:t>
      </w:r>
      <w:r>
        <w:t xml:space="preserve">spillways (44), Francis (40) and pumps (38). Field comparisons show</w:t>
      </w:r>
      <w:r>
        <w:t xml:space="preserve"> </w:t>
      </w:r>
      <w:r>
        <w:t xml:space="preserve">conventional Kaplan plants can be most harmful (up to ~83% mortality;</w:t>
      </w:r>
      <w:r>
        <w:t xml:space="preserve"> </w:t>
      </w:r>
      <w:r>
        <w:t xml:space="preserve">Mueller 2022), whereas Very Low Head turbines (Tuononen 2020: only 1.16%</w:t>
      </w:r>
      <w:r>
        <w:t xml:space="preserve"> </w:t>
      </w:r>
      <w:r>
        <w:t xml:space="preserve">of entrained fish killed) and purpose-built fish-friendly runners</w:t>
      </w:r>
      <w:r>
        <w:t xml:space="preserve"> </w:t>
      </w:r>
      <w:r>
        <w:t xml:space="preserve">(Zillig 2025; Watson) are markedly safer. Small, well-bypassed projects</w:t>
      </w:r>
      <w:r>
        <w:t xml:space="preserve"> </w:t>
      </w:r>
      <w:r>
        <w:t xml:space="preserve">can reach 77–97% total passage survival (Amaral 2018). Pumps/pumping</w:t>
      </w:r>
      <w:r>
        <w:t xml:space="preserve"> </w:t>
      </w:r>
      <w:r>
        <w:t xml:space="preserve">stations form a distinct sub-literature where strike and shear dominate</w:t>
      </w:r>
      <w:r>
        <w:t xml:space="preserve"> </w:t>
      </w:r>
      <w:r>
        <w:t xml:space="preserve">over barotrauma (van Esch; Pan; Bierschenk).</w:t>
      </w:r>
    </w:p>
    <w:p>
      <w:pPr>
        <w:pStyle w:val="Heading1"/>
      </w:pPr>
      <w:bookmarkStart w:id="30" w:name="methods-landscape"/>
      <w:r>
        <w:t xml:space="preserve">4. Methods landscape</w:t>
      </w:r>
      <w:bookmarkEnd w:id="30"/>
    </w:p>
    <w:tbl>
      <w:tblPr>
        <w:tblStyle w:val="Table"/>
        <w:tblW w:type="pct" w:w="5000.0"/>
        <w:tblLook w:firstRow="1"/>
      </w:tblPr>
      <w:tblGrid>
        <w:gridCol w:w="1990"/>
        <w:gridCol w:w="2423"/>
        <w:gridCol w:w="3505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rPr>
                <w:b/>
              </w:rPr>
              <w:t xml:space="preserve">Approach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rPr>
                <w:b/>
              </w:rPr>
              <w:t xml:space="preserve">Strength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rPr>
                <w:b/>
              </w:rPr>
              <w:t xml:space="preserve">Blind spot / assumption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Lab (chamber / flume / strike rig)</w:t>
            </w:r>
          </w:p>
        </w:tc>
        <w:tc>
          <w:p>
            <w:pPr>
              <w:pStyle w:val="Compact"/>
              <w:jc w:val="left"/>
            </w:pPr>
            <w:r>
              <w:t xml:space="preserve">Clean dose–response for one mechanism</w:t>
            </w:r>
          </w:p>
        </w:tc>
        <w:tc>
          <w:p>
            <w:pPr>
              <w:pStyle w:val="Compact"/>
              <w:jc w:val="left"/>
            </w:pPr>
            <w:r>
              <w:t xml:space="preserve">Single-mechanism; assumes acclimation/neutral buoyancy; apparatus ≈ real turbine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Field (mark–recapture, telemetry, Sensor Fish)</w:t>
            </w:r>
          </w:p>
        </w:tc>
        <w:tc>
          <w:p>
            <w:pPr>
              <w:pStyle w:val="Compact"/>
              <w:jc w:val="left"/>
            </w:pPr>
            <w:r>
              <w:t xml:space="preserve">Integrates all mechanisms at a real structure</w:t>
            </w:r>
          </w:p>
        </w:tc>
        <w:tc>
          <w:p>
            <w:pPr>
              <w:pStyle w:val="Compact"/>
              <w:jc w:val="left"/>
            </w:pPr>
            <w:r>
              <w:t xml:space="preserve">Tag/handling burden (Carlson 2012); immediate vs delayed; representativeness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Numerical (CFD, blade-strike, BioPA)</w:t>
            </w:r>
          </w:p>
        </w:tc>
        <w:tc>
          <w:p>
            <w:pPr>
              <w:pStyle w:val="Compact"/>
              <w:jc w:val="left"/>
            </w:pPr>
            <w:r>
              <w:t xml:space="preserve">Maps the full exposure field; compares designs pre-build</w:t>
            </w:r>
          </w:p>
        </w:tc>
        <w:tc>
          <w:p>
            <w:pPr>
              <w:pStyle w:val="Compact"/>
              <w:jc w:val="left"/>
            </w:pPr>
            <w:r>
              <w:t xml:space="preserve">Predicts exposure not biology unless coupled to dose–response; idealized geometry</w:t>
            </w:r>
          </w:p>
        </w:tc>
      </w:tr>
    </w:tbl>
    <w:p>
      <w:pPr>
        <w:pStyle w:val="BodyText"/>
      </w:pPr>
      <w:r>
        <w:t xml:space="preserve">The integrative frontier couples CFD exposure distributions (pressure,</w:t>
      </w:r>
      <w:r>
        <w:t xml:space="preserve"> </w:t>
      </w:r>
      <w:r>
        <w:t xml:space="preserve">shear, strike) to lab dose–response via BioPA / bio-hill charts</w:t>
      </w:r>
      <w:r>
        <w:t xml:space="preserve"> </w:t>
      </w:r>
      <w:r>
        <w:t xml:space="preserve">(Richmond 2015; Romero-Gomez) and validates against field tests;</w:t>
      </w:r>
      <w:r>
        <w:t xml:space="preserve"> </w:t>
      </w:r>
      <w:r>
        <w:t xml:space="preserve">Tomanova (2023) updated Francis-turbine mortality formulae (peripheral</w:t>
      </w:r>
      <w:r>
        <w:t xml:space="preserve"> </w:t>
      </w:r>
      <w:r>
        <w:t xml:space="preserve">speed, diameter, fish size; r=0.89 vs observed). Sensor Fish and</w:t>
      </w:r>
      <w:r>
        <w:t xml:space="preserve"> </w:t>
      </w:r>
      <w:r>
        <w:t xml:space="preserve">balloon-tag recovery bridge lab and field by measuring the physical</w:t>
      </w:r>
      <w:r>
        <w:t xml:space="preserve"> </w:t>
      </w:r>
      <w:r>
        <w:t xml:space="preserve">exposure live fish experience.</w:t>
      </w:r>
    </w:p>
    <w:p>
      <w:pPr>
        <w:pStyle w:val="Heading1"/>
      </w:pPr>
      <w:bookmarkStart w:id="31" w:name="key-assumptions-where-they-are-contested"/>
      <w:r>
        <w:t xml:space="preserve">5. Key assumptions &amp; where they are contested</w:t>
      </w:r>
      <w:bookmarkEnd w:id="31"/>
    </w:p>
    <w:p>
      <w:pPr>
        <w:numPr>
          <w:ilvl w:val="0"/>
          <w:numId w:val="1002"/>
        </w:numPr>
      </w:pPr>
      <w:r>
        <w:t xml:space="preserve">Static Boyle’s-law barotrauma vs dynamic decompression — challenged</w:t>
      </w:r>
      <w:r>
        <w:t xml:space="preserve"> </w:t>
      </w:r>
      <w:r>
        <w:t xml:space="preserve">by Kerr (2023).</w:t>
      </w:r>
    </w:p>
    <w:p>
      <w:pPr>
        <w:numPr>
          <w:ilvl w:val="0"/>
          <w:numId w:val="1002"/>
        </w:numPr>
      </w:pPr>
      <w:r>
        <w:t xml:space="preserve">Neutral buoyancy at acclimation depth — standard, but wild fish at</w:t>
      </w:r>
      <w:r>
        <w:t xml:space="preserve"> </w:t>
      </w:r>
      <w:r>
        <w:t xml:space="preserve">an intake may not be neutrally buoyant, changing RPC (Pflugrath</w:t>
      </w:r>
      <w:r>
        <w:t xml:space="preserve"> </w:t>
      </w:r>
      <w:r>
        <w:t xml:space="preserve">2012).</w:t>
      </w:r>
    </w:p>
    <w:p>
      <w:pPr>
        <w:numPr>
          <w:ilvl w:val="0"/>
          <w:numId w:val="1002"/>
        </w:numPr>
      </w:pPr>
      <w:r>
        <w:t xml:space="preserve">Cross-species surrogacy — salmonid thresholds are widely reused but</w:t>
      </w:r>
      <w:r>
        <w:t xml:space="preserve"> </w:t>
      </w:r>
      <w:r>
        <w:t xml:space="preserve">repeatedly shown not to transfer (Saylor 2020; Pflugrath 2018; Zitek</w:t>
      </w:r>
      <w:r>
        <w:t xml:space="preserve"> </w:t>
      </w:r>
      <w:r>
        <w:t xml:space="preserve">2026).</w:t>
      </w:r>
    </w:p>
    <w:p>
      <w:pPr>
        <w:numPr>
          <w:ilvl w:val="0"/>
          <w:numId w:val="1002"/>
        </w:numPr>
      </w:pPr>
      <w:r>
        <w:t xml:space="preserve">Physostome tolerance as a rule — true for eel/lamprey, false for</w:t>
      </w:r>
      <w:r>
        <w:t xml:space="preserve"> </w:t>
      </w:r>
      <w:r>
        <w:t xml:space="preserve">cypriniform larvae (Zitek 2026).</w:t>
      </w:r>
    </w:p>
    <w:p>
      <w:pPr>
        <w:numPr>
          <w:ilvl w:val="0"/>
          <w:numId w:val="1002"/>
        </w:numPr>
      </w:pPr>
      <w:r>
        <w:t xml:space="preserve">Sensor Fish / biomimetic ≈ live fish (Saylor 2021); CFD exposure ≈</w:t>
      </w:r>
      <w:r>
        <w:t xml:space="preserve"> </w:t>
      </w:r>
      <w:r>
        <w:t xml:space="preserve">biological dose — only via a validated dose–response model.</w:t>
      </w:r>
    </w:p>
    <w:p>
      <w:pPr>
        <w:numPr>
          <w:ilvl w:val="0"/>
          <w:numId w:val="1002"/>
        </w:numPr>
      </w:pPr>
      <w:r>
        <w:t xml:space="preserve">Immediate ≈ total mortality — delayed (48–96 h) and tag effects can</w:t>
      </w:r>
      <w:r>
        <w:t xml:space="preserve"> </w:t>
      </w:r>
      <w:r>
        <w:t xml:space="preserve">substantially change the number (Carlson 2012).</w:t>
      </w:r>
    </w:p>
    <w:p>
      <w:pPr>
        <w:pStyle w:val="Heading1"/>
      </w:pPr>
      <w:bookmarkStart w:id="32" w:name="research-gaps-recommendations"/>
      <w:r>
        <w:t xml:space="preserve">6. Research gaps &amp; recommendations</w:t>
      </w:r>
      <w:bookmarkEnd w:id="32"/>
    </w:p>
    <w:p>
      <w:pPr>
        <w:numPr>
          <w:ilvl w:val="0"/>
          <w:numId w:val="1003"/>
        </w:numPr>
      </w:pPr>
      <w:r>
        <w:t xml:space="preserve">Broaden beyond salmonids: eggs/larvae, eels, lamprey, cyprinids and</w:t>
      </w:r>
      <w:r>
        <w:t xml:space="preserve"> </w:t>
      </w:r>
      <w:r>
        <w:t xml:space="preserve">non-temperate species relative to their exposure.</w:t>
      </w:r>
    </w:p>
    <w:p>
      <w:pPr>
        <w:numPr>
          <w:ilvl w:val="0"/>
          <w:numId w:val="1003"/>
        </w:numPr>
      </w:pPr>
      <w:r>
        <w:t xml:space="preserve">Resolve Boyle’s-law vs dynamic barotrauma with rate-varying (not</w:t>
      </w:r>
      <w:r>
        <w:t xml:space="preserve"> </w:t>
      </w:r>
      <w:r>
        <w:t xml:space="preserve">just magnitude-varying) experiments.</w:t>
      </w:r>
    </w:p>
    <w:p>
      <w:pPr>
        <w:numPr>
          <w:ilvl w:val="0"/>
          <w:numId w:val="1003"/>
        </w:numPr>
      </w:pPr>
      <w:r>
        <w:t xml:space="preserve">Standardise reporting: pair every threshold with metric, units,</w:t>
      </w:r>
      <w:r>
        <w:t xml:space="preserve"> </w:t>
      </w:r>
      <w:r>
        <w:t xml:space="preserve">species, life stage and acclimation depth (the extraction schema</w:t>
      </w:r>
      <w:r>
        <w:t xml:space="preserve"> </w:t>
      </w:r>
      <w:r>
        <w:t xml:space="preserve">enforces this).</w:t>
      </w:r>
    </w:p>
    <w:p>
      <w:pPr>
        <w:numPr>
          <w:ilvl w:val="0"/>
          <w:numId w:val="1003"/>
        </w:numPr>
      </w:pPr>
      <w:r>
        <w:t xml:space="preserve">Strengthen CFD exposure-to-response coupling and independent field</w:t>
      </w:r>
      <w:r>
        <w:t xml:space="preserve"> </w:t>
      </w:r>
      <w:r>
        <w:t xml:space="preserve">validation of BioPA/bio-hill predictions.</w:t>
      </w:r>
    </w:p>
    <w:p>
      <w:pPr>
        <w:numPr>
          <w:ilvl w:val="0"/>
          <w:numId w:val="1003"/>
        </w:numPr>
      </w:pPr>
      <w:r>
        <w:t xml:space="preserve">Quantify combined/sequential exposure (strike + shear + barotrauma)</w:t>
      </w:r>
      <w:r>
        <w:t xml:space="preserve"> </w:t>
      </w:r>
      <w:r>
        <w:t xml:space="preserve">rather than single mechanisms.</w:t>
      </w:r>
    </w:p>
    <w:p>
      <w:pPr>
        <w:numPr>
          <w:ilvl w:val="0"/>
          <w:numId w:val="1003"/>
        </w:numPr>
      </w:pPr>
      <w:r>
        <w:t xml:space="preserve">Expand delayed-mortality and sub-lethal endpoints beyond immediate</w:t>
      </w:r>
      <w:r>
        <w:t xml:space="preserve"> </w:t>
      </w:r>
      <w:r>
        <w:t xml:space="preserve">survival.</w:t>
      </w:r>
    </w:p>
    <w:p>
      <w:pPr>
        <w:numPr>
          <w:ilvl w:val="0"/>
          <w:numId w:val="1003"/>
        </w:numPr>
      </w:pPr>
      <w:r>
        <w:t xml:space="preserve">Build matched-condition comparisons of novel fish-friendly designs</w:t>
      </w:r>
      <w:r>
        <w:t xml:space="preserve"> </w:t>
      </w:r>
      <w:r>
        <w:t xml:space="preserve">(VLH, screw, shaft, Natel/Alden runners) vs conventional turbines.</w:t>
      </w:r>
    </w:p>
    <w:p>
      <w:pPr>
        <w:pStyle w:val="FirstParagraph"/>
      </w:pPr>
      <w:r>
        <w:rPr>
          <w:i/>
        </w:rPr>
        <w:t xml:space="preserve">Provenance: figures attributed to a named study above were read from</w:t>
      </w:r>
      <w:r>
        <w:rPr>
          <w:i/>
        </w:rPr>
        <w:t xml:space="preserve"> </w:t>
      </w:r>
      <w:r>
        <w:rPr>
          <w:i/>
        </w:rPr>
        <w:t xml:space="preserve">that paper and are marked</w:t>
      </w:r>
      <w:r>
        <w:rPr>
          <w:i/>
        </w:rPr>
        <w:t xml:space="preserve"> </w:t>
      </w:r>
      <w:r>
        <w:rPr>
          <w:i/>
        </w:rPr>
        <w:t xml:space="preserve">‘</w:t>
      </w:r>
      <w:r>
        <w:rPr>
          <w:i/>
        </w:rPr>
        <w:t xml:space="preserve">Verified</w:t>
      </w:r>
      <w:r>
        <w:rPr>
          <w:i/>
        </w:rPr>
        <w:t xml:space="preserve">’</w:t>
      </w:r>
      <w:r>
        <w:rPr>
          <w:i/>
        </w:rPr>
        <w:t xml:space="preserve"> </w:t>
      </w:r>
      <w:r>
        <w:rPr>
          <w:i/>
        </w:rPr>
        <w:t xml:space="preserve">in the extraction spreadsheet (37</w:t>
      </w:r>
      <w:r>
        <w:rPr>
          <w:i/>
        </w:rPr>
        <w:t xml:space="preserve"> </w:t>
      </w:r>
      <w:r>
        <w:rPr>
          <w:i/>
        </w:rPr>
        <w:t xml:space="preserve">studies). Corpus-level counts come from automated text mining of all 255</w:t>
      </w:r>
      <w:r>
        <w:rPr>
          <w:i/>
        </w:rPr>
        <w:t xml:space="preserve"> </w:t>
      </w:r>
      <w:r>
        <w:rPr>
          <w:i/>
        </w:rPr>
        <w:t xml:space="preserve">PDFs and should be treated as close estimates. Remaining unverified</w:t>
      </w:r>
      <w:r>
        <w:rPr>
          <w:i/>
        </w:rPr>
        <w:t xml:space="preserve"> </w:t>
      </w:r>
      <w:r>
        <w:rPr>
          <w:i/>
        </w:rPr>
        <w:t xml:space="preserve">cells in the spreadsheet (Confidence =</w:t>
      </w:r>
      <w:r>
        <w:rPr>
          <w:i/>
        </w:rPr>
        <w:t xml:space="preserve"> </w:t>
      </w:r>
      <w:r>
        <w:rPr>
          <w:i/>
        </w:rPr>
        <w:t xml:space="preserve">‘</w:t>
      </w:r>
      <w:r>
        <w:rPr>
          <w:i/>
        </w:rPr>
        <w:t xml:space="preserve">Mined</w:t>
      </w:r>
      <w:r>
        <w:rPr>
          <w:i/>
        </w:rPr>
        <w:t xml:space="preserve">’</w:t>
      </w:r>
      <w:r>
        <w:rPr>
          <w:i/>
        </w:rPr>
        <w:t xml:space="preserve">) should be checked before</w:t>
      </w:r>
      <w:r>
        <w:rPr>
          <w:i/>
        </w:rPr>
        <w:t xml:space="preserve"> </w:t>
      </w:r>
      <w:r>
        <w:rPr>
          <w:i/>
        </w:rPr>
        <w:t xml:space="preserve">citation.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1">
    <w:nsid w:val="ea454b4c"/>
    <w:multiLevelType w:val="multilevel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–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•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
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2026-06-30T13:18:02Z</dcterms:created>
  <dcterms:modified xsi:type="dcterms:W3CDTF">2026-06-30T13:18:02Z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