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0"/>
        </w:rPr>
        <w:t>Barotrauma in Downstream Fish Passage</w:t>
        <w:br/>
        <w:t>Metrics, Protocols &amp; the Reproducibility of Live-Fish Studies</w:t>
      </w:r>
    </w:p>
    <w:p>
      <w:pPr>
        <w:jc w:val="center"/>
      </w:pPr>
      <w:r>
        <w:rPr>
          <w:i/>
          <w:sz w:val="22"/>
        </w:rPr>
        <w:t>A state-of-the-art assessment of 61 barotrauma papers (38 live-fish studies scored)</w:t>
        <w:br/>
        <w:t>Companion to the workbook 'Barotrauma_metrics_reproducibility.xlsx'</w:t>
      </w:r>
    </w:p>
    <w:p/>
    <w:p>
      <w:pPr>
        <w:pStyle w:val="Heading1"/>
      </w:pPr>
      <w:r>
        <w:rPr>
          <w:color w:val="1F4E5F"/>
        </w:rPr>
        <w:t>1. Purpose &amp; scope</w:t>
      </w:r>
    </w:p>
    <w:p>
      <w:r>
        <w:t>Barotrauma — injury from the rapid pressure drop fish experience near a turbine runner or pump impeller — is the single most-studied injury mechanism in downstream fish passage, yet its findings are notoriously hard to compare across studies. This document and its companion workbook do three things: (1) catalogue every barotrauma metric in use and how each is calculated; (2) describe the experimental and field protocols used to generate barotrauma data on live fish; and (3) assess, study by study, how reproducible the live-fish evidence base actually is. We then identify the major problems and gaps and propose concrete, community-level next steps, including a minimum reporting standard.</w:t>
      </w:r>
    </w:p>
    <w:p>
      <w:r>
        <w:t>Scope. We screened all 229 papers in the passage library for barotrauma relevance (full-text density of barotrauma / decompression / swim-bladder / nadir / pressure-change terms plus title screening) and retained 61 barotrauma-relevant papers. Of these, 38 are live-fish studies — 31 controlled laboratory (pressure-chamber / simulated-passage) studies and 7 field live-fish passage studies — and these 38 form the reproducibility assessment. The remaining 23 (CFD/exposure modeling, reviews, guidelines, and one 1928 swim-bladder physiology paper) are catalogued for metric coverage but not scored.</w:t>
      </w:r>
    </w:p>
    <w:p>
      <w:pPr>
        <w:pStyle w:val="Heading1"/>
      </w:pPr>
      <w:r>
        <w:rPr>
          <w:color w:val="1F4E5F"/>
        </w:rPr>
        <w:t>2. The barotrauma evidence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Papers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What it provides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Live-fish LAB (chamber / simulated passage)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Controlled dose–response between pressure change and injury/mortality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Live-fish FIELD (real-structure passage)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Injury/mortality of fish passed through turbines/screws/structures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Modeling / exposure (CFD, Sensor Fish, tools)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Predicted or measured pressure/nadir exposure (no live fish)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Reviews / perspectives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Synthesis of mechanisms, metrics and knowledge gaps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Guidelines / criteria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Threshold criteria adopted for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Foundational physiology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Swim-bladder physiology (Evans 1928)</w:t>
            </w:r>
          </w:p>
        </w:tc>
      </w:tr>
    </w:tbl>
    <w:p>
      <w:r>
        <w:t>The live-fish base is dominated by one programme and one taxon: the Pacific Northwest National Laboratory group (Brown, Carlson, Pflugrath, Stephenson, Colotelo, Deng and colleagues) and juvenile Chinook salmon. Australian (Boys, Pflugrath), Brazilian/Neotropical (Beirao, Kerr, Pedron), and European (Schneider, Zitek) groups have since broadened the species and life-stage range, but most species are represented by a single study — a structural limit on external reproducibility (see Section 6).</w:t>
      </w:r>
    </w:p>
    <w:p>
      <w:pPr>
        <w:pStyle w:val="Heading1"/>
      </w:pPr>
      <w:r>
        <w:rPr>
          <w:color w:val="1F4E5F"/>
        </w:rPr>
        <w:t>3. Barotrauma metrics and how they are calculated</w:t>
      </w:r>
    </w:p>
    <w:p>
      <w:r>
        <w:t>The workbook's 'Metrics catalogue' sheet gives the full list; the essentials: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Calculation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Ratio of Pressure Change (RPC)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P_acclimation ÷ P_nadir (absolute pressures)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Dominant dose metric. DIRECTION IS INCONSISTENT — some report nadir÷acclimation (&lt;1, e.g. Boys' R(NE:A)). Always state which.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Log Ratio of Pressure (LRP)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ln(P_acclimation ÷ P_nadir)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Used in logistic mortal-injury models (Carlson 2012); log base not always stated.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Nadir pressure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Minimum absolute pressure in the exposure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kPa; measured in chamber, modeled/Sensor-Fish in field.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Acclimation / neutral-buoyancy pressure (depth)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Holding depth, or neutral-buoyancy test (excess-mass / swim-bladder-rupture)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Baseline for RPC/LRP; the field's biggest assumption (Pflugrath 2012: juvenile Chinook acclimate only to ~4.6–11.6 m).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Mortal-injury index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Binary: 'mortally injured' if any of a defined injury set present (8 in McKinstry 2007)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Injury set differs between labs.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Injury-specific dose–response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Logistic P(injury) vs RPC/LRP/nadir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Pflugrath 2018; Kerr 2023; Zitek 2026. Injury taxonomies differ.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Injury severity score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Count/grade of injuries from necropsy / X-ray / transparent fish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No common catalogue or scale across labs.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Decompression (exposure) rate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Pressure change per unit time / time-to-nadir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Mechanistically important (Kerr 2023) but almost never reported.</w:t>
            </w:r>
          </w:p>
        </w:tc>
      </w:tr>
    </w:tbl>
    <w:p>
      <w:r>
        <w:t>Verified threshold landmarks (see the companion 'state of the art' report for sources): 50% swim-bladder rupture at RPC ≈ 1.75–2.2 in two Neotropical species (Kerr 2023); a multispecies precautionary criterion of keeping exposure pressure above ~70% of acclimation pressure (Boys 2016); eggs/larvae injured near 100% at low pressure, protected above ~40% of surface pressure (Boys 2016); lamprey and American eel essentially barotrauma-immune (Colotelo 2012; Pflugrath 2019); but physostome cypriniform larvae among the most sensitive (Zitek 2026).</w:t>
      </w:r>
    </w:p>
    <w:p>
      <w:pPr>
        <w:pStyle w:val="Heading1"/>
      </w:pPr>
      <w:r>
        <w:rPr>
          <w:color w:val="1F4E5F"/>
        </w:rPr>
        <w:t>4. Protocols used</w:t>
      </w:r>
    </w:p>
    <w:p>
      <w:pPr>
        <w:pStyle w:val="Heading2"/>
      </w:pPr>
      <w:r>
        <w:rPr>
          <w:color w:val="1F4E5F"/>
        </w:rPr>
        <w:t>4.1 Laboratory (pressure-chamber / simulated passage)</w:t>
      </w:r>
    </w:p>
    <w:p>
      <w:r>
        <w:t>The standard design holds live fish in a hyper/hypobaric ('barotrauma') chamber, allows them to acclimate to a chosen pressure/depth (ideally to neutral buoyancy), then drives a programmed pressure profile from an onset pressure down to a nadir to mimic turbine passage, after which fish are held and assessed for injury and delayed mortality. Variants include the PNNL Mobile Aquatic Barotrauma Laboratory (Stephenson 2010), transparent-fish observation (Pflugrath 2020), and dedicated multi-species chambers operating 14–450 kPa (Schneider 2025). Injury is scored by necropsy, X-ray, or direct observation against an injury list (swim-bladder rupture, exophthalmia, emboli, haemorrhage, organ prolapse).</w:t>
      </w:r>
    </w:p>
    <w:p>
      <w:pPr>
        <w:pStyle w:val="Heading2"/>
      </w:pPr>
      <w:r>
        <w:rPr>
          <w:color w:val="1F4E5F"/>
        </w:rPr>
        <w:t>4.2 Field (live-fish passage)</w:t>
      </w:r>
    </w:p>
    <w:p>
      <w:r>
        <w:t>Live fish are released through a real structure and recovered (HI-Z/balloon-tag, netting, or telemetry), with immediate and delayed (24–96 h) survival and injury assessed against handling/tag controls (e.g. Normandeau shad studies; Pauwels Archimedes screw; Mueller X-ray internal-injury assessment). Field studies cannot impose a chamber acclimation, so pressure exposure is inferred from Sensor Fish or CFD rather than controlled — a fundamental difference from lab work that the reproducibility rubric accounts for.</w:t>
      </w:r>
    </w:p>
    <w:p>
      <w:pPr>
        <w:pStyle w:val="Heading1"/>
      </w:pPr>
      <w:r>
        <w:rPr>
          <w:color w:val="1F4E5F"/>
        </w:rPr>
        <w:t>5. Reproducibility assessment</w:t>
      </w:r>
    </w:p>
    <w:p>
      <w:r>
        <w:t>Method. Each of the 38 live-fish studies was scored against a 10-element reporting checklist (C1–C10; see workbook 'Legend'). The score is reported criteria ÷ applicable criteria; tiers are High (≥80%), Medium (50–79%), Low (&lt;50%). For field studies, chamber-acclimation criteria (C3, C4) are Not Applicable and excluded. This indexes whether a study reports enough to be reproduced — not its scientific quality.</w:t>
      </w:r>
    </w:p>
    <w:p>
      <w:r>
        <w:t>Results. Mean reporting completeness was 74% (median 80%). Tiers: 19 High, 16 Medium, 3 Low. Lab studies (31): 17 High / 12 Medium / 2 Low. Field studies (7): 2 High / 4 Medium / 1 Low. The criterion-by-criterion reporting rates expose where the gaps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Reporting element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Reported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C8 Holding / recovery &amp; delayed-mortality window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Strong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C3 Acclimation pressure / depth (lab)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90%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Strong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C1 Species + life stage + body size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87%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Strong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C7 Injury-scoring protocol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84%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Adequate (but methods not standardized)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C5 Exposure pressure / nadir quantified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Adequate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C9 Controls (handling / tag / sham)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82%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Adequate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C10 Statistical / dose–response model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68%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C2 Sample size (n) per treatment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63%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C6 Pressure-change metric explicitly defined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42%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Major 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C4 Acclimation duration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39%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Major gap</w:t>
            </w:r>
          </w:p>
        </w:tc>
      </w:tr>
    </w:tbl>
    <w:p>
      <w:r>
        <w:t>The lowest-reported elements — an explicitly defined pressure-change metric (42%) and acclimation duration (39%) — are precisely the ones that determine whether a barotrauma dose can be compared between studies at all.</w:t>
      </w:r>
    </w:p>
    <w:p>
      <w:pPr>
        <w:pStyle w:val="Heading1"/>
      </w:pPr>
      <w:r>
        <w:rPr>
          <w:color w:val="1F4E5F"/>
        </w:rPr>
        <w:t>6. Major problems &amp; gaps</w:t>
      </w:r>
    </w:p>
    <w:p>
      <w:pPr>
        <w:pStyle w:val="ListNumber"/>
      </w:pPr>
      <w:r>
        <w:t>Inconsistent and often-undefined dose metric. Fewer than half of live-fish studies explicitly define their pressure-change metric, and those that do disagree on its direction (acclimation÷nadir &gt;1 vs nadir÷acclimation &lt;1). This alone prevents safe pooling of thresholds across studies.</w:t>
      </w:r>
    </w:p>
    <w:p>
      <w:pPr>
        <w:pStyle w:val="ListNumber"/>
      </w:pPr>
      <w:r>
        <w:t>The acclimation assumption is under-specified and physically questionable. Acclimation duration is reported only 39% of the time, and the premise that fish are neutrally buoyant at a known depth at the intake is rarely tested against field reality — yet every RPC/LRP value depends on it.</w:t>
      </w:r>
    </w:p>
    <w:p>
      <w:pPr>
        <w:pStyle w:val="ListNumber"/>
      </w:pPr>
      <w:r>
        <w:t>Decompression rate is almost never reported. Most chambers report only onset and nadir pressures, not the rate of change, even though dynamic models (Kerr 2023) show rate governs swim-bladder behaviour at low nadir — a mechanistic blind spot.</w:t>
      </w:r>
    </w:p>
    <w:p>
      <w:pPr>
        <w:pStyle w:val="ListNumber"/>
      </w:pPr>
      <w:r>
        <w:t>No standardized injury taxonomy or severity scale. Injuries are scored against ad-hoc lists by necropsy, X-ray, or observation, so 'mortal injury' and severity are not comparable between labs.</w:t>
      </w:r>
    </w:p>
    <w:p>
      <w:pPr>
        <w:pStyle w:val="ListNumber"/>
      </w:pPr>
      <w:r>
        <w:t>Sample sizes and statistics are inconsistently reported (n in 63%, model in 68%), limiting power assessment and re-analysis.</w:t>
      </w:r>
    </w:p>
    <w:p>
      <w:pPr>
        <w:pStyle w:val="ListNumber"/>
      </w:pPr>
      <w:r>
        <w:t>Severe taxonomic and life-stage bias. The base is dominated by juvenile Chinook salmon from one laboratory; most other species/life stages rest on a single study, so findings are rarely independently replicated (weak external reproducibility). Eggs/larvae and non-salmonids remain thin.</w:t>
      </w:r>
    </w:p>
    <w:p>
      <w:pPr>
        <w:pStyle w:val="ListNumber"/>
      </w:pPr>
      <w:r>
        <w:t>Lab–field disconnect. Lab dose–response assumes controlled acclimation and single-mechanism exposure; field passage integrates all mechanisms with uncontrolled, modeled exposure. Few studies bridge the two with matched conditions.</w:t>
      </w:r>
    </w:p>
    <w:p>
      <w:pPr>
        <w:pStyle w:val="ListNumber"/>
      </w:pPr>
      <w:r>
        <w:t>Immediate vs delayed mortality and tag/handling effects are handled unevenly, and tag burden is known to inflate barotrauma mortality (Carlson 2012).</w:t>
      </w:r>
    </w:p>
    <w:p>
      <w:pPr>
        <w:pStyle w:val="Heading1"/>
      </w:pPr>
      <w:r>
        <w:rPr>
          <w:color w:val="1F4E5F"/>
        </w:rPr>
        <w:t>7. Recommendations &amp; next steps for the community</w:t>
      </w:r>
    </w:p>
    <w:p>
      <w:pPr>
        <w:pStyle w:val="Heading2"/>
      </w:pPr>
      <w:r>
        <w:rPr>
          <w:color w:val="1F4E5F"/>
        </w:rPr>
        <w:t>7.1 Adopt a minimum reporting standard</w:t>
      </w:r>
    </w:p>
    <w:p>
      <w:r>
        <w:t>Every live-fish barotrauma study should report, at minimum, the following — a checklist journals and funders could require: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Required element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Species, life stage, and body size (length &amp; mass, with ranges)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Susceptibility is species- and stage-specific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Acclimation pressure/depth AND duration, and how neutral buoyancy was verified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RPC is meaningless without it; duration affects equilibration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Full pressure–time profile: onset, nadir, AND decompression rate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Rate governs dynamic barotrauma; enables exact replication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Pressure-change metric with explicit formula and direction (define RPC as P_acclim/P_nadir)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Ends the direction ambiguity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Standard injury taxonomy + scoring method (necropsy/X-ray/observation) and observer blinding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Comparable injury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Sample size per treatment and the full treatment matrix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Power and re-analysis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Holding/recovery conditions and delayed-mortality window (e.g. 48–96 h)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Separates immediate from latent mortality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Controls for handling/tagging/sham, with control mortality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Removes confounds; tags inflate mortality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Statistical model and the dose–response form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Reproducible inference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Open data and code (raw injury records + pressure traces)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True reproducibility</w:t>
            </w:r>
          </w:p>
        </w:tc>
      </w:tr>
    </w:tbl>
    <w:p>
      <w:pPr>
        <w:pStyle w:val="Heading2"/>
      </w:pPr>
      <w:r>
        <w:rPr>
          <w:color w:val="1F4E5F"/>
        </w:rPr>
        <w:t>7.2 Standardize the core conventions</w:t>
      </w:r>
    </w:p>
    <w:p>
      <w:pPr>
        <w:pStyle w:val="ListBullet"/>
      </w:pPr>
      <w:r>
        <w:t>Define RPC consistently as P_acclimation / P_nadir (&gt;1) across the field, and always pair thresholds with species, life stage and acclimation depth.</w:t>
      </w:r>
    </w:p>
    <w:p>
      <w:pPr>
        <w:pStyle w:val="ListBullet"/>
      </w:pPr>
      <w:r>
        <w:t>Agree a common barotrauma injury catalogue and severity scale (build on McKinstry's mortal-injury concept, Brown/Carlson injuries, and X-ray internal scoring from Mueller 2020).</w:t>
      </w:r>
    </w:p>
    <w:p>
      <w:pPr>
        <w:pStyle w:val="ListBullet"/>
      </w:pPr>
      <w:r>
        <w:t>Always report decompression rate, not just endpoints, so static (Boyle) and dynamic (Rayleigh–Plesset) models can both be tested.</w:t>
      </w:r>
    </w:p>
    <w:p>
      <w:pPr>
        <w:pStyle w:val="Heading2"/>
      </w:pPr>
      <w:r>
        <w:rPr>
          <w:color w:val="1F4E5F"/>
        </w:rPr>
        <w:t>7.3 Close the evidence gaps</w:t>
      </w:r>
    </w:p>
    <w:p>
      <w:pPr>
        <w:pStyle w:val="ListBullet"/>
      </w:pPr>
      <w:r>
        <w:t>Prioritize under-studied taxa and life stages: eggs/larvae, non-salmonid physostomes (the Zitek 2026 result shows they can be highly sensitive), benthic and tropical species.</w:t>
      </w:r>
    </w:p>
    <w:p>
      <w:pPr>
        <w:pStyle w:val="ListBullet"/>
      </w:pPr>
      <w:r>
        <w:t>Run cross-laboratory ring tests (the same species and pressure profile in multiple chambers) to measure between-lab reproducibility directly — currently unknown.</w:t>
      </w:r>
    </w:p>
    <w:p>
      <w:pPr>
        <w:pStyle w:val="ListBullet"/>
      </w:pPr>
      <w:r>
        <w:t>Pair lab dose–response with matched field passage validation, and couple both to standardized CFD exposure (BioPA / bio-hill) so predictions are testable.</w:t>
      </w:r>
    </w:p>
    <w:p>
      <w:pPr>
        <w:pStyle w:val="ListBullet"/>
      </w:pPr>
      <w:r>
        <w:t>Resolve the Boyle's-law vs dynamic-decompression question with rate-varying experiments.</w:t>
      </w:r>
    </w:p>
    <w:p/>
    <w:p>
      <w:r>
        <w:rPr>
          <w:i/>
          <w:color w:val="666666"/>
          <w:sz w:val="17"/>
        </w:rPr>
        <w:t>Method note: the 61-paper set and per-criterion scores were generated by full-text screening and automated detection of reporting elements, then reviewed; 37 quantitative claims are independently verified in the companion state-of-the-art report and extraction spreadsheet. Reproducibility tiers index reporting completeness, not scientific quality, and Low/Medium ratings should prompt a look at the paper rather than serve as a verdict (text-extraction gaps can miss reported items, especially in older or non-English papers).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