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5F"/>
          <w:sz w:val="44"/>
        </w:rPr>
        <w:t>Fish Passage Injury &amp; Mortality</w:t>
        <w:br/>
        <w:t>State of the Art</w:t>
      </w:r>
    </w:p>
    <w:p>
      <w:pPr>
        <w:jc w:val="center"/>
      </w:pPr>
      <w:r>
        <w:rPr>
          <w:i/>
          <w:sz w:val="22"/>
        </w:rPr>
        <w:t>A mechanism-based synthesis of a 229-paper downstream-passage library (1928–2026)</w:t>
        <w:br/>
        <w:t>Quantitative claims verified against 37 key papers; see the extraction spreadsheet ('Confidence' column)</w:t>
      </w:r>
    </w:p>
    <w:p/>
    <w:p>
      <w:pPr>
        <w:pStyle w:val="Heading1"/>
      </w:pPr>
      <w:r>
        <w:rPr>
          <w:color w:val="1F4E5F"/>
        </w:rPr>
        <w:t>1. Scope &amp; corpus</w:t>
      </w:r>
    </w:p>
    <w:p>
      <w:r>
        <w:t>This synthesis covers 229 publications on downstream fish passage and the injury and mortality it causes — passage through hydropower turbines, pumps, Archimedean screws, weirs, spillways, and bypass/fish-friendly structures (1928–2026). Headline quantitative claims below were checked against the original papers; 37 key empirical studies are marked 'Verified' in the companion spreadsheet. Other cell values remain text-mined first-pass estimates.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Study type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Papers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Contribution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Lab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Controlled dose–response: pressure chambers, shear flumes, blade-strike rigs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Field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Real-structure survival, telemetry, Sensor Fish, ecological assessment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Numerical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CFD, blade-strike &amp; particle models, BioPA / bio-hill charts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Review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Syntheses, overviews, meta-analyses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Guidelines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Standards &amp; criteria (NEN 8775, German/Austrian/Dutch/Canadian guidance)</w:t>
            </w:r>
          </w:p>
        </w:tc>
      </w:tr>
    </w:tbl>
    <w:p>
      <w:r>
        <w:t>Mechanism coverage is dominated by barotrauma and shear, with blade strike close behind (counts exceed 229 because most studies address several mechanisms): barotrauma/pressure 84; shear 70; blade strike 53; turbulence 42; entrainment/impingement 26; cavitation 26; gas supersaturation 11; grinding 11.</w:t>
      </w:r>
    </w:p>
    <w:p>
      <w:r>
        <w:t>How big is the problem? The best single estimate is from a global meta-analysis of &gt;275,000 fish across 75 species (Radinger &amp; van Treeck 2021): average hydropower-turbine fish mortality of 22.3% (95% CI 17.5–26.7%) after correcting for handling/catch effects — but with large variation among turbine types, methods and taxa. Older syntheses put direct turbine kill at roughly 3–30% depending on fish length and turbine design (Amaral &amp; Hecker 2011).</w:t>
      </w:r>
    </w:p>
    <w:p>
      <w:pPr>
        <w:pStyle w:val="Heading1"/>
      </w:pPr>
      <w:r>
        <w:rPr>
          <w:color w:val="1F4E5F"/>
        </w:rPr>
        <w:t>2. Injury mechanisms</w:t>
      </w:r>
    </w:p>
    <w:p>
      <w:pPr>
        <w:pStyle w:val="Heading2"/>
      </w:pPr>
      <w:r>
        <w:rPr>
          <w:color w:val="1F4E5F"/>
        </w:rPr>
        <w:t>2.1 Barotrauma (rapid decompression) — verified landmarks</w:t>
      </w:r>
    </w:p>
    <w:p>
      <w:r>
        <w:t>Barotrauma is the most intensively studied mechanism. The rapid pressure drop near the runner (the 'nadir') over-expands swim-bladder gas, causing emboli, swim-bladder rupture, exophthalmia and internal haemorrhage. Susceptibility depends on the change relative to acclimation, captured by the Ratio of Pressure Change (RPC = acclimation pressure ÷ nadir) and its log form (LRP). The PNNL programme (Brown, Carlson, Pflugrath, Stephenson, Colotelo) established 'simulated turbine passage' in hyper/hypobaric chambers; Brown et al. (2012) showed injury is driven mainly by Boyle's-law gas expansion rather than Henry's-law gas exsolution, and McKinstry et al. (2007) replaced raw mortality with a 'mortal injury' endpoint.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Metric / question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Verified value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Acclimation depth ceiling (juv. Chinook)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Neutral buoyancy only to ~4.6–11.6 m; deeper = higher risk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Pflugrath 2012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Precautionary pressure threshold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Keep exposure pressure ≥ ~70% of acclimation pressure (Murray cod, silver perch)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Boys 2016 (piecewise)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Eggs &amp; larvae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Highly vulnerable; injuries near 100% at low pressure; keep ≥ ~40% surface pressure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Boys 2016 (How low)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RPC dose–response (Neotropical)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50% swim-bladder rupture at RPC ≈ 1.75 (pacu) – 2.2 (piracanjuba)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Kerr 2023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Lamprey tolerance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 injury at 146.2→13.8 kPa, where ~97.5% of juv. Chinook would be injured/killed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Colotelo 2012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American eel tolerance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Resilient at 172 kPa acclimation; barotrauma not a major concern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Pflugrath 2019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Tag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Tag presence + LRP are the strongest predictors of mortal injury (tags inflate mortality)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Carlson 2012</w:t>
            </w:r>
          </w:p>
        </w:tc>
      </w:tr>
    </w:tbl>
    <w:p>
      <w:r>
        <w:t>Two important nuances. First, the field's workhorse assumption — that barotrauma follows the static Boyle's law — has been directly challenged: Kerr et al. (2023) show a dynamic (Modified Rayleigh–Plesset) model diverges from Boyle's law near zero nadir pressure and under liquid tension, implying static chamber thresholds can mis-state real risk. Second, the common shorthand that 'physostomes (open swim bladder) are more tolerant' holds for eel and lamprey but is not universal: Zitek et al. (2026) found physostomous cypriniform larvae and juveniles among the most barotrauma-sensitive groups tested, and observed lower mortality under partial-load operation. Susceptibility is therefore species- AND life-stage-specific, not reducible to bladder type alone.</w:t>
      </w:r>
    </w:p>
    <w:p>
      <w:pPr>
        <w:pStyle w:val="Heading2"/>
      </w:pPr>
      <w:r>
        <w:rPr>
          <w:color w:val="1F4E5F"/>
        </w:rPr>
        <w:t>2.2 Fluid shear — verified landmarks</w:t>
      </w:r>
    </w:p>
    <w:p>
      <w:r>
        <w:t>Shear injury arises where steep velocity gradients (shear layers, jets, draft tubes, spillway plunge) tear at body surface, eyes, opercula and gills. The exposure metric is the strain rate (s⁻¹), operationalised in the PNNL submerged-jet apparatus (Neitzel 2000). Injury severity rises with jet velocity / strain rate and with fish size and orientation; eye and operculum injuries appear first, and acceleration predicts injury better than velocity alone.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Finding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Verified value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Injury onset (juv. Chinook, 93–128 mm)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Opercle injury ~12.2 m/s; eye injury/equilibrium loss ≥16.8 m/s jet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Deng 2005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Minor/major injury onset (submerged jet)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Minor ~15.2 m/s; major ~21.3 m/s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Deng 2010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Mekong species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Injury rose with strain rate to ~1185 s⁻¹; gourami &gt; shark susceptibility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Colotelo 2018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American eel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 injury at strain rate &gt;800 s⁻¹ (immediate or 48 h) — shear-resistant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Pflugrath 2021</w:t>
            </w:r>
          </w:p>
        </w:tc>
      </w:tr>
    </w:tbl>
    <w:p>
      <w:r>
        <w:t>Comparison trap: strain rate (s⁻¹) is not shear stress (Pa); the two are frequently conflated in secondary literature.</w:t>
      </w:r>
    </w:p>
    <w:p>
      <w:pPr>
        <w:pStyle w:val="Heading2"/>
      </w:pPr>
      <w:r>
        <w:rPr>
          <w:color w:val="1F4E5F"/>
        </w:rPr>
        <w:t>2.3 Blade strike — verified landmarks</w:t>
      </w:r>
    </w:p>
    <w:p>
      <w:r>
        <w:t>Blade strike is direct mechanical impact by a runner blade. Mortality rises with strike velocity, fish length, thinner blades, and strike location/orientation; engineering responses (blunt, slanted leading edges) reduce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Finding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Verified value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Strike severity drivers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Midbody &gt; head &gt; tail; lateral &gt; dorsal/ventral; thinner blades &amp; higher velocity worse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Bevelheimer 2019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Leading-edge geometry (rainbow trout, 10 m/s)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98% survival at 30° slant vs 26.8% at 90° (L/t=2); 200-mm fish 68% vs 7.9% by strike location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Amaral 2020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Body shape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Anguilliform eel resists strike; laterally-compressed bluegill highly susceptible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Saylor 2019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Surrogacy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Salmonid surrogacy for untested species is unreliable; size &amp; morphology matter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Saylor 2020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Novel runner (white sturgeon)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Higher survival through a thick, slanted fish-friendly runner vs conventional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Zillig 2025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Overall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Blade strike often the primary kill mechanism (3–30%); blunter/slower = safer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Amaral 2011</w:t>
            </w:r>
          </w:p>
        </w:tc>
      </w:tr>
    </w:tbl>
    <w:p>
      <w:pPr>
        <w:pStyle w:val="Heading2"/>
      </w:pPr>
      <w:r>
        <w:rPr>
          <w:color w:val="1F4E5F"/>
        </w:rPr>
        <w:t>2.4 Turbulence, cavitation, grinding, gas supersaturation</w:t>
      </w:r>
    </w:p>
    <w:p>
      <w:pPr>
        <w:pStyle w:val="ListBullet"/>
      </w:pPr>
      <w:r>
        <w:t>Turbulence — disorients fish and increases strike/shear exposure; usually studied with shear/behaviour (Cada; Odeh).</w:t>
      </w:r>
    </w:p>
    <w:p>
      <w:pPr>
        <w:pStyle w:val="ListBullet"/>
      </w:pPr>
      <w:r>
        <w:t>Cavitation — vapour-bubble collapse; in this corpus mostly turbine-engineering (Avellan; Escaler) rather than direct fish injury.</w:t>
      </w:r>
    </w:p>
    <w:p>
      <w:pPr>
        <w:pStyle w:val="ListBullet"/>
      </w:pPr>
      <w:r>
        <w:t>Grinding / abrasion / pinch — fish crushed in narrow gaps (runner–hub, screw–trough); for American eel, the likely dominant injury route alongside strike (Pflugrath 2021).</w:t>
      </w:r>
    </w:p>
    <w:p>
      <w:pPr>
        <w:pStyle w:val="ListBullet"/>
      </w:pPr>
      <w:r>
        <w:t>Gas supersaturation / GBT — total dissolved gas from spillway plunge; distinct from barotrauma; depth modulates the effect (Morris; Watson).</w:t>
      </w:r>
    </w:p>
    <w:p>
      <w:pPr>
        <w:pStyle w:val="Heading1"/>
      </w:pPr>
      <w:r>
        <w:rPr>
          <w:color w:val="1F4E5F"/>
        </w:rPr>
        <w:t>3. Cross-cutting findings</w:t>
      </w:r>
    </w:p>
    <w:p>
      <w:pPr>
        <w:pStyle w:val="Heading2"/>
      </w:pPr>
      <w:r>
        <w:rPr>
          <w:color w:val="1F4E5F"/>
        </w:rPr>
        <w:t>3.1 Species &amp; life-stage sensitivity</w:t>
      </w:r>
    </w:p>
    <w:p>
      <w:r>
        <w:t>The evidence base is salmonid-centric: juvenile Chinook and rainbow trout/steelhead dominate (Chinook 57 studies, rainbow 34), with Atlantic salmon, American shad and European/American eel well represented. Tolerance ordering is mechanism-specific: eel and lamprey are highly barotrauma- and (for eel) shear-tolerant (Colotelo 2012; Pflugrath 2019, 2021), yet eel remain vulnerable to blade strike and grinding. The blanket 'physostomes are tolerant' rule fails for cypriniform larvae/juveniles, which Zitek (2026) found highly sensitive. Juveniles are by far the most-tested stage (74 studies); eggs and larvae (Boys 2016) are under-studied despite high vulnerability.</w:t>
      </w:r>
    </w:p>
    <w:p>
      <w:pPr>
        <w:pStyle w:val="Heading2"/>
      </w:pPr>
      <w:r>
        <w:rPr>
          <w:color w:val="1F4E5F"/>
        </w:rPr>
        <w:t>3.2 Fish size</w:t>
      </w:r>
    </w:p>
    <w:p>
      <w:r>
        <w:t>Larger fish face higher blade-strike probability and mortality (length relative to blade spacing; Amaral 2020, Bevelheimer 2019), while barotrauma scales with swim-bladder physiology and acclimation rather than length. Interpret size mechanism-by-mechanism, not as a single vulnerability axis.</w:t>
      </w:r>
    </w:p>
    <w:p>
      <w:pPr>
        <w:pStyle w:val="Heading2"/>
      </w:pPr>
      <w:r>
        <w:rPr>
          <w:color w:val="1F4E5F"/>
        </w:rPr>
        <w:t>3.3 Structure / turbine type</w:t>
      </w:r>
    </w:p>
    <w:p>
      <w:r>
        <w:t>Kaplan turbines are the most-studied structure (62 studies), then spillways (44), Francis (40) and pumps (38). Field comparisons show conventional Kaplan plants can be most harmful (up to ~83% mortality; Mueller 2022), whereas Very Low Head turbines (Tuononen 2020: only 1.16% of entrained fish killed) and purpose-built fish-friendly runners (Zillig 2025; Watson) are markedly safer. Small, well-bypassed projects can reach 77–97% total passage survival (Amaral 2018). Pumps/pumping stations form a distinct sub-literature where strike and shear dominate over barotrauma (van Esch; Pan; Bierschenk).</w:t>
      </w:r>
    </w:p>
    <w:p>
      <w:pPr>
        <w:pStyle w:val="Heading1"/>
      </w:pPr>
      <w:r>
        <w:rPr>
          <w:color w:val="1F4E5F"/>
        </w:rPr>
        <w:t>4. Methods landscape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Approach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Strength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Blind spot / assumption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Lab (chamber / flume / strike rig)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Clean dose–response for one mechanism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Single-mechanism; assumes acclimation/neutral buoyancy; apparatus ≈ real turbine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Field (mark–recapture, telemetry, Sensor Fish)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Integrates all mechanisms at a real structure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Tag/handling burden (Carlson 2012); immediate vs delayed; representativeness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Numerical (CFD, blade-strike, BioPA)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Maps the full exposure field; compares designs pre-build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Predicts exposure not biology unless coupled to dose–response; idealized geometry</w:t>
            </w:r>
          </w:p>
        </w:tc>
      </w:tr>
    </w:tbl>
    <w:p>
      <w:r>
        <w:t>The integrative frontier couples CFD exposure distributions (pressure, shear, strike) to lab dose–response via BioPA / bio-hill charts (Richmond 2015; Romero-Gomez) and validates against field tests; Tomanova (2023) updated Francis-turbine mortality formulae (peripheral speed, diameter, fish size; r=0.89 vs observed). Sensor Fish and balloon-tag recovery bridge lab and field by measuring the physical exposure live fish experience.</w:t>
      </w:r>
    </w:p>
    <w:p>
      <w:pPr>
        <w:pStyle w:val="Heading1"/>
      </w:pPr>
      <w:r>
        <w:rPr>
          <w:color w:val="1F4E5F"/>
        </w:rPr>
        <w:t>5. Key assumptions &amp; where they are contested</w:t>
      </w:r>
    </w:p>
    <w:p>
      <w:pPr>
        <w:pStyle w:val="ListBullet"/>
      </w:pPr>
      <w:r>
        <w:t>Static Boyle's-law barotrauma vs dynamic decompression — challenged by Kerr (2023).</w:t>
      </w:r>
    </w:p>
    <w:p>
      <w:pPr>
        <w:pStyle w:val="ListBullet"/>
      </w:pPr>
      <w:r>
        <w:t>Neutral buoyancy at acclimation depth — standard, but wild fish at an intake may not be neutrally buoyant, changing RPC (Pflugrath 2012).</w:t>
      </w:r>
    </w:p>
    <w:p>
      <w:pPr>
        <w:pStyle w:val="ListBullet"/>
      </w:pPr>
      <w:r>
        <w:t>Cross-species surrogacy — salmonid thresholds are widely reused but repeatedly shown not to transfer (Saylor 2020; Pflugrath 2018; Zitek 2026).</w:t>
      </w:r>
    </w:p>
    <w:p>
      <w:pPr>
        <w:pStyle w:val="ListBullet"/>
      </w:pPr>
      <w:r>
        <w:t>Physostome tolerance as a rule — true for eel/lamprey, false for cypriniform larvae (Zitek 2026).</w:t>
      </w:r>
    </w:p>
    <w:p>
      <w:pPr>
        <w:pStyle w:val="ListBullet"/>
      </w:pPr>
      <w:r>
        <w:t>Sensor Fish / biomimetic ≈ live fish (Saylor 2021); CFD exposure ≈ biological dose — only via a validated dose–response model.</w:t>
      </w:r>
    </w:p>
    <w:p>
      <w:pPr>
        <w:pStyle w:val="ListBullet"/>
      </w:pPr>
      <w:r>
        <w:t>Immediate ≈ total mortality — delayed (48–96 h) and tag effects can substantially change the number (Carlson 2012).</w:t>
      </w:r>
    </w:p>
    <w:p>
      <w:pPr>
        <w:pStyle w:val="Heading1"/>
      </w:pPr>
      <w:r>
        <w:rPr>
          <w:color w:val="1F4E5F"/>
        </w:rPr>
        <w:t>6. Research gaps &amp; recommendations</w:t>
      </w:r>
    </w:p>
    <w:p>
      <w:pPr>
        <w:pStyle w:val="ListBullet"/>
      </w:pPr>
      <w:r>
        <w:t>Broaden beyond salmonids: eggs/larvae, eels, lamprey, cyprinids and non-temperate species relative to their exposure.</w:t>
      </w:r>
    </w:p>
    <w:p>
      <w:pPr>
        <w:pStyle w:val="ListBullet"/>
      </w:pPr>
      <w:r>
        <w:t>Resolve Boyle's-law vs dynamic barotrauma with rate-varying (not just magnitude-varying) experiments.</w:t>
      </w:r>
    </w:p>
    <w:p>
      <w:pPr>
        <w:pStyle w:val="ListBullet"/>
      </w:pPr>
      <w:r>
        <w:t>Standardise reporting: pair every threshold with metric, units, species, life stage and acclimation depth (the extraction schema enforces this).</w:t>
      </w:r>
    </w:p>
    <w:p>
      <w:pPr>
        <w:pStyle w:val="ListBullet"/>
      </w:pPr>
      <w:r>
        <w:t>Strengthen CFD exposure-to-response coupling and independent field validation of BioPA/bio-hill predictions.</w:t>
      </w:r>
    </w:p>
    <w:p>
      <w:pPr>
        <w:pStyle w:val="ListBullet"/>
      </w:pPr>
      <w:r>
        <w:t>Quantify combined/sequential exposure (strike + shear + barotrauma) rather than single mechanisms.</w:t>
      </w:r>
    </w:p>
    <w:p>
      <w:pPr>
        <w:pStyle w:val="ListBullet"/>
      </w:pPr>
      <w:r>
        <w:t>Expand delayed-mortality and sub-lethal endpoints beyond immediate survival.</w:t>
      </w:r>
    </w:p>
    <w:p>
      <w:pPr>
        <w:pStyle w:val="ListBullet"/>
      </w:pPr>
      <w:r>
        <w:t>Build matched-condition comparisons of novel fish-friendly designs (VLH, screw, shaft, Natel/Alden runners) vs conventional turbines.</w:t>
      </w:r>
    </w:p>
    <w:p/>
    <w:p>
      <w:r>
        <w:rPr>
          <w:i/>
          <w:color w:val="666666"/>
          <w:sz w:val="17"/>
        </w:rPr>
        <w:t>Provenance: figures attributed to a named study above were read from that paper and are marked 'Verified' in the extraction spreadsheet (37 studies). Corpus-level counts come from automated text mining of all 229 PDFs and should be treated as close estimates. Remaining unverified cells in the spreadsheet (Confidence = 'Mined') should be checked before citation.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