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b/>
        </w:rPr>
        <w:t xml:space="preserve">Collision (Blade Strike &amp; Impact) in Downstream Fish Passage</w:t>
      </w:r>
      <w:r>
        <w:br/>
      </w:r>
      <w:r>
        <w:rPr>
          <w:b/>
        </w:rPr>
        <w:t xml:space="preserve">Metrics, Protocols &amp; the Reproducibility of Live-Fish Studies</w:t>
      </w:r>
    </w:p>
    <w:p>
      <w:pPr>
        <w:pStyle w:val="BodyText"/>
      </w:pPr>
      <w:r>
        <w:rPr>
          <w:i/>
        </w:rPr>
        <w:t xml:space="preserve">A state-of-the-art assessment of 47 collision papers (24 live-fish</w:t>
      </w:r>
      <w:r>
        <w:rPr>
          <w:i/>
        </w:rPr>
        <w:t xml:space="preserve"> </w:t>
      </w:r>
      <w:r>
        <w:rPr>
          <w:i/>
        </w:rPr>
        <w:t xml:space="preserve">studies scored)</w:t>
      </w:r>
      <w:r>
        <w:br/>
      </w:r>
      <w:r>
        <w:rPr>
          <w:i/>
        </w:rPr>
        <w:t xml:space="preserve">Companion to the workbook</w:t>
      </w:r>
      <w:r>
        <w:rPr>
          <w:i/>
        </w:rPr>
        <w:t xml:space="preserve"> </w:t>
      </w:r>
      <w:r>
        <w:rPr>
          <w:i/>
        </w:rPr>
        <w:t xml:space="preserve">‘</w:t>
      </w:r>
      <w:r>
        <w:rPr>
          <w:i/>
        </w:rPr>
        <w:t xml:space="preserve">Collision_metrics_reproducibility.xlsx</w:t>
      </w:r>
      <w:r>
        <w:rPr>
          <w:i/>
        </w:rPr>
        <w:t xml:space="preserve">’</w:t>
      </w:r>
    </w:p>
    <w:p>
      <w:pPr>
        <w:pStyle w:val="Heading1"/>
      </w:pPr>
      <w:bookmarkStart w:id="20" w:name="purpose-scope"/>
      <w:r>
        <w:t xml:space="preserve">1. Purpose &amp; scope</w:t>
      </w:r>
      <w:bookmarkEnd w:id="20"/>
    </w:p>
    <w:p>
      <w:pPr>
        <w:pStyle w:val="FirstParagraph"/>
      </w:pPr>
      <w:r>
        <w:t xml:space="preserve">Collision — the direct mechanical impact of a moving blade or a fixed</w:t>
      </w:r>
      <w:r>
        <w:t xml:space="preserve"> </w:t>
      </w:r>
      <w:r>
        <w:t xml:space="preserve">structure on a fish — is, alongside barotrauma, one of the two dominant</w:t>
      </w:r>
      <w:r>
        <w:t xml:space="preserve"> </w:t>
      </w:r>
      <w:r>
        <w:t xml:space="preserve">causes of injury and mortality during downstream passage. This document</w:t>
      </w:r>
      <w:r>
        <w:t xml:space="preserve"> </w:t>
      </w:r>
      <w:r>
        <w:t xml:space="preserve">and its companion workbook catalogue every collision metric in use and</w:t>
      </w:r>
      <w:r>
        <w:t xml:space="preserve"> </w:t>
      </w:r>
      <w:r>
        <w:t xml:space="preserve">how each is calculated, describe the protocols used to generate</w:t>
      </w:r>
      <w:r>
        <w:t xml:space="preserve"> </w:t>
      </w:r>
      <w:r>
        <w:t xml:space="preserve">collision data on live fish, and assess how reproducible that live-fish</w:t>
      </w:r>
      <w:r>
        <w:t xml:space="preserve"> </w:t>
      </w:r>
      <w:r>
        <w:t xml:space="preserve">evidence base is. We then identify the major problems and gaps and</w:t>
      </w:r>
      <w:r>
        <w:t xml:space="preserve"> </w:t>
      </w:r>
      <w:r>
        <w:t xml:space="preserve">propose concrete next steps.</w:t>
      </w:r>
    </w:p>
    <w:p>
      <w:pPr>
        <w:pStyle w:val="BodyText"/>
      </w:pPr>
      <w:r>
        <w:t xml:space="preserve">Definition. We treat</w:t>
      </w:r>
      <w:r>
        <w:t xml:space="preserve"> </w:t>
      </w:r>
      <w:r>
        <w:t xml:space="preserve">‘</w:t>
      </w:r>
      <w:r>
        <w:t xml:space="preserve">collision</w:t>
      </w:r>
      <w:r>
        <w:t xml:space="preserve">’</w:t>
      </w:r>
      <w:r>
        <w:t xml:space="preserve"> </w:t>
      </w:r>
      <w:r>
        <w:t xml:space="preserve">broadly as ANY mechanical</w:t>
      </w:r>
      <w:r>
        <w:t xml:space="preserve"> </w:t>
      </w:r>
      <w:r>
        <w:t xml:space="preserve">impact/contact event during passage: turbine blade strike (the</w:t>
      </w:r>
      <w:r>
        <w:t xml:space="preserve"> </w:t>
      </w:r>
      <w:r>
        <w:t xml:space="preserve">most-studied case), impeller/pump strike, Archimedean-screw and</w:t>
      </w:r>
      <w:r>
        <w:t xml:space="preserve"> </w:t>
      </w:r>
      <w:r>
        <w:t xml:space="preserve">structure contact, wall / draft-tube / plunge-pool impact, and</w:t>
      </w:r>
      <w:r>
        <w:t xml:space="preserve"> </w:t>
      </w:r>
      <w:r>
        <w:t xml:space="preserve">pinch/grinding contact. We cover both SIMULATED collisions (controlled</w:t>
      </w:r>
      <w:r>
        <w:t xml:space="preserve"> </w:t>
      </w:r>
      <w:r>
        <w:t xml:space="preserve">strike rigs) and FIELD-OBSERVED collisions (injuries on fish passed</w:t>
      </w:r>
      <w:r>
        <w:t xml:space="preserve"> </w:t>
      </w:r>
      <w:r>
        <w:t xml:space="preserve">through real structures).</w:t>
      </w:r>
    </w:p>
    <w:p>
      <w:pPr>
        <w:pStyle w:val="BodyText"/>
      </w:pPr>
      <w:r>
        <w:t xml:space="preserve">Scope. All 228 analysed papers were screened for collision relevance</w:t>
      </w:r>
      <w:r>
        <w:t xml:space="preserve"> </w:t>
      </w:r>
      <w:r>
        <w:t xml:space="preserve">(full-text density of blade-strike / strike / collision / impact /</w:t>
      </w:r>
      <w:r>
        <w:t xml:space="preserve"> </w:t>
      </w:r>
      <w:r>
        <w:t xml:space="preserve">leading-edge terms plus title screening); 47 collision-relevant papers</w:t>
      </w:r>
      <w:r>
        <w:t xml:space="preserve"> </w:t>
      </w:r>
      <w:r>
        <w:t xml:space="preserve">were retained. Of these, 25 are live-fish studies — 10 controlled</w:t>
      </w:r>
      <w:r>
        <w:t xml:space="preserve"> </w:t>
      </w:r>
      <w:r>
        <w:t xml:space="preserve">simulated-strike experiments and 15 field-observed passage studies — and</w:t>
      </w:r>
      <w:r>
        <w:t xml:space="preserve"> </w:t>
      </w:r>
      <w:r>
        <w:t xml:space="preserve">these form the reproducibility assessment. The remaining 23</w:t>
      </w:r>
      <w:r>
        <w:t xml:space="preserve"> </w:t>
      </w:r>
      <w:r>
        <w:t xml:space="preserve">(strike-probability / CFD / DEM models, one biomimetic-sensor method,</w:t>
      </w:r>
      <w:r>
        <w:t xml:space="preserve"> </w:t>
      </w:r>
      <w:r>
        <w:t xml:space="preserve">reviews and a guideline) are catalogued for metric coverage but not</w:t>
      </w:r>
      <w:r>
        <w:t xml:space="preserve"> </w:t>
      </w:r>
      <w:r>
        <w:t xml:space="preserve">scored.</w:t>
      </w:r>
    </w:p>
    <w:p>
      <w:pPr>
        <w:pStyle w:val="Heading1"/>
      </w:pPr>
      <w:bookmarkStart w:id="21" w:name="the-collision-evidence-base"/>
      <w:r>
        <w:t xml:space="preserve">2. The collision evidence base</w:t>
      </w:r>
      <w:bookmarkEnd w:id="21"/>
    </w:p>
    <w:tbl>
      <w:tblPr>
        <w:tblStyle w:val="Table"/>
        <w:tblW w:type="pct" w:w="5000.0"/>
        <w:tblLook w:firstRow="1"/>
      </w:tblPr>
      <w:tblGrid>
        <w:gridCol w:w="2658"/>
        <w:gridCol w:w="542"/>
        <w:gridCol w:w="4719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Role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Papers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What it provides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Live-fish SIMULATED (strike rig)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Controlled dose-response between strike velocity/geometry/location and injury/mortality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Live-fish FIELD (real-structure passage)</w:t>
            </w:r>
          </w:p>
        </w:tc>
        <w:tc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t xml:space="preserve">Collision/strike injuries &amp; survival of fish passed through turbines/screws/structures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Modeling (strike-probability, CFD, DEM, particle)</w:t>
            </w:r>
          </w:p>
        </w:tc>
        <w:tc>
          <w:p>
            <w:pPr>
              <w:pStyle w:val="Compact"/>
              <w:jc w:val="left"/>
            </w:pPr>
            <w:r>
              <w:t xml:space="preserve">~17</w:t>
            </w:r>
          </w:p>
        </w:tc>
        <w:tc>
          <w:p>
            <w:pPr>
              <w:pStyle w:val="Compact"/>
              <w:jc w:val="left"/>
            </w:pPr>
            <w:r>
              <w:t xml:space="preserve">Predicted contact likelihood and exposure (no live fish)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Reviews / method / guideline</w:t>
            </w:r>
          </w:p>
        </w:tc>
        <w:tc>
          <w:p>
            <w:pPr>
              <w:pStyle w:val="Compact"/>
              <w:jc w:val="left"/>
            </w:pPr>
            <w:r>
              <w:t xml:space="preserve">~6</w:t>
            </w:r>
          </w:p>
        </w:tc>
        <w:tc>
          <w:p>
            <w:pPr>
              <w:pStyle w:val="Compact"/>
              <w:jc w:val="left"/>
            </w:pPr>
            <w:r>
              <w:t xml:space="preserve">Synthesis of strike mechanisms, leading-edge design, and a VLH guideline</w:t>
            </w:r>
          </w:p>
        </w:tc>
      </w:tr>
    </w:tbl>
    <w:p>
      <w:pPr>
        <w:pStyle w:val="BodyText"/>
      </w:pPr>
      <w:r>
        <w:t xml:space="preserve">Two centres of gravity dominate the live-fish base: the Oak Ridge</w:t>
      </w:r>
      <w:r>
        <w:t xml:space="preserve"> </w:t>
      </w:r>
      <w:r>
        <w:t xml:space="preserve">National Laboratory strike-rig programme (Bevelhimer, Saylor, Pracheil)</w:t>
      </w:r>
      <w:r>
        <w:t xml:space="preserve"> </w:t>
      </w:r>
      <w:r>
        <w:t xml:space="preserve">for controlled simulated strikes, and the Alden Research Laboratory /</w:t>
      </w:r>
      <w:r>
        <w:t xml:space="preserve"> </w:t>
      </w:r>
      <w:r>
        <w:t xml:space="preserve">Natel and European field programmes (Amaral; Mueller/Geist; Normandeau;</w:t>
      </w:r>
      <w:r>
        <w:t xml:space="preserve"> </w:t>
      </w:r>
      <w:r>
        <w:t xml:space="preserve">Pauwels; Knott) for field-observed passage. Strike-probability modelling</w:t>
      </w:r>
      <w:r>
        <w:t xml:space="preserve"> </w:t>
      </w:r>
      <w:r>
        <w:t xml:space="preserve">has a long lineage (Deng, Ploskey, Ferguson) now extended by CFD/DEM</w:t>
      </w:r>
      <w:r>
        <w:t xml:space="preserve"> </w:t>
      </w:r>
      <w:r>
        <w:t xml:space="preserve">particle methods (Richmond; Romero-Gomez).</w:t>
      </w:r>
    </w:p>
    <w:p>
      <w:pPr>
        <w:pStyle w:val="Heading1"/>
      </w:pPr>
      <w:bookmarkStart w:id="22" w:name="X7741f39b0c6a6c23484681338d29a0cabed91c8"/>
      <w:r>
        <w:t xml:space="preserve">3. Collision metrics and how they are calculated</w:t>
      </w:r>
      <w:bookmarkEnd w:id="22"/>
    </w:p>
    <w:p>
      <w:pPr>
        <w:pStyle w:val="FirstParagraph"/>
      </w:pPr>
      <w:r>
        <w:t xml:space="preserve">The workbook’s</w:t>
      </w:r>
      <w:r>
        <w:t xml:space="preserve"> </w:t>
      </w:r>
      <w:r>
        <w:t xml:space="preserve">‘</w:t>
      </w:r>
      <w:r>
        <w:t xml:space="preserve">Metrics catalogue</w:t>
      </w:r>
      <w:r>
        <w:t xml:space="preserve">’</w:t>
      </w:r>
      <w:r>
        <w:t xml:space="preserve"> </w:t>
      </w:r>
      <w:r>
        <w:t xml:space="preserve">gives the full list; the essentials:</w:t>
      </w:r>
    </w:p>
    <w:tbl>
      <w:tblPr>
        <w:tblStyle w:val="Table"/>
        <w:tblW w:type="pct" w:w="5000.0"/>
        <w:tblLook w:firstRow="1"/>
      </w:tblPr>
      <w:tblGrid>
        <w:gridCol w:w="1241"/>
        <w:gridCol w:w="3638"/>
        <w:gridCol w:w="3039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Metric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Calculation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Strike probability</w:t>
            </w:r>
          </w:p>
        </w:tc>
        <w:tc>
          <w:p>
            <w:pPr>
              <w:pStyle w:val="Compact"/>
              <w:jc w:val="left"/>
            </w:pPr>
            <w:r>
              <w:t xml:space="preserve">Geometric/kinematic model: f(fish length, blade number, runner speed, axial velocity)</w:t>
            </w:r>
          </w:p>
        </w:tc>
        <w:tc>
          <w:p>
            <w:pPr>
              <w:pStyle w:val="Compact"/>
              <w:jc w:val="left"/>
            </w:pPr>
            <w:r>
              <w:t xml:space="preserve">Assumes arrival timing &amp; orientation; ignores active avoidance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Strike velocity</w:t>
            </w:r>
          </w:p>
        </w:tc>
        <w:tc>
          <w:p>
            <w:pPr>
              <w:pStyle w:val="Compact"/>
              <w:jc w:val="left"/>
            </w:pPr>
            <w:r>
              <w:t xml:space="preserve">Rig velocity (lab) or blade velocity at strike radius (field/CFD)</w:t>
            </w:r>
          </w:p>
        </w:tc>
        <w:tc>
          <w:p>
            <w:pPr>
              <w:pStyle w:val="Compact"/>
              <w:jc w:val="left"/>
            </w:pPr>
            <w:r>
              <w:t xml:space="preserve">Lab single velocity vs a real runner’s velocity distribution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Blade/leading-edge geometry</w:t>
            </w:r>
          </w:p>
        </w:tc>
        <w:tc>
          <w:p>
            <w:pPr>
              <w:pStyle w:val="Compact"/>
              <w:jc w:val="left"/>
            </w:pPr>
            <w:r>
              <w:t xml:space="preserve">Blade thickness t; length-to-thickness ratio L/t; slant angle</w:t>
            </w:r>
          </w:p>
        </w:tc>
        <w:tc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Blunt/slanted is safer</w:t>
            </w:r>
            <w:r>
              <w:t xml:space="preserve">’</w:t>
            </w:r>
            <w:r>
              <w:t xml:space="preserve"> </w:t>
            </w:r>
            <w:r>
              <w:t xml:space="preserve">holds within tested ranges; location-dependent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Strike location &amp; orientation</w:t>
            </w:r>
          </w:p>
        </w:tc>
        <w:tc>
          <w:p>
            <w:pPr>
              <w:pStyle w:val="Compact"/>
              <w:jc w:val="left"/>
            </w:pPr>
            <w:r>
              <w:t xml:space="preserve">Controlled placement (lab); observed injury region (field)</w:t>
            </w:r>
          </w:p>
        </w:tc>
        <w:tc>
          <w:p>
            <w:pPr>
              <w:pStyle w:val="Compact"/>
              <w:jc w:val="left"/>
            </w:pPr>
            <w:r>
              <w:t xml:space="preserve">head/mid/tail; lateral/dorsal/ventral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Mutilation / strike mortality</w:t>
            </w:r>
          </w:p>
        </w:tc>
        <w:tc>
          <w:p>
            <w:pPr>
              <w:pStyle w:val="Compact"/>
              <w:jc w:val="left"/>
            </w:pPr>
            <w:r>
              <w:t xml:space="preserve">injured-or-dead / exposed, per condition</w:t>
            </w:r>
          </w:p>
        </w:tc>
        <w:tc>
          <w:p>
            <w:pPr>
              <w:pStyle w:val="Compact"/>
              <w:jc w:val="left"/>
            </w:pPr>
            <w:r>
              <w:t xml:space="preserve">Immediate vs delayed; live-vs-euthanized effects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Modeled collision probability</w:t>
            </w:r>
          </w:p>
        </w:tc>
        <w:tc>
          <w:p>
            <w:pPr>
              <w:pStyle w:val="Compact"/>
              <w:jc w:val="left"/>
            </w:pPr>
            <w:r>
              <w:t xml:space="preserve">Lagrangian particle / discrete-element contact count through CFD field</w:t>
            </w:r>
          </w:p>
        </w:tc>
        <w:tc>
          <w:p>
            <w:pPr>
              <w:pStyle w:val="Compact"/>
              <w:jc w:val="left"/>
            </w:pPr>
            <w:r>
              <w:t xml:space="preserve">Particles lack behaviour/size/orientation; little field validation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Strike dose-response</w:t>
            </w:r>
          </w:p>
        </w:tc>
        <w:tc>
          <w:p>
            <w:pPr>
              <w:pStyle w:val="Compact"/>
              <w:jc w:val="left"/>
            </w:pPr>
            <w:r>
              <w:t xml:space="preserve">Logistic P(mortal) ~ strike velocity x length (+ thickness)</w:t>
            </w:r>
          </w:p>
        </w:tc>
        <w:tc>
          <w:p>
            <w:pPr>
              <w:pStyle w:val="Compact"/>
              <w:jc w:val="left"/>
            </w:pPr>
            <w:r>
              <w:t xml:space="preserve">Model form &amp;</w:t>
            </w:r>
            <w:r>
              <w:t xml:space="preserve"> </w:t>
            </w:r>
            <w:r>
              <w:t xml:space="preserve">‘</w:t>
            </w:r>
            <w:r>
              <w:t xml:space="preserve">mortal</w:t>
            </w:r>
            <w:r>
              <w:t xml:space="preserve">’</w:t>
            </w:r>
            <w:r>
              <w:t xml:space="preserve"> </w:t>
            </w:r>
            <w:r>
              <w:t xml:space="preserve">definition vary; weak cross-species transfer</w:t>
            </w:r>
          </w:p>
        </w:tc>
      </w:tr>
    </w:tbl>
    <w:p>
      <w:pPr>
        <w:pStyle w:val="BodyText"/>
      </w:pPr>
      <w:r>
        <w:t xml:space="preserve">Verified quantitative landmarks (sources read directly): blade strike</w:t>
      </w:r>
      <w:r>
        <w:t xml:space="preserve"> </w:t>
      </w:r>
      <w:r>
        <w:t xml:space="preserve">often the primary turbine-kill mechanism, with roughly 3-30% of passing</w:t>
      </w:r>
      <w:r>
        <w:t xml:space="preserve"> </w:t>
      </w:r>
      <w:r>
        <w:t xml:space="preserve">fish killed depending on fish length and turbine design (Amaral &amp; Hecker</w:t>
      </w:r>
      <w:r>
        <w:t xml:space="preserve"> </w:t>
      </w:r>
      <w:r>
        <w:t xml:space="preserve">2011); slanted, blunt leading edges raise survival dramatically — 98% vs</w:t>
      </w:r>
      <w:r>
        <w:t xml:space="preserve"> </w:t>
      </w:r>
      <w:r>
        <w:t xml:space="preserve">26.8% survival at a 30 deg vs 90 deg slant for rainbow trout struck at</w:t>
      </w:r>
      <w:r>
        <w:t xml:space="preserve"> </w:t>
      </w:r>
      <w:r>
        <w:t xml:space="preserve">10 m/s (Amaral 2020); mortality is highest for midbody strikes and</w:t>
      </w:r>
      <w:r>
        <w:t xml:space="preserve"> </w:t>
      </w:r>
      <w:r>
        <w:t xml:space="preserve">lateral orientation, and increases with strike velocity and thinner</w:t>
      </w:r>
      <w:r>
        <w:t xml:space="preserve"> </w:t>
      </w:r>
      <w:r>
        <w:t xml:space="preserve">blades (Bevelhimer 2019); body shape governs vulnerability —</w:t>
      </w:r>
      <w:r>
        <w:t xml:space="preserve"> </w:t>
      </w:r>
      <w:r>
        <w:t xml:space="preserve">anguilliform American eel resist strike whereas laterally-compressed</w:t>
      </w:r>
      <w:r>
        <w:t xml:space="preserve"> </w:t>
      </w:r>
      <w:r>
        <w:t xml:space="preserve">bluegill do not (Saylor 2019); salmonid surrogacy for untested species</w:t>
      </w:r>
      <w:r>
        <w:t xml:space="preserve"> </w:t>
      </w:r>
      <w:r>
        <w:t xml:space="preserve">is unreliable (Saylor 2020); at a Very Low Head turbine only 1.16% of</w:t>
      </w:r>
      <w:r>
        <w:t xml:space="preserve"> </w:t>
      </w:r>
      <w:r>
        <w:t xml:space="preserve">entrained fish were killed by strike (Tuononen 2020); and a novel thick,</w:t>
      </w:r>
      <w:r>
        <w:t xml:space="preserve"> </w:t>
      </w:r>
      <w:r>
        <w:t xml:space="preserve">slanted runner improved white-sturgeon blade-strike survival over a</w:t>
      </w:r>
      <w:r>
        <w:t xml:space="preserve"> </w:t>
      </w:r>
      <w:r>
        <w:t xml:space="preserve">conventional runner (Zillig 2025).</w:t>
      </w:r>
    </w:p>
    <w:p>
      <w:pPr>
        <w:pStyle w:val="Heading1"/>
      </w:pPr>
      <w:bookmarkStart w:id="23" w:name="protocols-used"/>
      <w:r>
        <w:t xml:space="preserve">4. Protocols used</w:t>
      </w:r>
      <w:bookmarkEnd w:id="23"/>
    </w:p>
    <w:p>
      <w:pPr>
        <w:pStyle w:val="Heading2"/>
      </w:pPr>
      <w:bookmarkStart w:id="24" w:name="simulated-strike-laboratory"/>
      <w:r>
        <w:t xml:space="preserve">4.1 Simulated strike (laboratory)</w:t>
      </w:r>
      <w:bookmarkEnd w:id="24"/>
    </w:p>
    <w:p>
      <w:pPr>
        <w:pStyle w:val="FirstParagraph"/>
      </w:pPr>
      <w:r>
        <w:t xml:space="preserve">Live fish are subjected to a single controlled blade strike on a</w:t>
      </w:r>
      <w:r>
        <w:t xml:space="preserve"> </w:t>
      </w:r>
      <w:r>
        <w:t xml:space="preserve">mechanical rig (pneumatic/servo-driven blade analogue) at a set</w:t>
      </w:r>
      <w:r>
        <w:t xml:space="preserve"> </w:t>
      </w:r>
      <w:r>
        <w:t xml:space="preserve">velocity, blade thickness/leading-edge geometry, and strike</w:t>
      </w:r>
      <w:r>
        <w:t xml:space="preserve"> </w:t>
      </w:r>
      <w:r>
        <w:t xml:space="preserve">location/orientation, then held and assessed for injury and delayed</w:t>
      </w:r>
      <w:r>
        <w:t xml:space="preserve"> </w:t>
      </w:r>
      <w:r>
        <w:t xml:space="preserve">mortality. The Oak Ridge programme standardised this design and added a</w:t>
      </w:r>
      <w:r>
        <w:t xml:space="preserve"> </w:t>
      </w:r>
      <w:r>
        <w:t xml:space="preserve">gelatin biomimetic</w:t>
      </w:r>
      <w:r>
        <w:t xml:space="preserve"> </w:t>
      </w:r>
      <w:r>
        <w:t xml:space="preserve">‘</w:t>
      </w:r>
      <w:r>
        <w:t xml:space="preserve">fish</w:t>
      </w:r>
      <w:r>
        <w:t xml:space="preserve">’</w:t>
      </w:r>
      <w:r>
        <w:t xml:space="preserve"> </w:t>
      </w:r>
      <w:r>
        <w:t xml:space="preserve">with an embedded accelerometer to link impact</w:t>
      </w:r>
      <w:r>
        <w:t xml:space="preserve"> </w:t>
      </w:r>
      <w:r>
        <w:t xml:space="preserve">force to live-fish dose-response (Saylor 2021). Leading-edge design</w:t>
      </w:r>
      <w:r>
        <w:t xml:space="preserve"> </w:t>
      </w:r>
      <w:r>
        <w:t xml:space="preserve">studies (Amaral 2011, 2020; Wood 2021) vary blade thickness and slant to</w:t>
      </w:r>
      <w:r>
        <w:t xml:space="preserve"> </w:t>
      </w:r>
      <w:r>
        <w:t xml:space="preserve">quantify survival gains.</w:t>
      </w:r>
    </w:p>
    <w:p>
      <w:pPr>
        <w:pStyle w:val="Heading2"/>
      </w:pPr>
      <w:bookmarkStart w:id="25" w:name="X0d5655f9e9d7263c62047eca6d093530b1e50bd"/>
      <w:r>
        <w:t xml:space="preserve">4.2 Field-observed collision (real-structure passage)</w:t>
      </w:r>
      <w:bookmarkEnd w:id="25"/>
    </w:p>
    <w:p>
      <w:pPr>
        <w:pStyle w:val="FirstParagraph"/>
      </w:pPr>
      <w:r>
        <w:t xml:space="preserve">Live fish are passed through a turbine, pump, or Archimedean screw and</w:t>
      </w:r>
      <w:r>
        <w:t xml:space="preserve"> </w:t>
      </w:r>
      <w:r>
        <w:t xml:space="preserve">recovered (balloon-tag/HI-Z, netting, telemetry), with collision/strike</w:t>
      </w:r>
      <w:r>
        <w:t xml:space="preserve"> </w:t>
      </w:r>
      <w:r>
        <w:t xml:space="preserve">injuries identified among other injuries by external exam, necropsy, or</w:t>
      </w:r>
      <w:r>
        <w:t xml:space="preserve"> </w:t>
      </w:r>
      <w:r>
        <w:t xml:space="preserve">X-ray, against handling/tag (and sometimes live-vs-euthanized) controls.</w:t>
      </w:r>
      <w:r>
        <w:t xml:space="preserve"> </w:t>
      </w:r>
      <w:r>
        <w:t xml:space="preserve">Examples span Kaplan/Francis turbines (Normandeau; Dauble), Archimedean</w:t>
      </w:r>
      <w:r>
        <w:t xml:space="preserve"> </w:t>
      </w:r>
      <w:r>
        <w:t xml:space="preserve">screws (Brackley; Pauwels), compact and novel fish-friendly turbines</w:t>
      </w:r>
      <w:r>
        <w:t xml:space="preserve"> </w:t>
      </w:r>
      <w:r>
        <w:t xml:space="preserve">(Watson; Zillig), VLH turbines (Tuononen), and shaft hydropower (Knott).</w:t>
      </w:r>
    </w:p>
    <w:p>
      <w:pPr>
        <w:pStyle w:val="Heading1"/>
      </w:pPr>
      <w:bookmarkStart w:id="26" w:name="reproducibility-assessment"/>
      <w:r>
        <w:t xml:space="preserve">5. Reproducibility assessment</w:t>
      </w:r>
      <w:bookmarkEnd w:id="26"/>
    </w:p>
    <w:p>
      <w:pPr>
        <w:pStyle w:val="FirstParagraph"/>
      </w:pPr>
      <w:r>
        <w:t xml:space="preserve">Method. Each of the 24 live-fish studies was scored against a 10-element</w:t>
      </w:r>
      <w:r>
        <w:t xml:space="preserve"> </w:t>
      </w:r>
      <w:r>
        <w:t xml:space="preserve">collision reporting checklist (C1-C10; see workbook</w:t>
      </w:r>
      <w:r>
        <w:t xml:space="preserve"> </w:t>
      </w:r>
      <w:r>
        <w:t xml:space="preserve">‘</w:t>
      </w:r>
      <w:r>
        <w:t xml:space="preserve">Legend</w:t>
      </w:r>
      <w:r>
        <w:t xml:space="preserve">’</w:t>
      </w:r>
      <w:r>
        <w:t xml:space="preserve">). Score =</w:t>
      </w:r>
      <w:r>
        <w:t xml:space="preserve"> </w:t>
      </w:r>
      <w:r>
        <w:t xml:space="preserve">reported / 10; tiers High (&gt;=80%), Medium (50-79%), Low (&lt;50%). All</w:t>
      </w:r>
      <w:r>
        <w:t xml:space="preserve"> </w:t>
      </w:r>
      <w:r>
        <w:t xml:space="preserve">ten criteria apply to both simulated and field studies (field studies</w:t>
      </w:r>
      <w:r>
        <w:t xml:space="preserve"> </w:t>
      </w:r>
      <w:r>
        <w:t xml:space="preserve">report turbine/operating conditions in place of rig velocity/geometry).</w:t>
      </w:r>
    </w:p>
    <w:p>
      <w:pPr>
        <w:pStyle w:val="BodyText"/>
      </w:pPr>
      <w:r>
        <w:t xml:space="preserve">Results. Mean reporting completeness was 81% (median 80%) — somewhat</w:t>
      </w:r>
      <w:r>
        <w:t xml:space="preserve"> </w:t>
      </w:r>
      <w:r>
        <w:t xml:space="preserve">higher than for barotrauma (74%). Tiers: 20 High, 4 Medium, 1 Low.</w:t>
      </w:r>
      <w:r>
        <w:t xml:space="preserve"> </w:t>
      </w:r>
      <w:r>
        <w:t xml:space="preserve">Simulated-strike studies (10): 8 High / 2 Medium. Field studies (15): 12</w:t>
      </w:r>
      <w:r>
        <w:t xml:space="preserve"> </w:t>
      </w:r>
      <w:r>
        <w:t xml:space="preserve">High / 2 Medium / 1 Low. Criterion-by-criterion reporting: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Reporting element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Reported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C1 Species + life stage + body size</w:t>
            </w:r>
          </w:p>
        </w:tc>
        <w:tc>
          <w:p>
            <w:pPr>
              <w:pStyle w:val="Compact"/>
              <w:jc w:val="left"/>
            </w:pPr>
            <w:r>
              <w:t xml:space="preserve">96%</w:t>
            </w:r>
          </w:p>
        </w:tc>
        <w:tc>
          <w:p>
            <w:pPr>
              <w:pStyle w:val="Compact"/>
              <w:jc w:val="left"/>
            </w:pPr>
            <w:r>
              <w:t xml:space="preserve">Strong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C3 Strike velocity / operating condition</w:t>
            </w:r>
          </w:p>
        </w:tc>
        <w:tc>
          <w:p>
            <w:pPr>
              <w:pStyle w:val="Compact"/>
              <w:jc w:val="left"/>
            </w:pPr>
            <w:r>
              <w:t xml:space="preserve">96%</w:t>
            </w:r>
          </w:p>
        </w:tc>
        <w:tc>
          <w:p>
            <w:pPr>
              <w:pStyle w:val="Compact"/>
              <w:jc w:val="left"/>
            </w:pPr>
            <w:r>
              <w:t xml:space="preserve">Strong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C4 Impactor geometry / structure</w:t>
            </w:r>
          </w:p>
        </w:tc>
        <w:tc>
          <w:p>
            <w:pPr>
              <w:pStyle w:val="Compact"/>
              <w:jc w:val="left"/>
            </w:pPr>
            <w:r>
              <w:t xml:space="preserve">96%</w:t>
            </w:r>
          </w:p>
        </w:tc>
        <w:tc>
          <w:p>
            <w:pPr>
              <w:pStyle w:val="Compact"/>
              <w:jc w:val="left"/>
            </w:pPr>
            <w:r>
              <w:t xml:space="preserve">Strong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C5 Strike location / orientation</w:t>
            </w:r>
          </w:p>
        </w:tc>
        <w:tc>
          <w:p>
            <w:pPr>
              <w:pStyle w:val="Compact"/>
              <w:jc w:val="left"/>
            </w:pPr>
            <w:r>
              <w:t xml:space="preserve">88%</w:t>
            </w:r>
          </w:p>
        </w:tc>
        <w:tc>
          <w:p>
            <w:pPr>
              <w:pStyle w:val="Compact"/>
              <w:jc w:val="left"/>
            </w:pPr>
            <w:r>
              <w:t xml:space="preserve">Strong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C8 Holding / recovery &amp; delayed mortality</w:t>
            </w:r>
          </w:p>
        </w:tc>
        <w:tc>
          <w:p>
            <w:pPr>
              <w:pStyle w:val="Compact"/>
              <w:jc w:val="left"/>
            </w:pPr>
            <w:r>
              <w:t xml:space="preserve">84%</w:t>
            </w:r>
          </w:p>
        </w:tc>
        <w:tc>
          <w:p>
            <w:pPr>
              <w:pStyle w:val="Compact"/>
              <w:jc w:val="left"/>
            </w:pPr>
            <w:r>
              <w:t xml:space="preserve">Strong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C9 Controls (handling/tag; live-vs-euthanized)</w:t>
            </w:r>
          </w:p>
        </w:tc>
        <w:tc>
          <w:p>
            <w:pPr>
              <w:pStyle w:val="Compact"/>
              <w:jc w:val="left"/>
            </w:pPr>
            <w:r>
              <w:t xml:space="preserve">84%</w:t>
            </w:r>
          </w:p>
        </w:tc>
        <w:tc>
          <w:p>
            <w:pPr>
              <w:pStyle w:val="Compact"/>
              <w:jc w:val="left"/>
            </w:pPr>
            <w:r>
              <w:t xml:space="preserve">Strong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C2 Sample size (n) per treatment</w:t>
            </w:r>
          </w:p>
        </w:tc>
        <w:tc>
          <w:p>
            <w:pPr>
              <w:pStyle w:val="Compact"/>
              <w:jc w:val="left"/>
            </w:pPr>
            <w:r>
              <w:t xml:space="preserve">80%</w:t>
            </w:r>
          </w:p>
        </w:tc>
        <w:tc>
          <w:p>
            <w:pPr>
              <w:pStyle w:val="Compact"/>
              <w:jc w:val="left"/>
            </w:pPr>
            <w:r>
              <w:t xml:space="preserve">Adequate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C7 Injury-scoring protocol</w:t>
            </w:r>
          </w:p>
        </w:tc>
        <w:tc>
          <w:p>
            <w:pPr>
              <w:pStyle w:val="Compact"/>
              <w:jc w:val="left"/>
            </w:pPr>
            <w:r>
              <w:t xml:space="preserve">64%</w:t>
            </w:r>
          </w:p>
        </w:tc>
        <w:tc>
          <w:p>
            <w:pPr>
              <w:pStyle w:val="Compact"/>
              <w:jc w:val="left"/>
            </w:pPr>
            <w:r>
              <w:t xml:space="preserve">Gap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C10 Statistical / dose-response model</w:t>
            </w:r>
          </w:p>
        </w:tc>
        <w:tc>
          <w:p>
            <w:pPr>
              <w:pStyle w:val="Compact"/>
              <w:jc w:val="left"/>
            </w:pPr>
            <w:r>
              <w:t xml:space="preserve">64%</w:t>
            </w:r>
          </w:p>
        </w:tc>
        <w:tc>
          <w:p>
            <w:pPr>
              <w:pStyle w:val="Compact"/>
              <w:jc w:val="left"/>
            </w:pPr>
            <w:r>
              <w:t xml:space="preserve">Gap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C6 Collision metric explicitly defined</w:t>
            </w:r>
          </w:p>
        </w:tc>
        <w:tc>
          <w:p>
            <w:pPr>
              <w:pStyle w:val="Compact"/>
              <w:jc w:val="left"/>
            </w:pPr>
            <w:r>
              <w:t xml:space="preserve">60%</w:t>
            </w:r>
          </w:p>
        </w:tc>
        <w:tc>
          <w:p>
            <w:pPr>
              <w:pStyle w:val="Compact"/>
              <w:jc w:val="left"/>
            </w:pPr>
            <w:r>
              <w:t xml:space="preserve">Major gap</w:t>
            </w:r>
          </w:p>
        </w:tc>
      </w:tr>
    </w:tbl>
    <w:p>
      <w:pPr>
        <w:pStyle w:val="BodyText"/>
      </w:pPr>
      <w:r>
        <w:t xml:space="preserve">Collision studies report the physical strike conditions (velocity,</w:t>
      </w:r>
      <w:r>
        <w:t xml:space="preserve"> </w:t>
      </w:r>
      <w:r>
        <w:t xml:space="preserve">geometry, location) well, but four in ten do not explicitly define a</w:t>
      </w:r>
      <w:r>
        <w:t xml:space="preserve"> </w:t>
      </w:r>
      <w:r>
        <w:t xml:space="preserve">collision metric, and a third under-report the injury-scoring protocol</w:t>
      </w:r>
      <w:r>
        <w:t xml:space="preserve"> </w:t>
      </w:r>
      <w:r>
        <w:t xml:space="preserve">and the statistical model — limiting cross-study synthesis.</w:t>
      </w:r>
    </w:p>
    <w:p>
      <w:pPr>
        <w:pStyle w:val="Heading1"/>
      </w:pPr>
      <w:bookmarkStart w:id="27" w:name="major-problems-gaps"/>
      <w:r>
        <w:t xml:space="preserve">6. Major problems &amp; gaps</w:t>
      </w:r>
      <w:bookmarkEnd w:id="27"/>
    </w:p>
    <w:p>
      <w:pPr>
        <w:numPr>
          <w:ilvl w:val="0"/>
          <w:numId w:val="1001"/>
        </w:numPr>
      </w:pPr>
      <w:r>
        <w:t xml:space="preserve">Collision metric is often implicit. Only 60% explicitly define a</w:t>
      </w:r>
      <w:r>
        <w:t xml:space="preserve"> </w:t>
      </w:r>
      <w:r>
        <w:t xml:space="preserve">metric (strike probability, L/t, strike-velocity threshold,</w:t>
      </w:r>
      <w:r>
        <w:t xml:space="preserve"> </w:t>
      </w:r>
      <w:r>
        <w:t xml:space="preserve">mutilation index), so</w:t>
      </w:r>
      <w:r>
        <w:t xml:space="preserve"> </w:t>
      </w:r>
      <w:r>
        <w:t xml:space="preserve">‘</w:t>
      </w:r>
      <w:r>
        <w:t xml:space="preserve">strike injury</w:t>
      </w:r>
      <w:r>
        <w:t xml:space="preserve">’</w:t>
      </w:r>
      <w:r>
        <w:t xml:space="preserve"> </w:t>
      </w:r>
      <w:r>
        <w:t xml:space="preserve">is reported in incomparable</w:t>
      </w:r>
      <w:r>
        <w:t xml:space="preserve"> </w:t>
      </w:r>
      <w:r>
        <w:t xml:space="preserve">ways across studies.</w:t>
      </w:r>
    </w:p>
    <w:p>
      <w:pPr>
        <w:numPr>
          <w:ilvl w:val="0"/>
          <w:numId w:val="1001"/>
        </w:numPr>
      </w:pPr>
      <w:r>
        <w:t xml:space="preserve">No standardized injury taxonomy or strike-location scheme. Injury</w:t>
      </w:r>
      <w:r>
        <w:t xml:space="preserve"> </w:t>
      </w:r>
      <w:r>
        <w:t xml:space="preserve">scoring (C7, 64%) and body-region/orientation conventions differ</w:t>
      </w:r>
      <w:r>
        <w:t xml:space="preserve"> </w:t>
      </w:r>
      <w:r>
        <w:t xml:space="preserve">between labs, so</w:t>
      </w:r>
      <w:r>
        <w:t xml:space="preserve"> </w:t>
      </w:r>
      <w:r>
        <w:t xml:space="preserve">‘</w:t>
      </w:r>
      <w:r>
        <w:t xml:space="preserve">mortal strike</w:t>
      </w:r>
      <w:r>
        <w:t xml:space="preserve">’</w:t>
      </w:r>
      <w:r>
        <w:t xml:space="preserve"> </w:t>
      </w:r>
      <w:r>
        <w:t xml:space="preserve">is not comparable.</w:t>
      </w:r>
    </w:p>
    <w:p>
      <w:pPr>
        <w:numPr>
          <w:ilvl w:val="0"/>
          <w:numId w:val="1001"/>
        </w:numPr>
      </w:pPr>
      <w:r>
        <w:t xml:space="preserve">Lab single-velocity strikes vs real velocity distributions. Rigs</w:t>
      </w:r>
      <w:r>
        <w:t xml:space="preserve"> </w:t>
      </w:r>
      <w:r>
        <w:t xml:space="preserve">deliver one controlled strike; a real runner imposes a distribution</w:t>
      </w:r>
      <w:r>
        <w:t xml:space="preserve"> </w:t>
      </w:r>
      <w:r>
        <w:t xml:space="preserve">of velocities, locations and probabilities. Few studies bridge rig</w:t>
      </w:r>
      <w:r>
        <w:t xml:space="preserve"> </w:t>
      </w:r>
      <w:r>
        <w:t xml:space="preserve">dose-response to in-turbine strike-probability distributions.</w:t>
      </w:r>
    </w:p>
    <w:p>
      <w:pPr>
        <w:numPr>
          <w:ilvl w:val="0"/>
          <w:numId w:val="1001"/>
        </w:numPr>
      </w:pPr>
      <w:r>
        <w:t xml:space="preserve">Strike-probability models rest on strong, rarely-validated</w:t>
      </w:r>
      <w:r>
        <w:t xml:space="preserve"> </w:t>
      </w:r>
      <w:r>
        <w:t xml:space="preserve">assumptions. Random arrival/orientation and no active avoidance are</w:t>
      </w:r>
      <w:r>
        <w:t xml:space="preserve"> </w:t>
      </w:r>
      <w:r>
        <w:t xml:space="preserve">standard; CFD/DEM particle models add geometric realism but treat</w:t>
      </w:r>
      <w:r>
        <w:t xml:space="preserve"> </w:t>
      </w:r>
      <w:r>
        <w:t xml:space="preserve">fish as inert particles with little field validation.</w:t>
      </w:r>
    </w:p>
    <w:p>
      <w:pPr>
        <w:numPr>
          <w:ilvl w:val="0"/>
          <w:numId w:val="1001"/>
        </w:numPr>
      </w:pPr>
      <w:r>
        <w:t xml:space="preserve">Surrogacy and morphology are under-controlled. Body shape and length</w:t>
      </w:r>
      <w:r>
        <w:t xml:space="preserve"> </w:t>
      </w:r>
      <w:r>
        <w:t xml:space="preserve">drive strike outcome, yet salmonid surrogates are widely reused for</w:t>
      </w:r>
      <w:r>
        <w:t xml:space="preserve"> </w:t>
      </w:r>
      <w:r>
        <w:t xml:space="preserve">untested, differently-shaped species (Saylor 2020; Saylor 2019).</w:t>
      </w:r>
    </w:p>
    <w:p>
      <w:pPr>
        <w:numPr>
          <w:ilvl w:val="0"/>
          <w:numId w:val="1001"/>
        </w:numPr>
      </w:pPr>
      <w:r>
        <w:t xml:space="preserve">Field studies cannot isolate collision. Field injuries blend strike</w:t>
      </w:r>
      <w:r>
        <w:t xml:space="preserve"> </w:t>
      </w:r>
      <w:r>
        <w:t xml:space="preserve">with barotrauma, shear and grinding; without paired exposure data,</w:t>
      </w:r>
      <w:r>
        <w:t xml:space="preserve"> </w:t>
      </w:r>
      <w:r>
        <w:t xml:space="preserve">the collision-specific signal is uncertain.</w:t>
      </w:r>
    </w:p>
    <w:p>
      <w:pPr>
        <w:numPr>
          <w:ilvl w:val="0"/>
          <w:numId w:val="1001"/>
        </w:numPr>
      </w:pPr>
      <w:r>
        <w:t xml:space="preserve">Statistics/dose-response under-reported (64%), and</w:t>
      </w:r>
      <w:r>
        <w:t xml:space="preserve"> </w:t>
      </w:r>
      <w:r>
        <w:t xml:space="preserve">immediate-vs-delayed mortality and live-vs-euthanized handling are</w:t>
      </w:r>
      <w:r>
        <w:t xml:space="preserve"> </w:t>
      </w:r>
      <w:r>
        <w:t xml:space="preserve">treated unevenly (Brackley 2018 shows euthanized fish can misstate</w:t>
      </w:r>
      <w:r>
        <w:t xml:space="preserve"> </w:t>
      </w:r>
      <w:r>
        <w:t xml:space="preserve">live outcomes).</w:t>
      </w:r>
    </w:p>
    <w:p>
      <w:pPr>
        <w:numPr>
          <w:ilvl w:val="0"/>
          <w:numId w:val="1001"/>
        </w:numPr>
      </w:pPr>
      <w:r>
        <w:t xml:space="preserve">Non-turbine and non-blade collisions are thin. Impeller, screw,</w:t>
      </w:r>
      <w:r>
        <w:t xml:space="preserve"> </w:t>
      </w:r>
      <w:r>
        <w:t xml:space="preserve">wall/draft-tube and plunge-pool impacts are far less studied than</w:t>
      </w:r>
      <w:r>
        <w:t xml:space="preserve"> </w:t>
      </w:r>
      <w:r>
        <w:t xml:space="preserve">Kaplan/Francis blade strike.</w:t>
      </w:r>
    </w:p>
    <w:p>
      <w:pPr>
        <w:pStyle w:val="Heading1"/>
      </w:pPr>
      <w:bookmarkStart w:id="28" w:name="Xd0ffa04f17e5106c334bb2e4c93c1dee418cf2b"/>
      <w:r>
        <w:t xml:space="preserve">7. Recommendations &amp; next steps for the community</w:t>
      </w:r>
      <w:bookmarkEnd w:id="28"/>
    </w:p>
    <w:p>
      <w:pPr>
        <w:pStyle w:val="Heading2"/>
      </w:pPr>
      <w:bookmarkStart w:id="29" w:name="X04d0723ea86f0eab638d884717e0937204720b4"/>
      <w:r>
        <w:t xml:space="preserve">7.1 Adopt a minimum reporting standard for collision studies</w:t>
      </w:r>
      <w:bookmarkEnd w:id="29"/>
    </w:p>
    <w:tbl>
      <w:tblPr>
        <w:tblStyle w:val="Table"/>
        <w:tblW w:type="pct" w:w="5000.0"/>
        <w:tblLook w:firstRow="1"/>
      </w:tblPr>
      <w:tblGrid>
        <w:gridCol w:w="274"/>
        <w:gridCol w:w="5081"/>
        <w:gridCol w:w="2563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Required element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Why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Species, life stage, and body size (length &amp; mass, ranges)</w:t>
            </w:r>
          </w:p>
        </w:tc>
        <w:tc>
          <w:p>
            <w:pPr>
              <w:pStyle w:val="Compact"/>
              <w:jc w:val="left"/>
            </w:pPr>
            <w:r>
              <w:t xml:space="preserve">Length &amp; body shape drive strike probability and outcome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Strike/impact velocity (lab) or runner speed + operating point (field), with the strike radius</w:t>
            </w:r>
          </w:p>
        </w:tc>
        <w:tc>
          <w:p>
            <w:pPr>
              <w:pStyle w:val="Compact"/>
              <w:jc w:val="left"/>
            </w:pPr>
            <w:r>
              <w:t xml:space="preserve">Velocity is the primary dose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Impactor geometry: blade thickness, leading-edge shape/slant (lab) or runner type/diameter/blade number (field)</w:t>
            </w:r>
          </w:p>
        </w:tc>
        <w:tc>
          <w:p>
            <w:pPr>
              <w:pStyle w:val="Compact"/>
              <w:jc w:val="left"/>
            </w:pPr>
            <w:r>
              <w:t xml:space="preserve">Geometry governs injury at a given velocity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Strike location AND orientation (controlled or observed), by a defined body-region scheme</w:t>
            </w:r>
          </w:p>
        </w:tc>
        <w:tc>
          <w:p>
            <w:pPr>
              <w:pStyle w:val="Compact"/>
              <w:jc w:val="left"/>
            </w:pPr>
            <w:r>
              <w:t xml:space="preserve">Outcome is location-dependent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Explicit collision metric with formula (e.g. strike probability; L/t; mutilation index)</w:t>
            </w:r>
          </w:p>
        </w:tc>
        <w:tc>
          <w:p>
            <w:pPr>
              <w:pStyle w:val="Compact"/>
              <w:jc w:val="left"/>
            </w:pPr>
            <w:r>
              <w:t xml:space="preserve">Ends incomparable reporting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Standard injury taxonomy + scoring method (necropsy/X-ray/observation), with observer blinding</w:t>
            </w:r>
          </w:p>
        </w:tc>
        <w:tc>
          <w:p>
            <w:pPr>
              <w:pStyle w:val="Compact"/>
              <w:jc w:val="left"/>
            </w:pPr>
            <w:r>
              <w:t xml:space="preserve">Comparable injury data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Sample size per treatment and the full treatment matrix</w:t>
            </w:r>
          </w:p>
        </w:tc>
        <w:tc>
          <w:p>
            <w:pPr>
              <w:pStyle w:val="Compact"/>
              <w:jc w:val="left"/>
            </w:pPr>
            <w:r>
              <w:t xml:space="preserve">Power and re-analysis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Holding/recovery conditions and delayed-mortality window (e.g. 48-96 h)</w:t>
            </w:r>
          </w:p>
        </w:tc>
        <w:tc>
          <w:p>
            <w:pPr>
              <w:pStyle w:val="Compact"/>
              <w:jc w:val="left"/>
            </w:pPr>
            <w:r>
              <w:t xml:space="preserve">Separates immediate from latent mortality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Controls: handling/tag/sham AND, where relevant, live-vs-euthanized</w:t>
            </w:r>
          </w:p>
        </w:tc>
        <w:tc>
          <w:p>
            <w:pPr>
              <w:pStyle w:val="Compact"/>
              <w:jc w:val="left"/>
            </w:pPr>
            <w:r>
              <w:t xml:space="preserve">Removes confounds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Statistical model / dose-response form, with open data and code</w:t>
            </w:r>
          </w:p>
        </w:tc>
        <w:tc>
          <w:p>
            <w:pPr>
              <w:pStyle w:val="Compact"/>
              <w:jc w:val="left"/>
            </w:pPr>
            <w:r>
              <w:t xml:space="preserve">Reproducible inference</w:t>
            </w:r>
          </w:p>
        </w:tc>
      </w:tr>
    </w:tbl>
    <w:p>
      <w:pPr>
        <w:pStyle w:val="Heading2"/>
      </w:pPr>
      <w:bookmarkStart w:id="30" w:name="standardize-the-core-conventions"/>
      <w:r>
        <w:t xml:space="preserve">7.2 Standardize the core conventions</w:t>
      </w:r>
      <w:bookmarkEnd w:id="30"/>
    </w:p>
    <w:p>
      <w:pPr>
        <w:numPr>
          <w:ilvl w:val="0"/>
          <w:numId w:val="1002"/>
        </w:numPr>
      </w:pPr>
      <w:r>
        <w:t xml:space="preserve">Agree a common strike-injury taxonomy and a body-region/orientation</w:t>
      </w:r>
      <w:r>
        <w:t xml:space="preserve"> </w:t>
      </w:r>
      <w:r>
        <w:t xml:space="preserve">scheme shared with the barotrauma injury catalogue.</w:t>
      </w:r>
    </w:p>
    <w:p>
      <w:pPr>
        <w:numPr>
          <w:ilvl w:val="0"/>
          <w:numId w:val="1002"/>
        </w:numPr>
      </w:pPr>
      <w:r>
        <w:t xml:space="preserve">Report strike VELOCITY DISTRIBUTIONS (and strike probability), not</w:t>
      </w:r>
      <w:r>
        <w:t xml:space="preserve"> </w:t>
      </w:r>
      <w:r>
        <w:t xml:space="preserve">just a single rig velocity, so lab dose-response maps onto real</w:t>
      </w:r>
      <w:r>
        <w:t xml:space="preserve"> </w:t>
      </w:r>
      <w:r>
        <w:t xml:space="preserve">runners.</w:t>
      </w:r>
    </w:p>
    <w:p>
      <w:pPr>
        <w:numPr>
          <w:ilvl w:val="0"/>
          <w:numId w:val="1002"/>
        </w:numPr>
      </w:pPr>
      <w:r>
        <w:t xml:space="preserve">Define strike probability consistently and state its assumptions</w:t>
      </w:r>
      <w:r>
        <w:t xml:space="preserve"> </w:t>
      </w:r>
      <w:r>
        <w:t xml:space="preserve">(arrival, orientation, avoidance).</w:t>
      </w:r>
    </w:p>
    <w:p>
      <w:pPr>
        <w:pStyle w:val="Heading2"/>
      </w:pPr>
      <w:bookmarkStart w:id="31" w:name="close-the-evidence-gaps"/>
      <w:r>
        <w:t xml:space="preserve">7.3 Close the evidence gaps</w:t>
      </w:r>
      <w:bookmarkEnd w:id="31"/>
    </w:p>
    <w:p>
      <w:pPr>
        <w:numPr>
          <w:ilvl w:val="0"/>
          <w:numId w:val="1003"/>
        </w:numPr>
      </w:pPr>
      <w:r>
        <w:t xml:space="preserve">Couple rig dose-response to CFD/DEM strike-probability distributions</w:t>
      </w:r>
      <w:r>
        <w:t xml:space="preserve"> </w:t>
      </w:r>
      <w:r>
        <w:t xml:space="preserve">and validate against field passage at matched conditions.</w:t>
      </w:r>
    </w:p>
    <w:p>
      <w:pPr>
        <w:numPr>
          <w:ilvl w:val="0"/>
          <w:numId w:val="1003"/>
        </w:numPr>
      </w:pPr>
      <w:r>
        <w:t xml:space="preserve">Test morphologically diverse, non-salmonid and non-temperate</w:t>
      </w:r>
      <w:r>
        <w:t xml:space="preserve"> </w:t>
      </w:r>
      <w:r>
        <w:t xml:space="preserve">species; quantify the body-shape effect rather than assuming</w:t>
      </w:r>
      <w:r>
        <w:t xml:space="preserve"> </w:t>
      </w:r>
      <w:r>
        <w:t xml:space="preserve">surrogacy.</w:t>
      </w:r>
    </w:p>
    <w:p>
      <w:pPr>
        <w:numPr>
          <w:ilvl w:val="0"/>
          <w:numId w:val="1003"/>
        </w:numPr>
      </w:pPr>
      <w:r>
        <w:t xml:space="preserve">Extend beyond Kaplan/Francis blade strike to impeller,</w:t>
      </w:r>
      <w:r>
        <w:t xml:space="preserve"> </w:t>
      </w:r>
      <w:r>
        <w:t xml:space="preserve">Archimedean-screw, structure and plunge-pool impacts.</w:t>
      </w:r>
    </w:p>
    <w:p>
      <w:pPr>
        <w:numPr>
          <w:ilvl w:val="0"/>
          <w:numId w:val="1003"/>
        </w:numPr>
      </w:pPr>
      <w:r>
        <w:t xml:space="preserve">Move particle/DEM models toward behaviourally-informed fish</w:t>
      </w:r>
      <w:r>
        <w:t xml:space="preserve"> </w:t>
      </w:r>
      <w:r>
        <w:t xml:space="preserve">representations, and report validation against live-fish strike</w:t>
      </w:r>
      <w:r>
        <w:t xml:space="preserve"> </w:t>
      </w:r>
      <w:r>
        <w:t xml:space="preserve">data.</w:t>
      </w:r>
    </w:p>
    <w:p>
      <w:pPr>
        <w:numPr>
          <w:ilvl w:val="0"/>
          <w:numId w:val="1003"/>
        </w:numPr>
      </w:pPr>
      <w:r>
        <w:t xml:space="preserve">Standardize live-vs-euthanized and tag-control practice, and always</w:t>
      </w:r>
      <w:r>
        <w:t xml:space="preserve"> </w:t>
      </w:r>
      <w:r>
        <w:t xml:space="preserve">report delayed mortality.</w:t>
      </w:r>
    </w:p>
    <w:p>
      <w:pPr>
        <w:pStyle w:val="FirstParagraph"/>
      </w:pPr>
      <w:r>
        <w:rPr>
          <w:i/>
        </w:rPr>
        <w:t xml:space="preserve">Method note: the 48-paper collision set and per-criterion scores were</w:t>
      </w:r>
      <w:r>
        <w:rPr>
          <w:i/>
        </w:rPr>
        <w:t xml:space="preserve"> </w:t>
      </w:r>
      <w:r>
        <w:rPr>
          <w:i/>
        </w:rPr>
        <w:t xml:space="preserve">produced by full-text screening and automated detection of reporting</w:t>
      </w:r>
      <w:r>
        <w:rPr>
          <w:i/>
        </w:rPr>
        <w:t xml:space="preserve"> </w:t>
      </w:r>
      <w:r>
        <w:rPr>
          <w:i/>
        </w:rPr>
        <w:t xml:space="preserve">elements, then reviewed. Quantitative landmarks attributed to a named</w:t>
      </w:r>
      <w:r>
        <w:rPr>
          <w:i/>
        </w:rPr>
        <w:t xml:space="preserve"> </w:t>
      </w:r>
      <w:r>
        <w:rPr>
          <w:i/>
        </w:rPr>
        <w:t xml:space="preserve">study were read from that source. Reproducibility tiers index reporting</w:t>
      </w:r>
      <w:r>
        <w:rPr>
          <w:i/>
        </w:rPr>
        <w:t xml:space="preserve"> </w:t>
      </w:r>
      <w:r>
        <w:rPr>
          <w:i/>
        </w:rPr>
        <w:t xml:space="preserve">completeness, not scientific quality; Low/Medium ratings should prompt a</w:t>
      </w:r>
      <w:r>
        <w:rPr>
          <w:i/>
        </w:rPr>
        <w:t xml:space="preserve"> </w:t>
      </w:r>
      <w:r>
        <w:rPr>
          <w:i/>
        </w:rPr>
        <w:t xml:space="preserve">look at the paper (extraction gaps can miss reported items in older or</w:t>
      </w:r>
      <w:r>
        <w:rPr>
          <w:i/>
        </w:rPr>
        <w:t xml:space="preserve"> </w:t>
      </w:r>
      <w:r>
        <w:rPr>
          <w:i/>
        </w:rPr>
        <w:t xml:space="preserve">non-English papers).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2026-06-30T04:55:23Z</dcterms:created>
  <dcterms:modified xsi:type="dcterms:W3CDTF">2026-06-30T04:55:23Z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