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7D" w:rsidRDefault="00DF717D" w:rsidP="00DF717D">
      <w:pPr>
        <w:jc w:val="right"/>
      </w:pPr>
    </w:p>
    <w:p w:rsidR="00EF5DC4" w:rsidRPr="00442263" w:rsidRDefault="002610ED" w:rsidP="0044226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 Sheet </w:t>
      </w:r>
      <w:r w:rsidR="00B47EE3">
        <w:rPr>
          <w:sz w:val="32"/>
          <w:szCs w:val="32"/>
        </w:rPr>
        <w:t>4</w:t>
      </w:r>
      <w:r w:rsidR="00035803">
        <w:rPr>
          <w:sz w:val="32"/>
          <w:szCs w:val="32"/>
        </w:rPr>
        <w:t xml:space="preserve"> Solutions</w:t>
      </w:r>
    </w:p>
    <w:p w:rsidR="00EF5DC4" w:rsidRDefault="00EF5DC4" w:rsidP="00BB209F">
      <w:pPr>
        <w:spacing w:line="360" w:lineRule="auto"/>
      </w:pPr>
    </w:p>
    <w:p w:rsidR="00442263" w:rsidRDefault="00442263" w:rsidP="00442263"/>
    <w:p w:rsidR="00525C67" w:rsidRDefault="00525C67" w:rsidP="00C04EE0">
      <w:pPr>
        <w:pStyle w:val="ListParagraph"/>
        <w:numPr>
          <w:ilvl w:val="0"/>
          <w:numId w:val="39"/>
        </w:numPr>
        <w:spacing w:line="360" w:lineRule="auto"/>
        <w:ind w:left="0" w:hanging="426"/>
      </w:pPr>
      <w:r>
        <w:t xml:space="preserve">The following exercise is an example of a two-way ANOVA with a significant interaction where it </w:t>
      </w:r>
      <w:r w:rsidR="00975B62">
        <w:t>does make</w:t>
      </w:r>
      <w:r>
        <w:t xml:space="preserve"> sense to interpret the main effects directly.</w:t>
      </w:r>
    </w:p>
    <w:p w:rsidR="00525C67" w:rsidRDefault="00525C67" w:rsidP="00525C67">
      <w:pPr>
        <w:pStyle w:val="ListParagraph"/>
        <w:spacing w:line="360" w:lineRule="auto"/>
        <w:ind w:left="0"/>
      </w:pPr>
      <w:r>
        <w:t xml:space="preserve">A researcher wanted to investigate the effects of regular exercise </w:t>
      </w:r>
      <w:r w:rsidR="00024346">
        <w:t xml:space="preserve">and gender on heart rate. The factor </w:t>
      </w:r>
      <w:r w:rsidR="00024346" w:rsidRPr="00024346">
        <w:rPr>
          <w:rFonts w:ascii="Courier New" w:hAnsi="Courier New" w:cs="Courier New"/>
        </w:rPr>
        <w:t>Exercise</w:t>
      </w:r>
      <w:r w:rsidR="00024346">
        <w:t xml:space="preserve"> has two levels, ‘Control’ and ‘R</w:t>
      </w:r>
      <w:r w:rsidR="004F2F0C">
        <w:t>unners</w:t>
      </w:r>
      <w:r w:rsidR="00024346">
        <w:t xml:space="preserve">’ indicating whether an individual participates in regular exercise. </w:t>
      </w:r>
      <w:r>
        <w:t xml:space="preserve">The </w:t>
      </w:r>
      <w:r w:rsidR="00024346">
        <w:t xml:space="preserve">factor </w:t>
      </w:r>
      <w:r w:rsidR="00024346" w:rsidRPr="00024346">
        <w:rPr>
          <w:rFonts w:ascii="Courier New" w:hAnsi="Courier New" w:cs="Courier New"/>
        </w:rPr>
        <w:t>Gender</w:t>
      </w:r>
      <w:r w:rsidR="00024346">
        <w:t xml:space="preserve"> has two levels ‘Male’ and ‘Female’. H</w:t>
      </w:r>
      <w:r>
        <w:t>eart rates (in beats per minute) were recorded during aerobic activity</w:t>
      </w:r>
      <w:r w:rsidRPr="00525C67">
        <w:t xml:space="preserve"> </w:t>
      </w:r>
      <w:r w:rsidR="00024346">
        <w:t xml:space="preserve">for 200 participants in each treatment group. </w:t>
      </w:r>
    </w:p>
    <w:p w:rsidR="00024346" w:rsidRDefault="00024346" w:rsidP="00024346">
      <w:pPr>
        <w:pStyle w:val="ListParagraph"/>
        <w:spacing w:line="360" w:lineRule="auto"/>
        <w:ind w:left="0"/>
      </w:pPr>
      <w:r>
        <w:t xml:space="preserve">After the preliminary data analysis, a </w:t>
      </w:r>
      <w:r w:rsidR="00AB46DC">
        <w:t>two-</w:t>
      </w:r>
      <w:r>
        <w:t>way ANOVA was carried out on the data set, followed by Tukey’s HSD post hoc test. The R output is shown below:</w:t>
      </w:r>
    </w:p>
    <w:p w:rsidR="00F24BF0" w:rsidRDefault="00F24BF0" w:rsidP="00024346">
      <w:pPr>
        <w:pStyle w:val="ListParagraph"/>
        <w:spacing w:line="360" w:lineRule="auto"/>
        <w:ind w:left="0"/>
      </w:pPr>
    </w:p>
    <w:p w:rsidR="00F24BF0" w:rsidRPr="00F24BF0" w:rsidRDefault="00F24BF0" w:rsidP="00F24BF0">
      <w:pPr>
        <w:spacing w:line="360" w:lineRule="auto"/>
        <w:ind w:firstLine="720"/>
        <w:rPr>
          <w:b/>
        </w:rPr>
      </w:pPr>
      <w:r w:rsidRPr="00F24BF0">
        <w:rPr>
          <w:b/>
        </w:rPr>
        <w:t>Figure 1</w:t>
      </w:r>
      <w:r>
        <w:tab/>
      </w:r>
      <w:r>
        <w:tab/>
      </w:r>
      <w:r>
        <w:tab/>
      </w:r>
      <w:r>
        <w:tab/>
      </w:r>
      <w:r>
        <w:tab/>
      </w:r>
      <w:r w:rsidRPr="00F24BF0">
        <w:rPr>
          <w:b/>
        </w:rPr>
        <w:t>Figure 2</w:t>
      </w:r>
    </w:p>
    <w:p w:rsidR="00F24BF0" w:rsidRDefault="00C3271E" w:rsidP="00F24BF0">
      <w:pPr>
        <w:pStyle w:val="ListParagraph"/>
        <w:spacing w:line="360" w:lineRule="auto"/>
        <w:ind w:left="0"/>
      </w:pPr>
      <w:r w:rsidRPr="00C3271E">
        <w:rPr>
          <w:noProof/>
          <w:lang w:val="en-IE" w:eastAsia="en-IE"/>
        </w:rPr>
        <w:drawing>
          <wp:inline distT="0" distB="0" distL="0" distR="0">
            <wp:extent cx="2438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6DC" w:rsidRPr="00AB46DC">
        <w:t xml:space="preserve"> </w:t>
      </w:r>
      <w:r w:rsidR="00AB46DC" w:rsidRPr="00AB46DC">
        <w:rPr>
          <w:noProof/>
          <w:lang w:val="en-IE" w:eastAsia="en-IE"/>
        </w:rPr>
        <w:drawing>
          <wp:inline distT="0" distB="0" distL="0" distR="0">
            <wp:extent cx="2790825" cy="2790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DC" w:rsidRPr="00F24BF0" w:rsidRDefault="00F24BF0" w:rsidP="00F24BF0">
      <w:pPr>
        <w:pStyle w:val="ListParagraph"/>
        <w:spacing w:line="360" w:lineRule="auto"/>
        <w:ind w:left="426"/>
        <w:rPr>
          <w:b/>
        </w:rPr>
      </w:pPr>
      <w:r w:rsidRPr="00F24BF0">
        <w:rPr>
          <w:b/>
        </w:rPr>
        <w:t>Figure 3</w:t>
      </w:r>
      <w:r w:rsidR="00AB46DC" w:rsidRPr="00F24BF0">
        <w:rPr>
          <w:b/>
        </w:rPr>
        <w:tab/>
      </w:r>
      <w:r w:rsidR="00AB46DC" w:rsidRPr="00F24BF0">
        <w:rPr>
          <w:b/>
        </w:rPr>
        <w:tab/>
      </w:r>
      <w:r w:rsidR="00AB46DC" w:rsidRPr="00F24BF0">
        <w:rPr>
          <w:b/>
        </w:rPr>
        <w:tab/>
      </w:r>
      <w:r w:rsidR="00AB46DC" w:rsidRPr="00F24BF0">
        <w:rPr>
          <w:b/>
        </w:rPr>
        <w:tab/>
      </w:r>
      <w:r w:rsidR="00AB46DC" w:rsidRPr="00F24BF0">
        <w:rPr>
          <w:b/>
        </w:rPr>
        <w:tab/>
      </w:r>
    </w:p>
    <w:p w:rsidR="00F24BF0" w:rsidRPr="00E80EC5" w:rsidRDefault="00F24BF0" w:rsidP="00AB46DC">
      <w:pPr>
        <w:pStyle w:val="ListParagraph"/>
        <w:spacing w:line="360" w:lineRule="auto"/>
        <w:ind w:firstLine="720"/>
        <w:rPr>
          <w:vertAlign w:val="subscript"/>
        </w:rPr>
      </w:pPr>
    </w:p>
    <w:p w:rsidR="003711E7" w:rsidRPr="003711E7" w:rsidRDefault="003711E7" w:rsidP="003711E7">
      <w:pPr>
        <w:pStyle w:val="ListParagraph"/>
        <w:spacing w:line="36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711E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711E7">
        <w:rPr>
          <w:rFonts w:ascii="Courier New" w:hAnsi="Courier New" w:cs="Courier New"/>
        </w:rPr>
        <w:t>Df</w:t>
      </w:r>
      <w:proofErr w:type="spellEnd"/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>Sum</w:t>
      </w:r>
      <w:proofErr w:type="gramEnd"/>
      <w:r w:rsidRPr="003711E7">
        <w:rPr>
          <w:rFonts w:ascii="Courier New" w:hAnsi="Courier New" w:cs="Courier New"/>
        </w:rPr>
        <w:t xml:space="preserve"> </w:t>
      </w:r>
      <w:proofErr w:type="spellStart"/>
      <w:r w:rsidRPr="003711E7">
        <w:rPr>
          <w:rFonts w:ascii="Courier New" w:hAnsi="Courier New" w:cs="Courier New"/>
        </w:rPr>
        <w:t>Sq</w:t>
      </w:r>
      <w:proofErr w:type="spellEnd"/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Mean </w:t>
      </w:r>
      <w:proofErr w:type="spellStart"/>
      <w:r w:rsidRPr="003711E7">
        <w:rPr>
          <w:rFonts w:ascii="Courier New" w:hAnsi="Courier New" w:cs="Courier New"/>
        </w:rPr>
        <w:t>Sq</w:t>
      </w:r>
      <w:proofErr w:type="spellEnd"/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F value  </w:t>
      </w:r>
      <w:r>
        <w:rPr>
          <w:rFonts w:ascii="Courier New" w:hAnsi="Courier New" w:cs="Courier New"/>
        </w:rPr>
        <w:t xml:space="preserve"> </w:t>
      </w:r>
      <w:proofErr w:type="spellStart"/>
      <w:r w:rsidRPr="003711E7">
        <w:rPr>
          <w:rFonts w:ascii="Courier New" w:hAnsi="Courier New" w:cs="Courier New"/>
        </w:rPr>
        <w:t>Pr</w:t>
      </w:r>
      <w:proofErr w:type="spellEnd"/>
      <w:r w:rsidRPr="003711E7">
        <w:rPr>
          <w:rFonts w:ascii="Courier New" w:hAnsi="Courier New" w:cs="Courier New"/>
        </w:rPr>
        <w:t xml:space="preserve">(&gt;F)    </w:t>
      </w:r>
    </w:p>
    <w:p w:rsidR="003711E7" w:rsidRPr="003711E7" w:rsidRDefault="003711E7" w:rsidP="003711E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Gender          </w:t>
      </w:r>
      <w:r w:rsidRPr="003711E7">
        <w:rPr>
          <w:rFonts w:ascii="Courier New" w:hAnsi="Courier New" w:cs="Courier New"/>
        </w:rPr>
        <w:t xml:space="preserve"> 1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45030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 </w:t>
      </w:r>
      <w:proofErr w:type="gramStart"/>
      <w:r w:rsidRPr="003711E7">
        <w:rPr>
          <w:rFonts w:ascii="Courier New" w:hAnsi="Courier New" w:cs="Courier New"/>
        </w:rPr>
        <w:t xml:space="preserve">45030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>185.980</w:t>
      </w:r>
      <w:proofErr w:type="gramEnd"/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3711E7">
        <w:rPr>
          <w:rFonts w:ascii="Courier New" w:hAnsi="Courier New" w:cs="Courier New"/>
        </w:rPr>
        <w:t>&lt; 2e-16 ***</w:t>
      </w:r>
    </w:p>
    <w:p w:rsidR="003711E7" w:rsidRPr="003711E7" w:rsidRDefault="003711E7" w:rsidP="003711E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Exercise  </w:t>
      </w:r>
      <w:r w:rsidRPr="003711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r w:rsidRPr="003711E7">
        <w:rPr>
          <w:rFonts w:ascii="Courier New" w:hAnsi="Courier New" w:cs="Courier New"/>
        </w:rPr>
        <w:t xml:space="preserve"> </w:t>
      </w:r>
      <w:proofErr w:type="gramStart"/>
      <w:r w:rsidRPr="003711E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168432</w:t>
      </w:r>
      <w:proofErr w:type="gramEnd"/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 168432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695.647 </w:t>
      </w:r>
      <w:r>
        <w:rPr>
          <w:rFonts w:ascii="Courier New" w:hAnsi="Courier New" w:cs="Courier New"/>
        </w:rPr>
        <w:t xml:space="preserve">  </w:t>
      </w:r>
      <w:r w:rsidRPr="003711E7">
        <w:rPr>
          <w:rFonts w:ascii="Courier New" w:hAnsi="Courier New" w:cs="Courier New"/>
        </w:rPr>
        <w:t>&lt; 2e-16 ***</w:t>
      </w:r>
    </w:p>
    <w:p w:rsidR="003711E7" w:rsidRPr="003711E7" w:rsidRDefault="003711E7" w:rsidP="003711E7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Gender</w:t>
      </w:r>
      <w:proofErr w:type="gramStart"/>
      <w:r>
        <w:rPr>
          <w:rFonts w:ascii="Courier New" w:hAnsi="Courier New" w:cs="Courier New"/>
        </w:rPr>
        <w:t>:Exercise</w:t>
      </w:r>
      <w:proofErr w:type="spellEnd"/>
      <w:proofErr w:type="gramEnd"/>
      <w:r>
        <w:rPr>
          <w:rFonts w:ascii="Courier New" w:hAnsi="Courier New" w:cs="Courier New"/>
        </w:rPr>
        <w:t xml:space="preserve">  </w:t>
      </w:r>
      <w:r w:rsidRPr="003711E7">
        <w:rPr>
          <w:rFonts w:ascii="Courier New" w:hAnsi="Courier New" w:cs="Courier New"/>
        </w:rPr>
        <w:t xml:space="preserve">1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1794 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1794 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7.409 </w:t>
      </w:r>
      <w:r>
        <w:rPr>
          <w:rFonts w:ascii="Courier New" w:hAnsi="Courier New" w:cs="Courier New"/>
        </w:rPr>
        <w:t xml:space="preserve">  </w:t>
      </w:r>
      <w:r w:rsidRPr="003711E7">
        <w:rPr>
          <w:rFonts w:ascii="Courier New" w:hAnsi="Courier New" w:cs="Courier New"/>
        </w:rPr>
        <w:t xml:space="preserve">0.00663 ** </w:t>
      </w:r>
    </w:p>
    <w:p w:rsidR="00AB46DC" w:rsidRPr="003711E7" w:rsidRDefault="003711E7" w:rsidP="003711E7">
      <w:pPr>
        <w:spacing w:line="360" w:lineRule="auto"/>
        <w:rPr>
          <w:rFonts w:ascii="Courier New" w:hAnsi="Courier New" w:cs="Courier New"/>
        </w:rPr>
      </w:pPr>
      <w:r w:rsidRPr="003711E7">
        <w:rPr>
          <w:rFonts w:ascii="Courier New" w:hAnsi="Courier New" w:cs="Courier New"/>
        </w:rPr>
        <w:t xml:space="preserve">Residuals       796 192730    </w:t>
      </w:r>
      <w:r>
        <w:rPr>
          <w:rFonts w:ascii="Courier New" w:hAnsi="Courier New" w:cs="Courier New"/>
        </w:rPr>
        <w:t xml:space="preserve"> </w:t>
      </w:r>
      <w:r w:rsidRPr="003711E7">
        <w:rPr>
          <w:rFonts w:ascii="Courier New" w:hAnsi="Courier New" w:cs="Courier New"/>
        </w:rPr>
        <w:t xml:space="preserve"> 242                    </w:t>
      </w:r>
    </w:p>
    <w:p w:rsidR="00442263" w:rsidRPr="006264AB" w:rsidRDefault="006264AB" w:rsidP="006264AB">
      <w:pPr>
        <w:spacing w:line="360" w:lineRule="auto"/>
        <w:rPr>
          <w:b/>
        </w:rPr>
      </w:pPr>
      <w:r w:rsidRPr="006264AB">
        <w:rPr>
          <w:b/>
        </w:rPr>
        <w:lastRenderedPageBreak/>
        <w:t>Figure 4</w:t>
      </w:r>
    </w:p>
    <w:p w:rsidR="006264AB" w:rsidRDefault="006264AB" w:rsidP="006264AB">
      <w:pPr>
        <w:spacing w:line="360" w:lineRule="auto"/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Tukey multiple comparisons of means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    95% family-wise confidence level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Fit: </w:t>
      </w:r>
      <w:proofErr w:type="spellStart"/>
      <w:proofErr w:type="gramStart"/>
      <w:r w:rsidRPr="006264AB">
        <w:rPr>
          <w:rFonts w:ascii="Courier New" w:hAnsi="Courier New" w:cs="Courier New"/>
          <w:sz w:val="22"/>
          <w:szCs w:val="22"/>
        </w:rPr>
        <w:t>aov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>(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formula = HR ~ Gender * Exercise, data = running)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$Gender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               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diff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lwr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upr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</w:t>
      </w:r>
      <w:r w:rsidRPr="006264AB">
        <w:rPr>
          <w:rFonts w:ascii="Courier New" w:hAnsi="Courier New" w:cs="Courier New"/>
          <w:sz w:val="22"/>
          <w:szCs w:val="22"/>
        </w:rPr>
        <w:t xml:space="preserve"> p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adj</w:t>
      </w:r>
      <w:proofErr w:type="spellEnd"/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Male-Female -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 xml:space="preserve">15.005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264AB">
        <w:rPr>
          <w:rFonts w:ascii="Courier New" w:hAnsi="Courier New" w:cs="Courier New"/>
          <w:sz w:val="22"/>
          <w:szCs w:val="22"/>
        </w:rPr>
        <w:t>-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17.16479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264AB">
        <w:rPr>
          <w:rFonts w:ascii="Courier New" w:hAnsi="Courier New" w:cs="Courier New"/>
          <w:sz w:val="22"/>
          <w:szCs w:val="22"/>
        </w:rPr>
        <w:t>-12.84521     0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$Exercise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                  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diff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lwr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upr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</w:t>
      </w:r>
      <w:r w:rsidRPr="006264AB">
        <w:rPr>
          <w:rFonts w:ascii="Courier New" w:hAnsi="Courier New" w:cs="Courier New"/>
          <w:sz w:val="22"/>
          <w:szCs w:val="22"/>
        </w:rPr>
        <w:t xml:space="preserve"> p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adj</w:t>
      </w:r>
      <w:proofErr w:type="spellEnd"/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Runners-Control -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 xml:space="preserve">29.02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264AB">
        <w:rPr>
          <w:rFonts w:ascii="Courier New" w:hAnsi="Courier New" w:cs="Courier New"/>
          <w:sz w:val="22"/>
          <w:szCs w:val="22"/>
        </w:rPr>
        <w:t>-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31.17979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264AB">
        <w:rPr>
          <w:rFonts w:ascii="Courier New" w:hAnsi="Courier New" w:cs="Courier New"/>
          <w:sz w:val="22"/>
          <w:szCs w:val="22"/>
        </w:rPr>
        <w:t>-26.86021     0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>$`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Gender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:Exercise</w:t>
      </w:r>
      <w:proofErr w:type="spellEnd"/>
      <w:proofErr w:type="gramEnd"/>
      <w:r w:rsidRPr="006264AB">
        <w:rPr>
          <w:rFonts w:ascii="Courier New" w:hAnsi="Courier New" w:cs="Courier New"/>
          <w:sz w:val="22"/>
          <w:szCs w:val="22"/>
        </w:rPr>
        <w:t>`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6264AB">
        <w:rPr>
          <w:rFonts w:ascii="Courier New" w:hAnsi="Courier New" w:cs="Courier New"/>
          <w:sz w:val="22"/>
          <w:szCs w:val="22"/>
        </w:rPr>
        <w:t xml:space="preserve">                                 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diff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lwr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upr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p </w:t>
      </w:r>
      <w:proofErr w:type="spellStart"/>
      <w:r w:rsidRPr="006264AB">
        <w:rPr>
          <w:rFonts w:ascii="Courier New" w:hAnsi="Courier New" w:cs="Courier New"/>
          <w:sz w:val="22"/>
          <w:szCs w:val="22"/>
        </w:rPr>
        <w:t>adj</w:t>
      </w:r>
      <w:proofErr w:type="spellEnd"/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:Control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-Female:Control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-18.000 -22.00595 -13.994054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Female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-Female:Control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-32.015 -36.02095 -28.009054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-Female:Control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-44.025 -48.03095 -40.019054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Female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-14.015 -18.02095 -10.009054     0</w:t>
      </w:r>
    </w:p>
    <w:p w:rsidR="006264AB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-Male:Control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  -26.025 -30.03095 -22.019054     0</w:t>
      </w:r>
    </w:p>
    <w:p w:rsidR="00F24BF0" w:rsidRPr="006264AB" w:rsidRDefault="006264AB" w:rsidP="006264AB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264AB">
        <w:rPr>
          <w:rFonts w:ascii="Courier New" w:hAnsi="Courier New" w:cs="Courier New"/>
          <w:sz w:val="22"/>
          <w:szCs w:val="22"/>
        </w:rPr>
        <w:t>Male</w:t>
      </w:r>
      <w:proofErr w:type="gramStart"/>
      <w:r w:rsidRPr="006264AB">
        <w:rPr>
          <w:rFonts w:ascii="Courier New" w:hAnsi="Courier New" w:cs="Courier New"/>
          <w:sz w:val="22"/>
          <w:szCs w:val="22"/>
        </w:rPr>
        <w:t>:Runners</w:t>
      </w:r>
      <w:proofErr w:type="gramEnd"/>
      <w:r w:rsidRPr="006264AB">
        <w:rPr>
          <w:rFonts w:ascii="Courier New" w:hAnsi="Courier New" w:cs="Courier New"/>
          <w:sz w:val="22"/>
          <w:szCs w:val="22"/>
        </w:rPr>
        <w:t>-Female:Runners</w:t>
      </w:r>
      <w:proofErr w:type="spellEnd"/>
      <w:r w:rsidRPr="006264AB">
        <w:rPr>
          <w:rFonts w:ascii="Courier New" w:hAnsi="Courier New" w:cs="Courier New"/>
          <w:sz w:val="22"/>
          <w:szCs w:val="22"/>
        </w:rPr>
        <w:t xml:space="preserve">   -12.010 -16.01595  -8.004054     0</w:t>
      </w:r>
    </w:p>
    <w:p w:rsidR="006264AB" w:rsidRDefault="006264AB" w:rsidP="006264AB">
      <w:pPr>
        <w:pStyle w:val="ListParagraph"/>
        <w:spacing w:line="360" w:lineRule="auto"/>
        <w:ind w:left="1440"/>
      </w:pPr>
    </w:p>
    <w:p w:rsidR="00ED248C" w:rsidRDefault="00ED248C" w:rsidP="006264AB">
      <w:pPr>
        <w:pStyle w:val="ListParagraph"/>
        <w:spacing w:line="360" w:lineRule="auto"/>
        <w:ind w:left="1440"/>
        <w:rPr>
          <w:b/>
        </w:rPr>
      </w:pPr>
      <w:r w:rsidRPr="00ED248C">
        <w:rPr>
          <w:b/>
        </w:rPr>
        <w:t>Figure 5</w:t>
      </w:r>
    </w:p>
    <w:p w:rsidR="00DB75C9" w:rsidRDefault="00DB75C9" w:rsidP="006264AB">
      <w:pPr>
        <w:pStyle w:val="ListParagraph"/>
        <w:spacing w:line="360" w:lineRule="auto"/>
        <w:ind w:left="1440"/>
        <w:rPr>
          <w:b/>
        </w:rPr>
      </w:pPr>
    </w:p>
    <w:p w:rsidR="00DB75C9" w:rsidRPr="00DB75C9" w:rsidRDefault="00DB75C9" w:rsidP="00DB75C9">
      <w:pPr>
        <w:pStyle w:val="ListParagraph"/>
        <w:spacing w:line="360" w:lineRule="auto"/>
        <w:ind w:left="0"/>
        <w:rPr>
          <w:rFonts w:ascii="Courier New" w:hAnsi="Courier New" w:cs="Courier New"/>
        </w:rPr>
      </w:pPr>
      <w:proofErr w:type="spellStart"/>
      <w:r w:rsidRPr="00DB75C9">
        <w:rPr>
          <w:rFonts w:ascii="Courier New" w:hAnsi="Courier New" w:cs="Courier New"/>
        </w:rPr>
        <w:t>omega_</w:t>
      </w:r>
      <w:proofErr w:type="gramStart"/>
      <w:r w:rsidRPr="00DB75C9">
        <w:rPr>
          <w:rFonts w:ascii="Courier New" w:hAnsi="Courier New" w:cs="Courier New"/>
        </w:rPr>
        <w:t>sq</w:t>
      </w:r>
      <w:proofErr w:type="spellEnd"/>
      <w:r w:rsidRPr="00DB75C9">
        <w:rPr>
          <w:rFonts w:ascii="Courier New" w:hAnsi="Courier New" w:cs="Courier New"/>
        </w:rPr>
        <w:t>(</w:t>
      </w:r>
      <w:proofErr w:type="gramEnd"/>
      <w:r w:rsidRPr="00DB75C9">
        <w:rPr>
          <w:rFonts w:ascii="Courier New" w:hAnsi="Courier New" w:cs="Courier New"/>
        </w:rPr>
        <w:t>model1)</w:t>
      </w:r>
    </w:p>
    <w:p w:rsidR="00DB75C9" w:rsidRPr="00DB75C9" w:rsidRDefault="00DB75C9" w:rsidP="00DB75C9">
      <w:pPr>
        <w:pStyle w:val="ListParagraph"/>
        <w:spacing w:line="360" w:lineRule="auto"/>
        <w:ind w:left="0"/>
        <w:rPr>
          <w:rFonts w:ascii="Courier New" w:hAnsi="Courier New" w:cs="Courier New"/>
        </w:rPr>
      </w:pPr>
      <w:r w:rsidRPr="00DB75C9">
        <w:rPr>
          <w:rFonts w:ascii="Courier New" w:hAnsi="Courier New" w:cs="Courier New"/>
        </w:rPr>
        <w:t xml:space="preserve">         Gender        Exercise </w:t>
      </w:r>
      <w:proofErr w:type="spellStart"/>
      <w:r w:rsidRPr="00DB75C9">
        <w:rPr>
          <w:rFonts w:ascii="Courier New" w:hAnsi="Courier New" w:cs="Courier New"/>
        </w:rPr>
        <w:t>Gender</w:t>
      </w:r>
      <w:proofErr w:type="gramStart"/>
      <w:r w:rsidRPr="00DB75C9">
        <w:rPr>
          <w:rFonts w:ascii="Courier New" w:hAnsi="Courier New" w:cs="Courier New"/>
        </w:rPr>
        <w:t>:Exercise</w:t>
      </w:r>
      <w:proofErr w:type="spellEnd"/>
      <w:proofErr w:type="gramEnd"/>
      <w:r w:rsidRPr="00DB75C9">
        <w:rPr>
          <w:rFonts w:ascii="Courier New" w:hAnsi="Courier New" w:cs="Courier New"/>
        </w:rPr>
        <w:t xml:space="preserve"> </w:t>
      </w:r>
    </w:p>
    <w:p w:rsidR="00DB75C9" w:rsidRDefault="00DB75C9" w:rsidP="00DB75C9">
      <w:pPr>
        <w:pStyle w:val="ListParagraph"/>
        <w:spacing w:line="360" w:lineRule="auto"/>
        <w:ind w:left="0"/>
        <w:rPr>
          <w:rFonts w:ascii="Courier New" w:hAnsi="Courier New" w:cs="Courier New"/>
        </w:rPr>
      </w:pPr>
      <w:r w:rsidRPr="00DB75C9">
        <w:rPr>
          <w:rFonts w:ascii="Courier New" w:hAnsi="Courier New" w:cs="Courier New"/>
        </w:rPr>
        <w:t xml:space="preserve">    0.109712899     0.412000008     0.003801508</w:t>
      </w:r>
    </w:p>
    <w:p w:rsidR="00DB75C9" w:rsidRDefault="00DB75C9" w:rsidP="00DB75C9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DB75C9" w:rsidRDefault="00DB75C9" w:rsidP="00DB75C9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DB75C9" w:rsidRDefault="00DB75C9" w:rsidP="00DB75C9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DB75C9" w:rsidRDefault="00DB75C9" w:rsidP="00DB75C9">
      <w:pPr>
        <w:pStyle w:val="ListParagraph"/>
        <w:spacing w:line="360" w:lineRule="auto"/>
        <w:ind w:left="0"/>
        <w:rPr>
          <w:rFonts w:ascii="Courier New" w:hAnsi="Courier New" w:cs="Courier New"/>
        </w:rPr>
      </w:pPr>
    </w:p>
    <w:p w:rsidR="00ED248C" w:rsidRPr="00ED248C" w:rsidRDefault="00ED248C" w:rsidP="00ED248C">
      <w:pPr>
        <w:spacing w:line="360" w:lineRule="auto"/>
        <w:rPr>
          <w:rFonts w:ascii="Courier New" w:hAnsi="Courier New" w:cs="Courier New"/>
        </w:rPr>
      </w:pPr>
    </w:p>
    <w:p w:rsidR="006264AB" w:rsidRDefault="00CF0298" w:rsidP="006264AB">
      <w:pPr>
        <w:pStyle w:val="ListParagraph"/>
        <w:numPr>
          <w:ilvl w:val="1"/>
          <w:numId w:val="42"/>
        </w:numPr>
        <w:spacing w:line="360" w:lineRule="auto"/>
      </w:pPr>
      <w:r w:rsidRPr="00CF0298">
        <w:lastRenderedPageBreak/>
        <w:t>What are the null and alternative hypotheses associated with this analysis</w:t>
      </w:r>
      <w:r>
        <w:t>?</w:t>
      </w:r>
    </w:p>
    <w:p w:rsidR="00677A8A" w:rsidRPr="004F2F0C" w:rsidRDefault="00677A8A" w:rsidP="005B19BB">
      <w:pPr>
        <w:pStyle w:val="ListParagraph"/>
        <w:spacing w:line="360" w:lineRule="auto"/>
        <w:rPr>
          <w:rFonts w:ascii="Courier New" w:hAnsi="Courier New" w:cs="Courier New"/>
          <w:color w:val="365F91" w:themeColor="accent1" w:themeShade="BF"/>
        </w:rPr>
      </w:pPr>
      <w:r w:rsidRPr="004F2F0C">
        <w:rPr>
          <w:color w:val="365F91" w:themeColor="accent1" w:themeShade="BF"/>
        </w:rPr>
        <w:t xml:space="preserve">Let Factor </w:t>
      </w:r>
      <w:proofErr w:type="gramStart"/>
      <w:r w:rsidRPr="004F2F0C">
        <w:rPr>
          <w:color w:val="365F91" w:themeColor="accent1" w:themeShade="BF"/>
        </w:rPr>
        <w:t>A</w:t>
      </w:r>
      <w:proofErr w:type="gramEnd"/>
      <w:r w:rsidRPr="004F2F0C">
        <w:rPr>
          <w:color w:val="365F91" w:themeColor="accent1" w:themeShade="BF"/>
        </w:rPr>
        <w:t xml:space="preserve"> represent </w:t>
      </w:r>
      <w:r w:rsidRPr="004F2F0C">
        <w:rPr>
          <w:rFonts w:ascii="Courier New" w:hAnsi="Courier New" w:cs="Courier New"/>
          <w:color w:val="365F91" w:themeColor="accent1" w:themeShade="BF"/>
        </w:rPr>
        <w:t>Gender</w:t>
      </w:r>
      <w:r w:rsidRPr="004F2F0C">
        <w:rPr>
          <w:color w:val="365F91" w:themeColor="accent1" w:themeShade="BF"/>
        </w:rPr>
        <w:t xml:space="preserve"> then, α</w:t>
      </w:r>
      <w:proofErr w:type="spellStart"/>
      <w:r w:rsidRPr="004F2F0C">
        <w:rPr>
          <w:rFonts w:ascii="Cambria Math" w:hAnsi="Cambria Math" w:cs="Cambria Math"/>
          <w:color w:val="365F91" w:themeColor="accent1" w:themeShade="BF"/>
          <w:vertAlign w:val="subscript"/>
        </w:rPr>
        <w:t>i</w:t>
      </w:r>
      <w:proofErr w:type="spellEnd"/>
      <w:r w:rsidRPr="004F2F0C">
        <w:rPr>
          <w:rFonts w:ascii="Cambria Math" w:hAnsi="Cambria Math" w:cs="Cambria Math"/>
          <w:color w:val="365F91" w:themeColor="accent1" w:themeShade="BF"/>
          <w:vertAlign w:val="subscript"/>
        </w:rPr>
        <w:t xml:space="preserve"> </w:t>
      </w:r>
      <w:r w:rsidRPr="004F2F0C">
        <w:rPr>
          <w:rFonts w:ascii="Cambria Math" w:hAnsi="Cambria Math" w:cs="Cambria Math"/>
          <w:color w:val="365F91" w:themeColor="accent1" w:themeShade="BF"/>
        </w:rPr>
        <w:t xml:space="preserve">represents the treatment effect associated with level </w:t>
      </w:r>
      <w:proofErr w:type="spellStart"/>
      <w:r w:rsidRPr="004F2F0C">
        <w:rPr>
          <w:rFonts w:ascii="Cambria Math" w:hAnsi="Cambria Math" w:cs="Cambria Math"/>
          <w:i/>
          <w:color w:val="365F91" w:themeColor="accent1" w:themeShade="BF"/>
        </w:rPr>
        <w:t>i</w:t>
      </w:r>
      <w:proofErr w:type="spellEnd"/>
      <w:r w:rsidRPr="004F2F0C">
        <w:rPr>
          <w:rFonts w:ascii="Cambria Math" w:hAnsi="Cambria Math" w:cs="Cambria Math"/>
          <w:i/>
          <w:color w:val="365F91" w:themeColor="accent1" w:themeShade="BF"/>
        </w:rPr>
        <w:t xml:space="preserve"> </w:t>
      </w:r>
      <w:r w:rsidRPr="004F2F0C">
        <w:rPr>
          <w:rFonts w:ascii="Cambria Math" w:hAnsi="Cambria Math" w:cs="Cambria Math"/>
          <w:color w:val="365F91" w:themeColor="accent1" w:themeShade="BF"/>
        </w:rPr>
        <w:t xml:space="preserve">of </w:t>
      </w:r>
      <w:r w:rsidRPr="004F2F0C">
        <w:rPr>
          <w:rFonts w:ascii="Courier New" w:hAnsi="Courier New" w:cs="Courier New"/>
          <w:color w:val="365F91" w:themeColor="accent1" w:themeShade="BF"/>
        </w:rPr>
        <w:t>Gender.</w:t>
      </w:r>
    </w:p>
    <w:p w:rsidR="00677A8A" w:rsidRPr="004F2F0C" w:rsidRDefault="00677A8A" w:rsidP="00677A8A">
      <w:pPr>
        <w:pStyle w:val="ListParagraph"/>
        <w:spacing w:line="360" w:lineRule="auto"/>
        <w:rPr>
          <w:rFonts w:ascii="Cambria Math" w:hAnsi="Cambria Math" w:cs="Cambria Math"/>
          <w:color w:val="365F91" w:themeColor="accent1" w:themeShade="BF"/>
        </w:rPr>
      </w:pPr>
      <w:r w:rsidRPr="004F2F0C">
        <w:rPr>
          <w:color w:val="365F91" w:themeColor="accent1" w:themeShade="BF"/>
        </w:rPr>
        <w:t xml:space="preserve">Let Factor B represent </w:t>
      </w:r>
      <w:r w:rsidRPr="004F2F0C">
        <w:rPr>
          <w:rFonts w:ascii="Courier New" w:hAnsi="Courier New" w:cs="Courier New"/>
          <w:color w:val="365F91" w:themeColor="accent1" w:themeShade="BF"/>
        </w:rPr>
        <w:t>Exercise</w:t>
      </w:r>
      <w:r w:rsidRPr="004F2F0C">
        <w:rPr>
          <w:color w:val="365F91" w:themeColor="accent1" w:themeShade="BF"/>
        </w:rPr>
        <w:t xml:space="preserve"> then, β</w:t>
      </w:r>
      <w:r w:rsidRPr="004F2F0C">
        <w:rPr>
          <w:rFonts w:ascii="Cambria Math" w:hAnsi="Cambria Math" w:cs="Cambria Math"/>
          <w:color w:val="365F91" w:themeColor="accent1" w:themeShade="BF"/>
          <w:vertAlign w:val="subscript"/>
        </w:rPr>
        <w:t xml:space="preserve"> j </w:t>
      </w:r>
      <w:r w:rsidRPr="004F2F0C">
        <w:rPr>
          <w:rFonts w:ascii="Cambria Math" w:hAnsi="Cambria Math" w:cs="Cambria Math"/>
          <w:color w:val="365F91" w:themeColor="accent1" w:themeShade="BF"/>
        </w:rPr>
        <w:t xml:space="preserve">represents the treatment effect associated with level </w:t>
      </w:r>
      <w:r w:rsidRPr="004F2F0C">
        <w:rPr>
          <w:rFonts w:ascii="Cambria Math" w:hAnsi="Cambria Math" w:cs="Cambria Math"/>
          <w:i/>
          <w:color w:val="365F91" w:themeColor="accent1" w:themeShade="BF"/>
        </w:rPr>
        <w:t xml:space="preserve">j </w:t>
      </w:r>
      <w:r w:rsidRPr="004F2F0C">
        <w:rPr>
          <w:rFonts w:ascii="Cambria Math" w:hAnsi="Cambria Math" w:cs="Cambria Math"/>
          <w:color w:val="365F91" w:themeColor="accent1" w:themeShade="BF"/>
        </w:rPr>
        <w:t xml:space="preserve">of </w:t>
      </w:r>
      <w:r w:rsidRPr="004F2F0C">
        <w:rPr>
          <w:rFonts w:ascii="Courier New" w:hAnsi="Courier New" w:cs="Courier New"/>
          <w:color w:val="365F91" w:themeColor="accent1" w:themeShade="BF"/>
        </w:rPr>
        <w:t>Exercise.</w:t>
      </w:r>
    </w:p>
    <w:p w:rsidR="00677A8A" w:rsidRPr="004F2F0C" w:rsidRDefault="00677A8A" w:rsidP="005B19BB">
      <w:pPr>
        <w:pStyle w:val="ListParagraph"/>
        <w:spacing w:line="360" w:lineRule="auto"/>
        <w:rPr>
          <w:rFonts w:ascii="Cambria Math" w:hAnsi="Cambria Math" w:cs="Cambria Math"/>
          <w:color w:val="365F91" w:themeColor="accent1" w:themeShade="BF"/>
        </w:rPr>
      </w:pP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  <w:r w:rsidRPr="004F2F0C">
        <w:rPr>
          <w:color w:val="365F91" w:themeColor="accent1" w:themeShade="BF"/>
        </w:rPr>
        <w:t>The hypotheses associated with this two-way ANOVA are:</w:t>
      </w: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  <w:proofErr w:type="gramStart"/>
      <w:r w:rsidRPr="004F2F0C">
        <w:rPr>
          <w:color w:val="365F91" w:themeColor="accent1" w:themeShade="BF"/>
        </w:rPr>
        <w:t>H</w:t>
      </w:r>
      <w:r w:rsidRPr="004F2F0C">
        <w:rPr>
          <w:rFonts w:ascii="Cambria Math" w:hAnsi="Cambria Math" w:cs="Cambria Math"/>
          <w:color w:val="365F91" w:themeColor="accent1" w:themeShade="BF"/>
        </w:rPr>
        <w:t>₀</w:t>
      </w:r>
      <w:r w:rsidRPr="004F2F0C">
        <w:rPr>
          <w:color w:val="365F91" w:themeColor="accent1" w:themeShade="BF"/>
        </w:rPr>
        <w:t xml:space="preserve"> :</w:t>
      </w:r>
      <w:proofErr w:type="gramEnd"/>
      <w:r w:rsidRPr="004F2F0C">
        <w:rPr>
          <w:color w:val="365F91" w:themeColor="accent1" w:themeShade="BF"/>
        </w:rPr>
        <w:t xml:space="preserve"> α</w:t>
      </w:r>
      <w:r w:rsidRPr="004F2F0C">
        <w:rPr>
          <w:rFonts w:ascii="Cambria Math" w:hAnsi="Cambria Math" w:cs="Cambria Math"/>
          <w:color w:val="365F91" w:themeColor="accent1" w:themeShade="BF"/>
        </w:rPr>
        <w:t>₁</w:t>
      </w:r>
      <w:r w:rsidRPr="004F2F0C">
        <w:rPr>
          <w:color w:val="365F91" w:themeColor="accent1" w:themeShade="BF"/>
        </w:rPr>
        <w:t xml:space="preserve"> = α</w:t>
      </w:r>
      <w:r w:rsidRPr="004F2F0C">
        <w:rPr>
          <w:rFonts w:ascii="Cambria Math" w:hAnsi="Cambria Math" w:cs="Cambria Math"/>
          <w:color w:val="365F91" w:themeColor="accent1" w:themeShade="BF"/>
        </w:rPr>
        <w:t>₂</w:t>
      </w:r>
      <w:r w:rsidRPr="004F2F0C">
        <w:rPr>
          <w:color w:val="365F91" w:themeColor="accent1" w:themeShade="BF"/>
        </w:rPr>
        <w:t xml:space="preserve"> = ... = α</w:t>
      </w:r>
      <w:r w:rsidRPr="004F2F0C">
        <w:rPr>
          <w:color w:val="365F91" w:themeColor="accent1" w:themeShade="BF"/>
          <w:vertAlign w:val="subscript"/>
        </w:rPr>
        <w:t>a</w:t>
      </w:r>
      <w:r w:rsidRPr="004F2F0C">
        <w:rPr>
          <w:color w:val="365F91" w:themeColor="accent1" w:themeShade="BF"/>
        </w:rPr>
        <w:t xml:space="preserve"> = 0</w:t>
      </w: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  <w:proofErr w:type="gramStart"/>
      <w:r w:rsidRPr="004F2F0C">
        <w:rPr>
          <w:color w:val="365F91" w:themeColor="accent1" w:themeShade="BF"/>
        </w:rPr>
        <w:t>H</w:t>
      </w:r>
      <w:r w:rsidRPr="004F2F0C">
        <w:rPr>
          <w:color w:val="365F91" w:themeColor="accent1" w:themeShade="BF"/>
          <w:vertAlign w:val="subscript"/>
        </w:rPr>
        <w:t>A</w:t>
      </w:r>
      <w:r w:rsidRPr="004F2F0C">
        <w:rPr>
          <w:color w:val="365F91" w:themeColor="accent1" w:themeShade="BF"/>
        </w:rPr>
        <w:t xml:space="preserve"> :</w:t>
      </w:r>
      <w:proofErr w:type="gramEnd"/>
      <w:r w:rsidRPr="004F2F0C">
        <w:rPr>
          <w:color w:val="365F91" w:themeColor="accent1" w:themeShade="BF"/>
        </w:rPr>
        <w:t xml:space="preserve"> at least one α</w:t>
      </w:r>
      <w:proofErr w:type="spellStart"/>
      <w:r w:rsidRPr="004F2F0C">
        <w:rPr>
          <w:color w:val="365F91" w:themeColor="accent1" w:themeShade="BF"/>
          <w:vertAlign w:val="subscript"/>
        </w:rPr>
        <w:t>i</w:t>
      </w:r>
      <w:proofErr w:type="spellEnd"/>
      <w:r w:rsidRPr="004F2F0C">
        <w:rPr>
          <w:color w:val="365F91" w:themeColor="accent1" w:themeShade="BF"/>
        </w:rPr>
        <w:t xml:space="preserve"> ≠ 0</w:t>
      </w: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  <w:proofErr w:type="gramStart"/>
      <w:r w:rsidRPr="004F2F0C">
        <w:rPr>
          <w:color w:val="365F91" w:themeColor="accent1" w:themeShade="BF"/>
        </w:rPr>
        <w:t>H</w:t>
      </w:r>
      <w:r w:rsidRPr="004F2F0C">
        <w:rPr>
          <w:rFonts w:ascii="Cambria Math" w:hAnsi="Cambria Math" w:cs="Cambria Math"/>
          <w:color w:val="365F91" w:themeColor="accent1" w:themeShade="BF"/>
        </w:rPr>
        <w:t>₀</w:t>
      </w:r>
      <w:r w:rsidRPr="004F2F0C">
        <w:rPr>
          <w:color w:val="365F91" w:themeColor="accent1" w:themeShade="BF"/>
        </w:rPr>
        <w:t xml:space="preserve"> :</w:t>
      </w:r>
      <w:proofErr w:type="gramEnd"/>
      <w:r w:rsidRPr="004F2F0C">
        <w:rPr>
          <w:color w:val="365F91" w:themeColor="accent1" w:themeShade="BF"/>
        </w:rPr>
        <w:t xml:space="preserve"> β</w:t>
      </w:r>
      <w:r w:rsidRPr="004F2F0C">
        <w:rPr>
          <w:rFonts w:ascii="Cambria Math" w:hAnsi="Cambria Math" w:cs="Cambria Math"/>
          <w:color w:val="365F91" w:themeColor="accent1" w:themeShade="BF"/>
        </w:rPr>
        <w:t>₁</w:t>
      </w:r>
      <w:r w:rsidRPr="004F2F0C">
        <w:rPr>
          <w:color w:val="365F91" w:themeColor="accent1" w:themeShade="BF"/>
        </w:rPr>
        <w:t xml:space="preserve"> = β</w:t>
      </w:r>
      <w:r w:rsidRPr="004F2F0C">
        <w:rPr>
          <w:rFonts w:ascii="Cambria Math" w:hAnsi="Cambria Math" w:cs="Cambria Math"/>
          <w:color w:val="365F91" w:themeColor="accent1" w:themeShade="BF"/>
        </w:rPr>
        <w:t>₂</w:t>
      </w:r>
      <w:r w:rsidRPr="004F2F0C">
        <w:rPr>
          <w:color w:val="365F91" w:themeColor="accent1" w:themeShade="BF"/>
        </w:rPr>
        <w:t xml:space="preserve"> = .. </w:t>
      </w:r>
      <w:proofErr w:type="gramStart"/>
      <w:r w:rsidRPr="004F2F0C">
        <w:rPr>
          <w:color w:val="365F91" w:themeColor="accent1" w:themeShade="BF"/>
        </w:rPr>
        <w:t>.=</w:t>
      </w:r>
      <w:proofErr w:type="gramEnd"/>
      <w:r w:rsidRPr="004F2F0C">
        <w:rPr>
          <w:color w:val="365F91" w:themeColor="accent1" w:themeShade="BF"/>
        </w:rPr>
        <w:t xml:space="preserve"> βb=0</w:t>
      </w: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  <w:proofErr w:type="gramStart"/>
      <w:r w:rsidRPr="004F2F0C">
        <w:rPr>
          <w:color w:val="365F91" w:themeColor="accent1" w:themeShade="BF"/>
        </w:rPr>
        <w:t>H</w:t>
      </w:r>
      <w:r w:rsidRPr="004F2F0C">
        <w:rPr>
          <w:color w:val="365F91" w:themeColor="accent1" w:themeShade="BF"/>
          <w:vertAlign w:val="subscript"/>
        </w:rPr>
        <w:t>A</w:t>
      </w:r>
      <w:r w:rsidRPr="004F2F0C">
        <w:rPr>
          <w:color w:val="365F91" w:themeColor="accent1" w:themeShade="BF"/>
        </w:rPr>
        <w:t xml:space="preserve"> :</w:t>
      </w:r>
      <w:proofErr w:type="gramEnd"/>
      <w:r w:rsidRPr="004F2F0C">
        <w:rPr>
          <w:color w:val="365F91" w:themeColor="accent1" w:themeShade="BF"/>
        </w:rPr>
        <w:t xml:space="preserve"> at least one β</w:t>
      </w:r>
      <w:r w:rsidRPr="004F2F0C">
        <w:rPr>
          <w:color w:val="365F91" w:themeColor="accent1" w:themeShade="BF"/>
          <w:vertAlign w:val="subscript"/>
        </w:rPr>
        <w:t>j</w:t>
      </w:r>
      <w:r w:rsidRPr="004F2F0C">
        <w:rPr>
          <w:color w:val="365F91" w:themeColor="accent1" w:themeShade="BF"/>
        </w:rPr>
        <w:t xml:space="preserve"> ≠ 0</w:t>
      </w: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  <w:proofErr w:type="gramStart"/>
      <w:r w:rsidRPr="004F2F0C">
        <w:rPr>
          <w:color w:val="365F91" w:themeColor="accent1" w:themeShade="BF"/>
        </w:rPr>
        <w:t>H</w:t>
      </w:r>
      <w:r w:rsidRPr="004F2F0C">
        <w:rPr>
          <w:rFonts w:ascii="Cambria Math" w:hAnsi="Cambria Math" w:cs="Cambria Math"/>
          <w:color w:val="365F91" w:themeColor="accent1" w:themeShade="BF"/>
        </w:rPr>
        <w:t>₀</w:t>
      </w:r>
      <w:r w:rsidRPr="004F2F0C">
        <w:rPr>
          <w:color w:val="365F91" w:themeColor="accent1" w:themeShade="BF"/>
        </w:rPr>
        <w:t xml:space="preserve"> :</w:t>
      </w:r>
      <w:proofErr w:type="gramEnd"/>
      <w:r w:rsidRPr="004F2F0C">
        <w:rPr>
          <w:color w:val="365F91" w:themeColor="accent1" w:themeShade="BF"/>
        </w:rPr>
        <w:t xml:space="preserve"> (αβ)</w:t>
      </w:r>
      <w:proofErr w:type="spellStart"/>
      <w:r w:rsidRPr="004F2F0C">
        <w:rPr>
          <w:color w:val="365F91" w:themeColor="accent1" w:themeShade="BF"/>
          <w:vertAlign w:val="subscript"/>
        </w:rPr>
        <w:t>ij</w:t>
      </w:r>
      <w:proofErr w:type="spellEnd"/>
      <w:r w:rsidRPr="004F2F0C">
        <w:rPr>
          <w:color w:val="365F91" w:themeColor="accent1" w:themeShade="BF"/>
        </w:rPr>
        <w:t xml:space="preserve"> = 0 for all </w:t>
      </w:r>
      <w:proofErr w:type="spellStart"/>
      <w:r w:rsidRPr="004F2F0C">
        <w:rPr>
          <w:color w:val="365F91" w:themeColor="accent1" w:themeShade="BF"/>
        </w:rPr>
        <w:t>i,j</w:t>
      </w:r>
      <w:proofErr w:type="spellEnd"/>
    </w:p>
    <w:p w:rsidR="005B19BB" w:rsidRPr="004F2F0C" w:rsidRDefault="005B19BB" w:rsidP="005B19BB">
      <w:pPr>
        <w:pStyle w:val="ListParagraph"/>
        <w:spacing w:line="360" w:lineRule="auto"/>
        <w:rPr>
          <w:color w:val="365F91" w:themeColor="accent1" w:themeShade="BF"/>
        </w:rPr>
      </w:pPr>
      <w:proofErr w:type="gramStart"/>
      <w:r w:rsidRPr="004F2F0C">
        <w:rPr>
          <w:color w:val="365F91" w:themeColor="accent1" w:themeShade="BF"/>
        </w:rPr>
        <w:t>H</w:t>
      </w:r>
      <w:r w:rsidRPr="004F2F0C">
        <w:rPr>
          <w:color w:val="365F91" w:themeColor="accent1" w:themeShade="BF"/>
          <w:vertAlign w:val="subscript"/>
        </w:rPr>
        <w:t>A</w:t>
      </w:r>
      <w:r w:rsidRPr="004F2F0C">
        <w:rPr>
          <w:color w:val="365F91" w:themeColor="accent1" w:themeShade="BF"/>
        </w:rPr>
        <w:t xml:space="preserve"> :</w:t>
      </w:r>
      <w:proofErr w:type="gramEnd"/>
      <w:r w:rsidRPr="004F2F0C">
        <w:rPr>
          <w:color w:val="365F91" w:themeColor="accent1" w:themeShade="BF"/>
        </w:rPr>
        <w:t xml:space="preserve"> at least one (αβ)</w:t>
      </w:r>
      <w:proofErr w:type="spellStart"/>
      <w:r w:rsidRPr="004F2F0C">
        <w:rPr>
          <w:color w:val="365F91" w:themeColor="accent1" w:themeShade="BF"/>
          <w:vertAlign w:val="subscript"/>
        </w:rPr>
        <w:t>ij</w:t>
      </w:r>
      <w:proofErr w:type="spellEnd"/>
      <w:r w:rsidRPr="004F2F0C">
        <w:rPr>
          <w:color w:val="365F91" w:themeColor="accent1" w:themeShade="BF"/>
        </w:rPr>
        <w:t xml:space="preserve"> ≠ 0</w:t>
      </w:r>
    </w:p>
    <w:p w:rsidR="005B19BB" w:rsidRDefault="005B19BB" w:rsidP="005B19BB">
      <w:pPr>
        <w:pStyle w:val="ListParagraph"/>
        <w:spacing w:line="360" w:lineRule="auto"/>
      </w:pPr>
    </w:p>
    <w:p w:rsidR="00740F71" w:rsidRPr="004F2F0C" w:rsidRDefault="00CF0298" w:rsidP="00E80EC5">
      <w:pPr>
        <w:pStyle w:val="ListParagraph"/>
        <w:numPr>
          <w:ilvl w:val="1"/>
          <w:numId w:val="42"/>
        </w:numPr>
        <w:spacing w:line="360" w:lineRule="auto"/>
        <w:rPr>
          <w:sz w:val="22"/>
          <w:szCs w:val="22"/>
        </w:rPr>
      </w:pPr>
      <w:r w:rsidRPr="00CF0298">
        <w:t xml:space="preserve">Report the results of the </w:t>
      </w:r>
      <w:r w:rsidR="006264AB">
        <w:t xml:space="preserve">two- way </w:t>
      </w:r>
      <w:r w:rsidRPr="00CF0298">
        <w:t xml:space="preserve">ANOVA </w:t>
      </w:r>
      <w:r w:rsidR="00740F71">
        <w:t>including interpretation of t</w:t>
      </w:r>
      <w:r w:rsidR="00B23A95">
        <w:t>he main and interaction effects</w:t>
      </w:r>
      <w:r w:rsidR="00740F71">
        <w:t>.</w:t>
      </w:r>
    </w:p>
    <w:p w:rsidR="004F2F0C" w:rsidRDefault="004F2F0C" w:rsidP="004F2F0C">
      <w:pPr>
        <w:pStyle w:val="ListParagraph"/>
        <w:spacing w:line="360" w:lineRule="auto"/>
      </w:pPr>
    </w:p>
    <w:p w:rsidR="004F2F0C" w:rsidRDefault="004F2F0C" w:rsidP="004F2F0C">
      <w:pPr>
        <w:pStyle w:val="ListParagraph"/>
        <w:spacing w:line="360" w:lineRule="auto"/>
        <w:rPr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t>The effect of regular exercise and gender on an individual’s heart rate during aerobic activity was investigated using a</w:t>
      </w:r>
      <w:r w:rsidRPr="004F2F0C">
        <w:rPr>
          <w:color w:val="365F91" w:themeColor="accent1" w:themeShade="BF"/>
          <w:sz w:val="22"/>
          <w:szCs w:val="22"/>
        </w:rPr>
        <w:t xml:space="preserve"> two-way ANOVA</w:t>
      </w:r>
      <w:r>
        <w:rPr>
          <w:color w:val="365F91" w:themeColor="accent1" w:themeShade="BF"/>
          <w:sz w:val="22"/>
          <w:szCs w:val="22"/>
        </w:rPr>
        <w:t xml:space="preserve">. The factor </w:t>
      </w:r>
      <w:r w:rsidRPr="004F2F0C">
        <w:rPr>
          <w:rFonts w:ascii="Courier New" w:hAnsi="Courier New" w:cs="Courier New"/>
          <w:color w:val="365F91" w:themeColor="accent1" w:themeShade="BF"/>
          <w:sz w:val="22"/>
          <w:szCs w:val="22"/>
        </w:rPr>
        <w:t>Exercise</w:t>
      </w:r>
      <w:r>
        <w:rPr>
          <w:color w:val="365F91" w:themeColor="accent1" w:themeShade="BF"/>
          <w:sz w:val="22"/>
          <w:szCs w:val="22"/>
        </w:rPr>
        <w:t xml:space="preserve"> had two levels, </w:t>
      </w:r>
      <w:r w:rsidRPr="004F2F0C">
        <w:rPr>
          <w:i/>
          <w:color w:val="365F91" w:themeColor="accent1" w:themeShade="BF"/>
          <w:sz w:val="22"/>
          <w:szCs w:val="22"/>
        </w:rPr>
        <w:t>control</w:t>
      </w:r>
      <w:r>
        <w:rPr>
          <w:color w:val="365F91" w:themeColor="accent1" w:themeShade="BF"/>
          <w:sz w:val="22"/>
          <w:szCs w:val="22"/>
        </w:rPr>
        <w:t xml:space="preserve"> and </w:t>
      </w:r>
      <w:r w:rsidRPr="004F2F0C">
        <w:rPr>
          <w:i/>
          <w:color w:val="365F91" w:themeColor="accent1" w:themeShade="BF"/>
          <w:sz w:val="22"/>
          <w:szCs w:val="22"/>
        </w:rPr>
        <w:t>runners</w:t>
      </w:r>
      <w:r>
        <w:rPr>
          <w:color w:val="365F91" w:themeColor="accent1" w:themeShade="BF"/>
          <w:sz w:val="22"/>
          <w:szCs w:val="22"/>
        </w:rPr>
        <w:t xml:space="preserve"> and the factor Gender had two levels </w:t>
      </w:r>
      <w:r w:rsidRPr="00DB75C9">
        <w:rPr>
          <w:i/>
          <w:color w:val="365F91" w:themeColor="accent1" w:themeShade="BF"/>
          <w:sz w:val="22"/>
          <w:szCs w:val="22"/>
        </w:rPr>
        <w:t>male</w:t>
      </w:r>
      <w:r>
        <w:rPr>
          <w:color w:val="365F91" w:themeColor="accent1" w:themeShade="BF"/>
          <w:sz w:val="22"/>
          <w:szCs w:val="22"/>
        </w:rPr>
        <w:t xml:space="preserve"> and </w:t>
      </w:r>
      <w:r w:rsidRPr="00DB75C9">
        <w:rPr>
          <w:i/>
          <w:color w:val="365F91" w:themeColor="accent1" w:themeShade="BF"/>
          <w:sz w:val="22"/>
          <w:szCs w:val="22"/>
        </w:rPr>
        <w:t>female</w:t>
      </w:r>
      <w:r>
        <w:rPr>
          <w:color w:val="365F91" w:themeColor="accent1" w:themeShade="BF"/>
          <w:sz w:val="22"/>
          <w:szCs w:val="22"/>
        </w:rPr>
        <w:t>. Heartrate was recorded for 200 individual</w:t>
      </w:r>
      <w:r w:rsidRPr="004F2F0C">
        <w:rPr>
          <w:color w:val="365F91" w:themeColor="accent1" w:themeShade="BF"/>
          <w:sz w:val="22"/>
          <w:szCs w:val="22"/>
        </w:rPr>
        <w:t xml:space="preserve"> </w:t>
      </w:r>
      <w:r w:rsidR="00DB75C9">
        <w:rPr>
          <w:color w:val="365F91" w:themeColor="accent1" w:themeShade="BF"/>
          <w:sz w:val="22"/>
          <w:szCs w:val="22"/>
        </w:rPr>
        <w:t xml:space="preserve">from each treatment, giving an overall sample size of 800. </w:t>
      </w:r>
      <w:r w:rsidR="00541B3D">
        <w:rPr>
          <w:color w:val="365F91" w:themeColor="accent1" w:themeShade="BF"/>
          <w:sz w:val="22"/>
          <w:szCs w:val="22"/>
        </w:rPr>
        <w:t xml:space="preserve">The main effect of Exercise was significant, indicating that </w:t>
      </w:r>
      <w:r w:rsidR="001A3B02">
        <w:rPr>
          <w:color w:val="365F91" w:themeColor="accent1" w:themeShade="BF"/>
          <w:sz w:val="22"/>
          <w:szCs w:val="22"/>
        </w:rPr>
        <w:t xml:space="preserve">the </w:t>
      </w:r>
      <w:r w:rsidR="00541B3D">
        <w:rPr>
          <w:color w:val="365F91" w:themeColor="accent1" w:themeShade="BF"/>
          <w:sz w:val="22"/>
          <w:szCs w:val="22"/>
        </w:rPr>
        <w:t>mean heartrate of individuals who participate</w:t>
      </w:r>
      <w:r w:rsidR="001A3B02">
        <w:rPr>
          <w:color w:val="365F91" w:themeColor="accent1" w:themeShade="BF"/>
          <w:sz w:val="22"/>
          <w:szCs w:val="22"/>
        </w:rPr>
        <w:t>d</w:t>
      </w:r>
      <w:r w:rsidR="00541B3D">
        <w:rPr>
          <w:color w:val="365F91" w:themeColor="accent1" w:themeShade="BF"/>
          <w:sz w:val="22"/>
          <w:szCs w:val="22"/>
        </w:rPr>
        <w:t xml:space="preserve"> in regular exercise was significantly lower than the mean heartrate  of those that did not participate in regular exercise F(1,796) = 695.647, MSE = 242, p &lt; 0.001, </w:t>
      </w:r>
      <w:r w:rsidR="00541B3D" w:rsidRPr="004F2F0C">
        <w:rPr>
          <w:color w:val="365F91" w:themeColor="accent1" w:themeShade="BF"/>
          <w:sz w:val="22"/>
          <w:szCs w:val="22"/>
        </w:rPr>
        <w:t>ω</w:t>
      </w:r>
      <w:r w:rsidR="00541B3D" w:rsidRPr="00DB75C9">
        <w:rPr>
          <w:color w:val="365F91" w:themeColor="accent1" w:themeShade="BF"/>
          <w:sz w:val="22"/>
          <w:szCs w:val="22"/>
          <w:vertAlign w:val="superscript"/>
        </w:rPr>
        <w:t>2</w:t>
      </w:r>
      <w:r w:rsidR="00541B3D">
        <w:rPr>
          <w:color w:val="365F91" w:themeColor="accent1" w:themeShade="BF"/>
          <w:sz w:val="22"/>
          <w:szCs w:val="22"/>
        </w:rPr>
        <w:t xml:space="preserve">= 0.412. </w:t>
      </w:r>
      <w:r w:rsidR="00C07D1B">
        <w:rPr>
          <w:color w:val="365F91" w:themeColor="accent1" w:themeShade="BF"/>
          <w:sz w:val="22"/>
          <w:szCs w:val="22"/>
        </w:rPr>
        <w:t xml:space="preserve">The main effect of </w:t>
      </w:r>
      <w:r w:rsidR="00541B3D">
        <w:rPr>
          <w:color w:val="365F91" w:themeColor="accent1" w:themeShade="BF"/>
          <w:sz w:val="22"/>
          <w:szCs w:val="22"/>
        </w:rPr>
        <w:t xml:space="preserve">Gender was </w:t>
      </w:r>
      <w:r w:rsidR="00C07D1B">
        <w:rPr>
          <w:color w:val="365F91" w:themeColor="accent1" w:themeShade="BF"/>
          <w:sz w:val="22"/>
          <w:szCs w:val="22"/>
        </w:rPr>
        <w:t xml:space="preserve">also </w:t>
      </w:r>
      <w:r w:rsidR="00541B3D">
        <w:rPr>
          <w:color w:val="365F91" w:themeColor="accent1" w:themeShade="BF"/>
          <w:sz w:val="22"/>
          <w:szCs w:val="22"/>
        </w:rPr>
        <w:t xml:space="preserve">significant </w:t>
      </w:r>
      <w:r w:rsidR="00C07D1B">
        <w:rPr>
          <w:color w:val="365F91" w:themeColor="accent1" w:themeShade="BF"/>
          <w:sz w:val="22"/>
          <w:szCs w:val="22"/>
        </w:rPr>
        <w:t xml:space="preserve">indicating that the mean heartrate for males was significantly lower than for females </w:t>
      </w:r>
      <w:proofErr w:type="gramStart"/>
      <w:r w:rsidR="00C07D1B">
        <w:rPr>
          <w:color w:val="365F91" w:themeColor="accent1" w:themeShade="BF"/>
          <w:sz w:val="22"/>
          <w:szCs w:val="22"/>
        </w:rPr>
        <w:t>F(</w:t>
      </w:r>
      <w:proofErr w:type="gramEnd"/>
      <w:r w:rsidR="00C07D1B">
        <w:rPr>
          <w:color w:val="365F91" w:themeColor="accent1" w:themeShade="BF"/>
          <w:sz w:val="22"/>
          <w:szCs w:val="22"/>
        </w:rPr>
        <w:t xml:space="preserve">1,796) = 185.98, MSE = 242, p &lt; 0.001, </w:t>
      </w:r>
      <w:r w:rsidR="00C07D1B" w:rsidRPr="004F2F0C">
        <w:rPr>
          <w:color w:val="365F91" w:themeColor="accent1" w:themeShade="BF"/>
          <w:sz w:val="22"/>
          <w:szCs w:val="22"/>
        </w:rPr>
        <w:t>ω</w:t>
      </w:r>
      <w:r w:rsidR="00C07D1B" w:rsidRPr="00DB75C9">
        <w:rPr>
          <w:color w:val="365F91" w:themeColor="accent1" w:themeShade="BF"/>
          <w:sz w:val="22"/>
          <w:szCs w:val="22"/>
          <w:vertAlign w:val="superscript"/>
        </w:rPr>
        <w:t>2</w:t>
      </w:r>
      <w:r w:rsidR="00C07D1B">
        <w:rPr>
          <w:color w:val="365F91" w:themeColor="accent1" w:themeShade="BF"/>
          <w:sz w:val="22"/>
          <w:szCs w:val="22"/>
        </w:rPr>
        <w:t xml:space="preserve">= 0.1097.  </w:t>
      </w:r>
      <w:r w:rsidR="00CE614A" w:rsidRPr="004F2F0C">
        <w:rPr>
          <w:color w:val="365F91" w:themeColor="accent1" w:themeShade="BF"/>
          <w:sz w:val="22"/>
          <w:szCs w:val="22"/>
        </w:rPr>
        <w:t xml:space="preserve">There was a significant interaction between the effects of </w:t>
      </w:r>
      <w:r w:rsidR="00CE614A">
        <w:rPr>
          <w:color w:val="365F91" w:themeColor="accent1" w:themeShade="BF"/>
          <w:sz w:val="22"/>
          <w:szCs w:val="22"/>
        </w:rPr>
        <w:t>Exercise</w:t>
      </w:r>
      <w:r w:rsidR="00CE614A" w:rsidRPr="004F2F0C">
        <w:rPr>
          <w:color w:val="365F91" w:themeColor="accent1" w:themeShade="BF"/>
          <w:sz w:val="22"/>
          <w:szCs w:val="22"/>
        </w:rPr>
        <w:t xml:space="preserve"> and </w:t>
      </w:r>
      <w:r w:rsidR="00CE614A">
        <w:rPr>
          <w:color w:val="365F91" w:themeColor="accent1" w:themeShade="BF"/>
          <w:sz w:val="22"/>
          <w:szCs w:val="22"/>
        </w:rPr>
        <w:t>Gender</w:t>
      </w:r>
      <w:r w:rsidR="00CE614A" w:rsidRPr="004F2F0C">
        <w:rPr>
          <w:color w:val="365F91" w:themeColor="accent1" w:themeShade="BF"/>
          <w:sz w:val="22"/>
          <w:szCs w:val="22"/>
        </w:rPr>
        <w:t xml:space="preserve"> on the </w:t>
      </w:r>
      <w:r w:rsidR="00CE614A">
        <w:rPr>
          <w:color w:val="365F91" w:themeColor="accent1" w:themeShade="BF"/>
          <w:sz w:val="22"/>
          <w:szCs w:val="22"/>
        </w:rPr>
        <w:t>measured heartrate</w:t>
      </w:r>
      <w:r w:rsidR="00CE614A" w:rsidRPr="004F2F0C">
        <w:rPr>
          <w:color w:val="365F91" w:themeColor="accent1" w:themeShade="BF"/>
          <w:sz w:val="22"/>
          <w:szCs w:val="22"/>
        </w:rPr>
        <w:t xml:space="preserve"> </w:t>
      </w:r>
      <w:proofErr w:type="gramStart"/>
      <w:r w:rsidR="00CE614A" w:rsidRPr="004F2F0C">
        <w:rPr>
          <w:color w:val="365F91" w:themeColor="accent1" w:themeShade="BF"/>
          <w:sz w:val="22"/>
          <w:szCs w:val="22"/>
        </w:rPr>
        <w:t>F(</w:t>
      </w:r>
      <w:proofErr w:type="gramEnd"/>
      <w:r w:rsidR="00CE614A" w:rsidRPr="004F2F0C">
        <w:rPr>
          <w:color w:val="365F91" w:themeColor="accent1" w:themeShade="BF"/>
          <w:sz w:val="22"/>
          <w:szCs w:val="22"/>
        </w:rPr>
        <w:t xml:space="preserve">1, </w:t>
      </w:r>
      <w:r w:rsidR="00CE614A">
        <w:rPr>
          <w:color w:val="365F91" w:themeColor="accent1" w:themeShade="BF"/>
          <w:sz w:val="22"/>
          <w:szCs w:val="22"/>
        </w:rPr>
        <w:t>796</w:t>
      </w:r>
      <w:r w:rsidR="00CE614A" w:rsidRPr="004F2F0C">
        <w:rPr>
          <w:color w:val="365F91" w:themeColor="accent1" w:themeShade="BF"/>
          <w:sz w:val="22"/>
          <w:szCs w:val="22"/>
        </w:rPr>
        <w:t xml:space="preserve">) = </w:t>
      </w:r>
      <w:r w:rsidR="00CE614A">
        <w:rPr>
          <w:color w:val="365F91" w:themeColor="accent1" w:themeShade="BF"/>
          <w:sz w:val="22"/>
          <w:szCs w:val="22"/>
        </w:rPr>
        <w:t>7.409, MSE = 242</w:t>
      </w:r>
      <w:r w:rsidR="00CE614A" w:rsidRPr="004F2F0C">
        <w:rPr>
          <w:color w:val="365F91" w:themeColor="accent1" w:themeShade="BF"/>
          <w:sz w:val="22"/>
          <w:szCs w:val="22"/>
        </w:rPr>
        <w:t>, p = .00</w:t>
      </w:r>
      <w:r w:rsidR="00CE614A">
        <w:rPr>
          <w:color w:val="365F91" w:themeColor="accent1" w:themeShade="BF"/>
          <w:sz w:val="22"/>
          <w:szCs w:val="22"/>
        </w:rPr>
        <w:t>7</w:t>
      </w:r>
      <w:r w:rsidR="00CE614A" w:rsidRPr="004F2F0C">
        <w:rPr>
          <w:color w:val="365F91" w:themeColor="accent1" w:themeShade="BF"/>
          <w:sz w:val="22"/>
          <w:szCs w:val="22"/>
        </w:rPr>
        <w:t>, ω</w:t>
      </w:r>
      <w:r w:rsidR="00CE614A" w:rsidRPr="00DB75C9">
        <w:rPr>
          <w:color w:val="365F91" w:themeColor="accent1" w:themeShade="BF"/>
          <w:sz w:val="22"/>
          <w:szCs w:val="22"/>
          <w:vertAlign w:val="superscript"/>
        </w:rPr>
        <w:t>2</w:t>
      </w:r>
      <w:r w:rsidR="00CE614A" w:rsidRPr="004F2F0C">
        <w:rPr>
          <w:color w:val="365F91" w:themeColor="accent1" w:themeShade="BF"/>
          <w:sz w:val="22"/>
          <w:szCs w:val="22"/>
        </w:rPr>
        <w:t>=0.</w:t>
      </w:r>
      <w:r w:rsidR="00CE614A">
        <w:rPr>
          <w:color w:val="365F91" w:themeColor="accent1" w:themeShade="BF"/>
          <w:sz w:val="22"/>
          <w:szCs w:val="22"/>
        </w:rPr>
        <w:t>0038</w:t>
      </w:r>
      <w:r w:rsidR="00CE614A" w:rsidRPr="004F2F0C">
        <w:rPr>
          <w:color w:val="365F91" w:themeColor="accent1" w:themeShade="BF"/>
          <w:sz w:val="22"/>
          <w:szCs w:val="22"/>
        </w:rPr>
        <w:t>.</w:t>
      </w:r>
      <w:r w:rsidR="00CE614A">
        <w:rPr>
          <w:color w:val="365F91" w:themeColor="accent1" w:themeShade="BF"/>
          <w:sz w:val="22"/>
          <w:szCs w:val="22"/>
        </w:rPr>
        <w:t xml:space="preserve"> The significant interaction between Gender and Exercise indicates that the effect of regular exercise on measured heartrate is </w:t>
      </w:r>
      <w:r w:rsidR="00CE614A">
        <w:rPr>
          <w:color w:val="365F91" w:themeColor="accent1" w:themeShade="BF"/>
          <w:sz w:val="22"/>
          <w:szCs w:val="22"/>
        </w:rPr>
        <w:lastRenderedPageBreak/>
        <w:t xml:space="preserve">different for different levels of Gender. The interaction plot shows that regular </w:t>
      </w:r>
      <w:r w:rsidR="00B23A95">
        <w:rPr>
          <w:color w:val="365F91" w:themeColor="accent1" w:themeShade="BF"/>
          <w:sz w:val="22"/>
          <w:szCs w:val="22"/>
        </w:rPr>
        <w:t>exercise had a greater impact on heartrate for females than males.</w:t>
      </w:r>
    </w:p>
    <w:p w:rsidR="00B23A95" w:rsidRPr="004F2F0C" w:rsidRDefault="00B23A95" w:rsidP="004F2F0C">
      <w:pPr>
        <w:pStyle w:val="ListParagraph"/>
        <w:spacing w:line="360" w:lineRule="auto"/>
        <w:rPr>
          <w:color w:val="365F91" w:themeColor="accent1" w:themeShade="BF"/>
          <w:sz w:val="22"/>
          <w:szCs w:val="22"/>
        </w:rPr>
      </w:pPr>
    </w:p>
    <w:p w:rsidR="00243594" w:rsidRPr="00740F71" w:rsidRDefault="00243594" w:rsidP="00740F71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CF6C65" w:rsidRDefault="004405F4" w:rsidP="004405F4">
      <w:pPr>
        <w:pStyle w:val="ListParagraph"/>
        <w:numPr>
          <w:ilvl w:val="0"/>
          <w:numId w:val="39"/>
        </w:numPr>
        <w:spacing w:line="360" w:lineRule="auto"/>
        <w:ind w:left="0" w:hanging="426"/>
      </w:pPr>
      <w:r>
        <w:t xml:space="preserve">The data for this example comes from a farm-scale trial of animal diets. There are two factors: diet and supplement. Diet is a factor with three levels: barley, oats and wheat. Supplement is a factor with four levels: </w:t>
      </w:r>
      <w:proofErr w:type="spellStart"/>
      <w:r>
        <w:t>agrimore</w:t>
      </w:r>
      <w:proofErr w:type="spellEnd"/>
      <w:r>
        <w:t xml:space="preserve">, control, </w:t>
      </w:r>
      <w:proofErr w:type="spellStart"/>
      <w:r>
        <w:t>supergain</w:t>
      </w:r>
      <w:proofErr w:type="spellEnd"/>
      <w:r>
        <w:t xml:space="preserve"> and </w:t>
      </w:r>
      <w:proofErr w:type="spellStart"/>
      <w:r>
        <w:t>supersupp</w:t>
      </w:r>
      <w:proofErr w:type="spellEnd"/>
      <w:r>
        <w:t xml:space="preserve">. The response variable is weight gain after 6 weeks. </w:t>
      </w:r>
      <w:r w:rsidR="00BF31FD" w:rsidRPr="00BF31FD">
        <w:t xml:space="preserve">The data from the experiment is available on Blackboard in the </w:t>
      </w:r>
      <w:r w:rsidR="00057FE8">
        <w:rPr>
          <w:rFonts w:ascii="Courier New" w:hAnsi="Courier New" w:cs="Courier New"/>
        </w:rPr>
        <w:t>growth</w:t>
      </w:r>
      <w:r w:rsidR="00BF31FD" w:rsidRPr="004405F4">
        <w:rPr>
          <w:rFonts w:ascii="Courier New" w:hAnsi="Courier New" w:cs="Courier New"/>
        </w:rPr>
        <w:t>.txt</w:t>
      </w:r>
      <w:r w:rsidR="00BF31FD" w:rsidRPr="00BF31FD">
        <w:t xml:space="preserve"> file.</w:t>
      </w:r>
      <w:r w:rsidR="00287C75">
        <w:t xml:space="preserve"> </w:t>
      </w:r>
    </w:p>
    <w:p w:rsidR="00BF31FD" w:rsidRDefault="00CF6C65" w:rsidP="00CF6C65">
      <w:pPr>
        <w:pStyle w:val="ListParagraph"/>
        <w:spacing w:line="360" w:lineRule="auto"/>
        <w:ind w:left="0"/>
      </w:pPr>
      <w:r>
        <w:t>Carry out a two-way ANOVA on the data and w</w:t>
      </w:r>
      <w:r w:rsidR="00287C75">
        <w:t xml:space="preserve">rite up a brief report including the following outputs and </w:t>
      </w:r>
      <w:r w:rsidR="00E23138">
        <w:t>any conclusions that you draw.</w:t>
      </w:r>
    </w:p>
    <w:p w:rsidR="00287C75" w:rsidRDefault="00287C75" w:rsidP="00287C75">
      <w:pPr>
        <w:pStyle w:val="ListParagraph"/>
        <w:numPr>
          <w:ilvl w:val="1"/>
          <w:numId w:val="39"/>
        </w:numPr>
        <w:spacing w:line="360" w:lineRule="auto"/>
      </w:pPr>
      <w:r>
        <w:t>Exploratory data analysis</w:t>
      </w:r>
    </w:p>
    <w:p w:rsidR="00F8691B" w:rsidRDefault="00F8691B" w:rsidP="00287C75">
      <w:pPr>
        <w:pStyle w:val="ListParagraph"/>
        <w:numPr>
          <w:ilvl w:val="1"/>
          <w:numId w:val="39"/>
        </w:numPr>
        <w:spacing w:line="360" w:lineRule="auto"/>
      </w:pPr>
      <w:r>
        <w:t>ANOVA table</w:t>
      </w:r>
    </w:p>
    <w:p w:rsidR="00F8691B" w:rsidRDefault="00F8691B" w:rsidP="00287C75">
      <w:pPr>
        <w:pStyle w:val="ListParagraph"/>
        <w:numPr>
          <w:ilvl w:val="1"/>
          <w:numId w:val="39"/>
        </w:numPr>
        <w:spacing w:line="360" w:lineRule="auto"/>
      </w:pPr>
      <w:r>
        <w:t xml:space="preserve">The effect size </w:t>
      </w:r>
      <w:r w:rsidR="00CF6C65">
        <w:t>ω</w:t>
      </w:r>
      <w:r w:rsidRPr="00CF0298">
        <w:t>²</w:t>
      </w:r>
    </w:p>
    <w:p w:rsidR="00E706D8" w:rsidRPr="00EF7D07" w:rsidRDefault="00E706D8" w:rsidP="00E23138">
      <w:pPr>
        <w:pStyle w:val="ListParagraph"/>
        <w:numPr>
          <w:ilvl w:val="1"/>
          <w:numId w:val="39"/>
        </w:numPr>
        <w:spacing w:line="360" w:lineRule="auto"/>
      </w:pPr>
      <w:r w:rsidRPr="00EF7D07">
        <w:t>Model diagnostics</w:t>
      </w:r>
    </w:p>
    <w:p w:rsidR="00562727" w:rsidRDefault="00562727" w:rsidP="00562727"/>
    <w:p w:rsidR="00C41900" w:rsidRDefault="00C41900" w:rsidP="00A84EBE">
      <w:pPr>
        <w:spacing w:line="360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t>Out of the different diets, t</w:t>
      </w:r>
      <w:r w:rsidRPr="00CB17C8">
        <w:rPr>
          <w:color w:val="365F91" w:themeColor="accent1" w:themeShade="BF"/>
        </w:rPr>
        <w:t xml:space="preserve">he greatest mean </w:t>
      </w:r>
      <w:r>
        <w:rPr>
          <w:color w:val="365F91" w:themeColor="accent1" w:themeShade="BF"/>
        </w:rPr>
        <w:t>weight gain</w:t>
      </w:r>
      <w:r w:rsidRPr="00CB17C8">
        <w:rPr>
          <w:color w:val="365F91" w:themeColor="accent1" w:themeShade="BF"/>
        </w:rPr>
        <w:t xml:space="preserve"> was for </w:t>
      </w:r>
      <w:r>
        <w:rPr>
          <w:color w:val="365F91" w:themeColor="accent1" w:themeShade="BF"/>
        </w:rPr>
        <w:t>the barley diet</w:t>
      </w:r>
      <w:r w:rsidRPr="00CB17C8">
        <w:rPr>
          <w:color w:val="365F91" w:themeColor="accent1" w:themeShade="BF"/>
        </w:rPr>
        <w:t xml:space="preserve">, with a mean </w:t>
      </w:r>
      <w:r>
        <w:rPr>
          <w:color w:val="365F91" w:themeColor="accent1" w:themeShade="BF"/>
        </w:rPr>
        <w:t>gain of 24.4 kg (see Table 1)</w:t>
      </w:r>
      <w:r w:rsidRPr="00CB17C8">
        <w:rPr>
          <w:color w:val="365F91" w:themeColor="accent1" w:themeShade="BF"/>
        </w:rPr>
        <w:t xml:space="preserve">. </w:t>
      </w:r>
      <w:r>
        <w:rPr>
          <w:color w:val="365F91" w:themeColor="accent1" w:themeShade="BF"/>
        </w:rPr>
        <w:t>The supplement with the largest mean gain</w:t>
      </w:r>
      <w:r w:rsidR="00A84EBE">
        <w:rPr>
          <w:color w:val="365F91" w:themeColor="accent1" w:themeShade="BF"/>
        </w:rPr>
        <w:t xml:space="preserve"> (23.1 kg)</w:t>
      </w:r>
      <w:r>
        <w:rPr>
          <w:color w:val="365F91" w:themeColor="accent1" w:themeShade="BF"/>
        </w:rPr>
        <w:t xml:space="preserve"> was </w:t>
      </w:r>
      <w:proofErr w:type="spellStart"/>
      <w:r>
        <w:rPr>
          <w:color w:val="365F91" w:themeColor="accent1" w:themeShade="BF"/>
        </w:rPr>
        <w:t>agrimore</w:t>
      </w:r>
      <w:proofErr w:type="spellEnd"/>
      <w:r>
        <w:rPr>
          <w:color w:val="365F91" w:themeColor="accent1" w:themeShade="BF"/>
        </w:rPr>
        <w:t xml:space="preserve"> (see Table 2).</w:t>
      </w:r>
      <w:r w:rsidR="001A3B02">
        <w:rPr>
          <w:color w:val="365F91" w:themeColor="accent1" w:themeShade="BF"/>
        </w:rPr>
        <w:t xml:space="preserve"> </w:t>
      </w:r>
      <w:r w:rsidRPr="00CB17C8">
        <w:rPr>
          <w:color w:val="365F91" w:themeColor="accent1" w:themeShade="BF"/>
        </w:rPr>
        <w:t>The boxplots (see Fig. 1) and histograms (see Fig</w:t>
      </w:r>
      <w:r>
        <w:rPr>
          <w:color w:val="365F91" w:themeColor="accent1" w:themeShade="BF"/>
        </w:rPr>
        <w:t>s</w:t>
      </w:r>
      <w:r w:rsidRPr="00CB17C8">
        <w:rPr>
          <w:color w:val="365F91" w:themeColor="accent1" w:themeShade="BF"/>
        </w:rPr>
        <w:t>. 2</w:t>
      </w:r>
      <w:r>
        <w:rPr>
          <w:color w:val="365F91" w:themeColor="accent1" w:themeShade="BF"/>
        </w:rPr>
        <w:t xml:space="preserve"> and 3</w:t>
      </w:r>
      <w:r w:rsidRPr="00CB17C8">
        <w:rPr>
          <w:color w:val="365F91" w:themeColor="accent1" w:themeShade="BF"/>
        </w:rPr>
        <w:t>) indicate that there are no potential outliers and ther</w:t>
      </w:r>
      <w:r>
        <w:rPr>
          <w:color w:val="365F91" w:themeColor="accent1" w:themeShade="BF"/>
        </w:rPr>
        <w:t>e is no evidence of strong skew. Homogeneity</w:t>
      </w:r>
      <w:r w:rsidRPr="00CB17C8">
        <w:rPr>
          <w:color w:val="365F91" w:themeColor="accent1" w:themeShade="BF"/>
        </w:rPr>
        <w:t xml:space="preserve"> of variance was assessed using the </w:t>
      </w:r>
      <w:proofErr w:type="spellStart"/>
      <w:r w:rsidRPr="00CB17C8">
        <w:rPr>
          <w:color w:val="365F91" w:themeColor="accent1" w:themeShade="BF"/>
        </w:rPr>
        <w:t>Fligner</w:t>
      </w:r>
      <w:proofErr w:type="spellEnd"/>
      <w:r w:rsidRPr="00CB17C8">
        <w:rPr>
          <w:color w:val="365F91" w:themeColor="accent1" w:themeShade="BF"/>
        </w:rPr>
        <w:t xml:space="preserve"> – Killeen t</w:t>
      </w:r>
      <w:r>
        <w:rPr>
          <w:color w:val="365F91" w:themeColor="accent1" w:themeShade="BF"/>
        </w:rPr>
        <w:t>est which found variance of gain</w:t>
      </w:r>
      <w:r w:rsidRPr="00CB17C8">
        <w:rPr>
          <w:color w:val="365F91" w:themeColor="accent1" w:themeShade="BF"/>
        </w:rPr>
        <w:t xml:space="preserve"> did not differ significantly across different </w:t>
      </w:r>
      <w:r>
        <w:rPr>
          <w:color w:val="365F91" w:themeColor="accent1" w:themeShade="BF"/>
        </w:rPr>
        <w:t>treatments</w:t>
      </w:r>
      <w:r w:rsidRPr="00CB17C8">
        <w:rPr>
          <w:color w:val="365F91" w:themeColor="accent1" w:themeShade="BF"/>
        </w:rPr>
        <w:t>, p-value = 0.</w:t>
      </w:r>
      <w:r>
        <w:rPr>
          <w:color w:val="365F91" w:themeColor="accent1" w:themeShade="BF"/>
        </w:rPr>
        <w:t>4091 (11</w:t>
      </w:r>
      <w:r w:rsidRPr="00CB17C8">
        <w:rPr>
          <w:color w:val="365F91" w:themeColor="accent1" w:themeShade="BF"/>
        </w:rPr>
        <w:t xml:space="preserve"> </w:t>
      </w:r>
      <w:proofErr w:type="spellStart"/>
      <w:r w:rsidRPr="00CB17C8">
        <w:rPr>
          <w:color w:val="365F91" w:themeColor="accent1" w:themeShade="BF"/>
        </w:rPr>
        <w:t>d.f.</w:t>
      </w:r>
      <w:proofErr w:type="spellEnd"/>
      <w:r w:rsidRPr="00CB17C8">
        <w:rPr>
          <w:color w:val="365F91" w:themeColor="accent1" w:themeShade="BF"/>
        </w:rPr>
        <w:t>).</w:t>
      </w:r>
      <w:r w:rsidRPr="006C4233">
        <w:rPr>
          <w:color w:val="365F91" w:themeColor="accent1" w:themeShade="BF"/>
        </w:rPr>
        <w:t xml:space="preserve"> </w:t>
      </w:r>
    </w:p>
    <w:p w:rsidR="00C41900" w:rsidRDefault="00C41900" w:rsidP="00A84EBE">
      <w:pPr>
        <w:spacing w:line="360" w:lineRule="auto"/>
        <w:rPr>
          <w:color w:val="365F91" w:themeColor="accent1" w:themeShade="BF"/>
        </w:rPr>
      </w:pPr>
    </w:p>
    <w:p w:rsidR="00C41900" w:rsidRDefault="00C41900" w:rsidP="00A84EBE">
      <w:pPr>
        <w:spacing w:line="360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t>An interaction plot showed that there was no interaction between diet and supplement (see Fig. 4)</w:t>
      </w:r>
      <w:r w:rsidR="00F419F3">
        <w:rPr>
          <w:color w:val="365F91" w:themeColor="accent1" w:themeShade="BF"/>
        </w:rPr>
        <w:t xml:space="preserve">, this was confirmed by the two-way ANOVA </w:t>
      </w:r>
      <w:r w:rsidR="007922E2">
        <w:rPr>
          <w:color w:val="365F91" w:themeColor="accent1" w:themeShade="BF"/>
        </w:rPr>
        <w:t xml:space="preserve">(Table 3). Diet had significant effect </w:t>
      </w:r>
      <w:r w:rsidR="002846F2">
        <w:rPr>
          <w:color w:val="365F91" w:themeColor="accent1" w:themeShade="BF"/>
        </w:rPr>
        <w:t>on weight gain F = (2</w:t>
      </w:r>
      <w:proofErr w:type="gramStart"/>
      <w:r w:rsidR="002846F2">
        <w:rPr>
          <w:color w:val="365F91" w:themeColor="accent1" w:themeShade="BF"/>
        </w:rPr>
        <w:t>,36</w:t>
      </w:r>
      <w:proofErr w:type="gramEnd"/>
      <w:r w:rsidR="002846F2">
        <w:rPr>
          <w:color w:val="365F91" w:themeColor="accent1" w:themeShade="BF"/>
        </w:rPr>
        <w:t xml:space="preserve">) = </w:t>
      </w:r>
      <w:r w:rsidR="002846F2" w:rsidRPr="00517812">
        <w:rPr>
          <w:color w:val="365F91" w:themeColor="accent1" w:themeShade="BF"/>
        </w:rPr>
        <w:t>83.52</w:t>
      </w:r>
      <w:r w:rsidR="002846F2">
        <w:rPr>
          <w:color w:val="365F91" w:themeColor="accent1" w:themeShade="BF"/>
        </w:rPr>
        <w:t xml:space="preserve">, MSE = 1.72 </w:t>
      </w:r>
      <w:r w:rsidR="002846F2">
        <w:rPr>
          <w:color w:val="365F91" w:themeColor="accent1" w:themeShade="BF"/>
          <w:sz w:val="22"/>
          <w:szCs w:val="22"/>
        </w:rPr>
        <w:t xml:space="preserve">p &lt; 0.001, </w:t>
      </w:r>
      <w:r w:rsidR="002846F2" w:rsidRPr="004F2F0C">
        <w:rPr>
          <w:color w:val="365F91" w:themeColor="accent1" w:themeShade="BF"/>
          <w:sz w:val="22"/>
          <w:szCs w:val="22"/>
        </w:rPr>
        <w:t>ω</w:t>
      </w:r>
      <w:r w:rsidR="002846F2" w:rsidRPr="00DB75C9">
        <w:rPr>
          <w:color w:val="365F91" w:themeColor="accent1" w:themeShade="BF"/>
          <w:sz w:val="22"/>
          <w:szCs w:val="22"/>
          <w:vertAlign w:val="superscript"/>
        </w:rPr>
        <w:t>2</w:t>
      </w:r>
      <w:r w:rsidR="002846F2">
        <w:rPr>
          <w:color w:val="365F91" w:themeColor="accent1" w:themeShade="BF"/>
          <w:sz w:val="22"/>
          <w:szCs w:val="22"/>
        </w:rPr>
        <w:t>= 0.</w:t>
      </w:r>
      <w:r w:rsidR="002846F2">
        <w:rPr>
          <w:color w:val="365F91" w:themeColor="accent1" w:themeShade="BF"/>
          <w:sz w:val="22"/>
          <w:szCs w:val="22"/>
        </w:rPr>
        <w:t>636</w:t>
      </w:r>
      <w:r w:rsidR="002846F2">
        <w:rPr>
          <w:color w:val="365F91" w:themeColor="accent1" w:themeShade="BF"/>
          <w:sz w:val="22"/>
          <w:szCs w:val="22"/>
        </w:rPr>
        <w:t>.</w:t>
      </w:r>
      <w:r w:rsidR="002846F2">
        <w:rPr>
          <w:color w:val="365F91" w:themeColor="accent1" w:themeShade="BF"/>
          <w:sz w:val="22"/>
          <w:szCs w:val="22"/>
        </w:rPr>
        <w:t xml:space="preserve"> The mean weight gain of animals fed a diet of barley was significantly greater than those fed wheat or oats. </w:t>
      </w:r>
      <w:r w:rsidR="002846F2">
        <w:rPr>
          <w:color w:val="365F91" w:themeColor="accent1" w:themeShade="BF"/>
          <w:sz w:val="22"/>
          <w:szCs w:val="22"/>
        </w:rPr>
        <w:t xml:space="preserve">The mean weight gain of animals fed a diet of </w:t>
      </w:r>
      <w:r w:rsidR="002846F2">
        <w:rPr>
          <w:color w:val="365F91" w:themeColor="accent1" w:themeShade="BF"/>
          <w:sz w:val="22"/>
          <w:szCs w:val="22"/>
        </w:rPr>
        <w:t>oats</w:t>
      </w:r>
      <w:r w:rsidR="002846F2">
        <w:rPr>
          <w:color w:val="365F91" w:themeColor="accent1" w:themeShade="BF"/>
          <w:sz w:val="22"/>
          <w:szCs w:val="22"/>
        </w:rPr>
        <w:t xml:space="preserve"> was significantly greater than those fed wheat</w:t>
      </w:r>
      <w:r w:rsidR="002846F2">
        <w:rPr>
          <w:color w:val="365F91" w:themeColor="accent1" w:themeShade="BF"/>
          <w:sz w:val="22"/>
          <w:szCs w:val="22"/>
        </w:rPr>
        <w:t xml:space="preserve"> (see Table 4). </w:t>
      </w:r>
      <w:r w:rsidR="002846F2">
        <w:rPr>
          <w:color w:val="365F91" w:themeColor="accent1" w:themeShade="BF"/>
        </w:rPr>
        <w:t>Supplement also</w:t>
      </w:r>
      <w:r w:rsidR="002846F2">
        <w:rPr>
          <w:color w:val="365F91" w:themeColor="accent1" w:themeShade="BF"/>
        </w:rPr>
        <w:t xml:space="preserve"> had significant effect on weight gain F = (</w:t>
      </w:r>
      <w:r w:rsidR="002846F2">
        <w:rPr>
          <w:color w:val="365F91" w:themeColor="accent1" w:themeShade="BF"/>
        </w:rPr>
        <w:t>3</w:t>
      </w:r>
      <w:proofErr w:type="gramStart"/>
      <w:r w:rsidR="002846F2">
        <w:rPr>
          <w:color w:val="365F91" w:themeColor="accent1" w:themeShade="BF"/>
        </w:rPr>
        <w:t>,36</w:t>
      </w:r>
      <w:proofErr w:type="gramEnd"/>
      <w:r w:rsidR="002846F2">
        <w:rPr>
          <w:color w:val="365F91" w:themeColor="accent1" w:themeShade="BF"/>
        </w:rPr>
        <w:t xml:space="preserve">) = </w:t>
      </w:r>
      <w:r w:rsidR="002846F2">
        <w:rPr>
          <w:color w:val="365F91" w:themeColor="accent1" w:themeShade="BF"/>
        </w:rPr>
        <w:t>17.82</w:t>
      </w:r>
      <w:r w:rsidR="002846F2">
        <w:rPr>
          <w:color w:val="365F91" w:themeColor="accent1" w:themeShade="BF"/>
        </w:rPr>
        <w:t xml:space="preserve">, MSE = 1.72 </w:t>
      </w:r>
      <w:r w:rsidR="002846F2">
        <w:rPr>
          <w:color w:val="365F91" w:themeColor="accent1" w:themeShade="BF"/>
          <w:sz w:val="22"/>
          <w:szCs w:val="22"/>
        </w:rPr>
        <w:t xml:space="preserve">p &lt; 0.001, </w:t>
      </w:r>
      <w:r w:rsidR="002846F2" w:rsidRPr="004F2F0C">
        <w:rPr>
          <w:color w:val="365F91" w:themeColor="accent1" w:themeShade="BF"/>
          <w:sz w:val="22"/>
          <w:szCs w:val="22"/>
        </w:rPr>
        <w:t>ω</w:t>
      </w:r>
      <w:r w:rsidR="002846F2" w:rsidRPr="00DB75C9">
        <w:rPr>
          <w:color w:val="365F91" w:themeColor="accent1" w:themeShade="BF"/>
          <w:sz w:val="22"/>
          <w:szCs w:val="22"/>
          <w:vertAlign w:val="superscript"/>
        </w:rPr>
        <w:t>2</w:t>
      </w:r>
      <w:r w:rsidR="002846F2">
        <w:rPr>
          <w:color w:val="365F91" w:themeColor="accent1" w:themeShade="BF"/>
          <w:sz w:val="22"/>
          <w:szCs w:val="22"/>
        </w:rPr>
        <w:t>= 0.</w:t>
      </w:r>
      <w:r w:rsidR="002846F2">
        <w:rPr>
          <w:color w:val="365F91" w:themeColor="accent1" w:themeShade="BF"/>
          <w:sz w:val="22"/>
          <w:szCs w:val="22"/>
        </w:rPr>
        <w:t>19</w:t>
      </w:r>
      <w:r w:rsidR="002846F2">
        <w:rPr>
          <w:color w:val="365F91" w:themeColor="accent1" w:themeShade="BF"/>
          <w:sz w:val="22"/>
          <w:szCs w:val="22"/>
        </w:rPr>
        <w:t xml:space="preserve">. The mean weight gain of animals </w:t>
      </w:r>
      <w:r w:rsidR="0023020C">
        <w:rPr>
          <w:color w:val="365F91" w:themeColor="accent1" w:themeShade="BF"/>
          <w:sz w:val="22"/>
          <w:szCs w:val="22"/>
        </w:rPr>
        <w:t xml:space="preserve">given a supplement of </w:t>
      </w:r>
      <w:proofErr w:type="spellStart"/>
      <w:r w:rsidR="0023020C">
        <w:rPr>
          <w:color w:val="365F91" w:themeColor="accent1" w:themeShade="BF"/>
          <w:sz w:val="22"/>
          <w:szCs w:val="22"/>
        </w:rPr>
        <w:t>agrimore</w:t>
      </w:r>
      <w:proofErr w:type="spellEnd"/>
      <w:r w:rsidR="0023020C">
        <w:rPr>
          <w:color w:val="365F91" w:themeColor="accent1" w:themeShade="BF"/>
          <w:sz w:val="22"/>
          <w:szCs w:val="22"/>
        </w:rPr>
        <w:t xml:space="preserve"> or </w:t>
      </w:r>
      <w:proofErr w:type="spellStart"/>
      <w:r w:rsidR="0023020C">
        <w:rPr>
          <w:color w:val="365F91" w:themeColor="accent1" w:themeShade="BF"/>
          <w:sz w:val="22"/>
          <w:szCs w:val="22"/>
        </w:rPr>
        <w:t>suppersupp</w:t>
      </w:r>
      <w:proofErr w:type="spellEnd"/>
      <w:r w:rsidR="0023020C">
        <w:rPr>
          <w:color w:val="365F91" w:themeColor="accent1" w:themeShade="BF"/>
          <w:sz w:val="22"/>
          <w:szCs w:val="22"/>
        </w:rPr>
        <w:t xml:space="preserve"> was</w:t>
      </w:r>
      <w:r w:rsidR="002846F2">
        <w:rPr>
          <w:color w:val="365F91" w:themeColor="accent1" w:themeShade="BF"/>
          <w:sz w:val="22"/>
          <w:szCs w:val="22"/>
        </w:rPr>
        <w:t xml:space="preserve"> significantly greater than those </w:t>
      </w:r>
      <w:r w:rsidR="0023020C">
        <w:rPr>
          <w:color w:val="365F91" w:themeColor="accent1" w:themeShade="BF"/>
          <w:sz w:val="22"/>
          <w:szCs w:val="22"/>
        </w:rPr>
        <w:t>given other supplements (see Table 5)</w:t>
      </w:r>
      <w:r w:rsidR="002846F2">
        <w:rPr>
          <w:color w:val="365F91" w:themeColor="accent1" w:themeShade="BF"/>
          <w:sz w:val="22"/>
          <w:szCs w:val="22"/>
        </w:rPr>
        <w:t>.</w:t>
      </w:r>
    </w:p>
    <w:p w:rsidR="00CB17C8" w:rsidRPr="00CB17C8" w:rsidRDefault="00CB17C8" w:rsidP="00CB17C8">
      <w:pPr>
        <w:rPr>
          <w:color w:val="365F91" w:themeColor="accent1" w:themeShade="BF"/>
        </w:rPr>
      </w:pPr>
    </w:p>
    <w:p w:rsidR="00CB17C8" w:rsidRPr="005E6C1D" w:rsidRDefault="00CB17C8" w:rsidP="00CB17C8">
      <w:pPr>
        <w:rPr>
          <w:b/>
          <w:color w:val="365F91" w:themeColor="accent1" w:themeShade="BF"/>
        </w:rPr>
      </w:pPr>
      <w:bookmarkStart w:id="0" w:name="_GoBack"/>
      <w:r w:rsidRPr="005E6C1D">
        <w:rPr>
          <w:b/>
          <w:color w:val="365F91" w:themeColor="accent1" w:themeShade="BF"/>
        </w:rPr>
        <w:t>Table 1</w:t>
      </w:r>
    </w:p>
    <w:bookmarkEnd w:id="0"/>
    <w:p w:rsidR="00FA65E5" w:rsidRPr="00CB17C8" w:rsidRDefault="00FA65E5" w:rsidP="00CB17C8">
      <w:pPr>
        <w:rPr>
          <w:color w:val="365F91" w:themeColor="accent1" w:themeShade="BF"/>
        </w:rPr>
      </w:pPr>
    </w:p>
    <w:p w:rsidR="00335AAD" w:rsidRPr="00CB17C8" w:rsidRDefault="00335AAD" w:rsidP="00CB17C8">
      <w:pPr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1646"/>
        <w:gridCol w:w="1439"/>
        <w:gridCol w:w="1439"/>
      </w:tblGrid>
      <w:tr w:rsidR="00335AAD" w:rsidTr="00335AAD">
        <w:tc>
          <w:tcPr>
            <w:tcW w:w="1129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Diet</w:t>
            </w:r>
          </w:p>
        </w:tc>
        <w:tc>
          <w:tcPr>
            <w:tcW w:w="1560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Mean </w:t>
            </w:r>
            <w:r w:rsidR="00C33108">
              <w:rPr>
                <w:color w:val="365F91" w:themeColor="accent1" w:themeShade="BF"/>
              </w:rPr>
              <w:t>Gain</w:t>
            </w:r>
          </w:p>
        </w:tc>
        <w:tc>
          <w:tcPr>
            <w:tcW w:w="1417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SD </w:t>
            </w:r>
            <w:r w:rsidR="00C33108">
              <w:rPr>
                <w:color w:val="365F91" w:themeColor="accent1" w:themeShade="BF"/>
              </w:rPr>
              <w:t>Gain</w:t>
            </w:r>
          </w:p>
        </w:tc>
        <w:tc>
          <w:tcPr>
            <w:tcW w:w="1646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 w:rsidRPr="00CB17C8">
              <w:rPr>
                <w:color w:val="365F91" w:themeColor="accent1" w:themeShade="BF"/>
              </w:rPr>
              <w:t>Max</w:t>
            </w:r>
            <w:r>
              <w:rPr>
                <w:color w:val="365F91" w:themeColor="accent1" w:themeShade="BF"/>
              </w:rPr>
              <w:t xml:space="preserve"> </w:t>
            </w:r>
            <w:r w:rsidR="00C33108">
              <w:rPr>
                <w:color w:val="365F91" w:themeColor="accent1" w:themeShade="BF"/>
              </w:rPr>
              <w:t>Gain</w:t>
            </w:r>
          </w:p>
        </w:tc>
        <w:tc>
          <w:tcPr>
            <w:tcW w:w="1439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Min </w:t>
            </w:r>
            <w:r w:rsidR="00C33108">
              <w:rPr>
                <w:color w:val="365F91" w:themeColor="accent1" w:themeShade="BF"/>
              </w:rPr>
              <w:t>Gain</w:t>
            </w:r>
          </w:p>
        </w:tc>
        <w:tc>
          <w:tcPr>
            <w:tcW w:w="1439" w:type="dxa"/>
          </w:tcPr>
          <w:p w:rsidR="00335AAD" w:rsidRPr="00CB17C8" w:rsidRDefault="00335AAD" w:rsidP="00636EE1">
            <w:pPr>
              <w:jc w:val="center"/>
              <w:rPr>
                <w:color w:val="365F91" w:themeColor="accent1" w:themeShade="BF"/>
              </w:rPr>
            </w:pPr>
            <w:r w:rsidRPr="00CB17C8">
              <w:rPr>
                <w:color w:val="365F91" w:themeColor="accent1" w:themeShade="BF"/>
              </w:rPr>
              <w:t>No. Obs. (n)</w:t>
            </w:r>
          </w:p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</w:p>
        </w:tc>
      </w:tr>
      <w:tr w:rsidR="00335AAD" w:rsidTr="00335AAD">
        <w:tc>
          <w:tcPr>
            <w:tcW w:w="1129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Barley</w:t>
            </w:r>
          </w:p>
        </w:tc>
        <w:tc>
          <w:tcPr>
            <w:tcW w:w="1560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 w:rsidRPr="00335AAD">
              <w:rPr>
                <w:color w:val="365F91" w:themeColor="accent1" w:themeShade="BF"/>
              </w:rPr>
              <w:t>24.4</w:t>
            </w:r>
          </w:p>
        </w:tc>
        <w:tc>
          <w:tcPr>
            <w:tcW w:w="1417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2.27</w:t>
            </w:r>
          </w:p>
        </w:tc>
        <w:tc>
          <w:tcPr>
            <w:tcW w:w="1646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29.0</w:t>
            </w:r>
          </w:p>
        </w:tc>
        <w:tc>
          <w:tcPr>
            <w:tcW w:w="1439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20.9</w:t>
            </w:r>
          </w:p>
        </w:tc>
        <w:tc>
          <w:tcPr>
            <w:tcW w:w="1439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16</w:t>
            </w:r>
          </w:p>
        </w:tc>
      </w:tr>
      <w:tr w:rsidR="00335AAD" w:rsidTr="00335AAD">
        <w:tc>
          <w:tcPr>
            <w:tcW w:w="1129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Oats</w:t>
            </w:r>
          </w:p>
        </w:tc>
        <w:tc>
          <w:tcPr>
            <w:tcW w:w="1560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21.3</w:t>
            </w:r>
          </w:p>
        </w:tc>
        <w:tc>
          <w:tcPr>
            <w:tcW w:w="1417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1.67</w:t>
            </w:r>
          </w:p>
        </w:tc>
        <w:tc>
          <w:tcPr>
            <w:tcW w:w="1646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24.9</w:t>
            </w:r>
          </w:p>
        </w:tc>
        <w:tc>
          <w:tcPr>
            <w:tcW w:w="1439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19.0</w:t>
            </w:r>
          </w:p>
        </w:tc>
        <w:tc>
          <w:tcPr>
            <w:tcW w:w="1439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16</w:t>
            </w:r>
          </w:p>
        </w:tc>
      </w:tr>
      <w:tr w:rsidR="00335AAD" w:rsidTr="00335AAD">
        <w:tc>
          <w:tcPr>
            <w:tcW w:w="1129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Wheat</w:t>
            </w:r>
          </w:p>
        </w:tc>
        <w:tc>
          <w:tcPr>
            <w:tcW w:w="1560" w:type="dxa"/>
          </w:tcPr>
          <w:p w:rsidR="00335AAD" w:rsidRDefault="00335AAD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18.4</w:t>
            </w:r>
          </w:p>
        </w:tc>
        <w:tc>
          <w:tcPr>
            <w:tcW w:w="1417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1.60</w:t>
            </w:r>
          </w:p>
        </w:tc>
        <w:tc>
          <w:tcPr>
            <w:tcW w:w="1646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21.4</w:t>
            </w:r>
          </w:p>
        </w:tc>
        <w:tc>
          <w:tcPr>
            <w:tcW w:w="1439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15.8</w:t>
            </w:r>
          </w:p>
        </w:tc>
        <w:tc>
          <w:tcPr>
            <w:tcW w:w="1439" w:type="dxa"/>
          </w:tcPr>
          <w:p w:rsidR="00335AAD" w:rsidRDefault="00636EE1" w:rsidP="00636EE1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16</w:t>
            </w:r>
          </w:p>
        </w:tc>
      </w:tr>
    </w:tbl>
    <w:p w:rsidR="00CB17C8" w:rsidRDefault="00CB17C8" w:rsidP="00CB17C8">
      <w:pPr>
        <w:rPr>
          <w:color w:val="365F91" w:themeColor="accent1" w:themeShade="BF"/>
        </w:rPr>
      </w:pPr>
    </w:p>
    <w:p w:rsidR="00636EE1" w:rsidRPr="005E6C1D" w:rsidRDefault="00FC41FC" w:rsidP="00CB17C8">
      <w:pPr>
        <w:rPr>
          <w:b/>
          <w:color w:val="365F91" w:themeColor="accent1" w:themeShade="BF"/>
        </w:rPr>
      </w:pPr>
      <w:r w:rsidRPr="005E6C1D">
        <w:rPr>
          <w:b/>
          <w:color w:val="365F91" w:themeColor="accent1" w:themeShade="BF"/>
        </w:rPr>
        <w:t>Table 2</w:t>
      </w:r>
    </w:p>
    <w:p w:rsidR="00FC41FC" w:rsidRDefault="00FC41FC" w:rsidP="00CB17C8">
      <w:pPr>
        <w:rPr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514"/>
        <w:gridCol w:w="1374"/>
        <w:gridCol w:w="1590"/>
        <w:gridCol w:w="1395"/>
        <w:gridCol w:w="1394"/>
      </w:tblGrid>
      <w:tr w:rsidR="00C33108" w:rsidTr="00F419F3">
        <w:tc>
          <w:tcPr>
            <w:tcW w:w="1129" w:type="dxa"/>
          </w:tcPr>
          <w:p w:rsidR="00FC41FC" w:rsidRDefault="00B74A9A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Supplement</w:t>
            </w:r>
          </w:p>
        </w:tc>
        <w:tc>
          <w:tcPr>
            <w:tcW w:w="1560" w:type="dxa"/>
          </w:tcPr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Mean </w:t>
            </w:r>
            <w:r w:rsidR="00C33108">
              <w:rPr>
                <w:color w:val="365F91" w:themeColor="accent1" w:themeShade="BF"/>
              </w:rPr>
              <w:t>Gain</w:t>
            </w:r>
          </w:p>
        </w:tc>
        <w:tc>
          <w:tcPr>
            <w:tcW w:w="1417" w:type="dxa"/>
          </w:tcPr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SD </w:t>
            </w:r>
            <w:r w:rsidR="00C33108">
              <w:rPr>
                <w:color w:val="365F91" w:themeColor="accent1" w:themeShade="BF"/>
              </w:rPr>
              <w:t>Gain</w:t>
            </w:r>
          </w:p>
        </w:tc>
        <w:tc>
          <w:tcPr>
            <w:tcW w:w="1646" w:type="dxa"/>
          </w:tcPr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  <w:r w:rsidRPr="00CB17C8">
              <w:rPr>
                <w:color w:val="365F91" w:themeColor="accent1" w:themeShade="BF"/>
              </w:rPr>
              <w:t>Max</w:t>
            </w:r>
            <w:r>
              <w:rPr>
                <w:color w:val="365F91" w:themeColor="accent1" w:themeShade="BF"/>
              </w:rPr>
              <w:t xml:space="preserve"> </w:t>
            </w:r>
            <w:r w:rsidR="00C33108">
              <w:rPr>
                <w:color w:val="365F91" w:themeColor="accent1" w:themeShade="BF"/>
              </w:rPr>
              <w:t>Gain</w:t>
            </w:r>
          </w:p>
        </w:tc>
        <w:tc>
          <w:tcPr>
            <w:tcW w:w="1439" w:type="dxa"/>
          </w:tcPr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Min </w:t>
            </w:r>
            <w:r w:rsidR="00C33108">
              <w:rPr>
                <w:color w:val="365F91" w:themeColor="accent1" w:themeShade="BF"/>
              </w:rPr>
              <w:t>Gain</w:t>
            </w:r>
          </w:p>
        </w:tc>
        <w:tc>
          <w:tcPr>
            <w:tcW w:w="1439" w:type="dxa"/>
          </w:tcPr>
          <w:p w:rsidR="00FC41FC" w:rsidRPr="00CB17C8" w:rsidRDefault="00FC41FC" w:rsidP="00F419F3">
            <w:pPr>
              <w:jc w:val="center"/>
              <w:rPr>
                <w:color w:val="365F91" w:themeColor="accent1" w:themeShade="BF"/>
              </w:rPr>
            </w:pPr>
            <w:r w:rsidRPr="00CB17C8">
              <w:rPr>
                <w:color w:val="365F91" w:themeColor="accent1" w:themeShade="BF"/>
              </w:rPr>
              <w:t>No. Obs. (n)</w:t>
            </w:r>
          </w:p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</w:p>
        </w:tc>
      </w:tr>
      <w:tr w:rsidR="00C33108" w:rsidTr="00F419F3">
        <w:tc>
          <w:tcPr>
            <w:tcW w:w="1129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agrimore</w:t>
            </w:r>
            <w:proofErr w:type="spellEnd"/>
          </w:p>
        </w:tc>
        <w:tc>
          <w:tcPr>
            <w:tcW w:w="1560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23.1</w:t>
            </w:r>
          </w:p>
        </w:tc>
        <w:tc>
          <w:tcPr>
            <w:tcW w:w="1417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3.18</w:t>
            </w:r>
          </w:p>
        </w:tc>
        <w:tc>
          <w:tcPr>
            <w:tcW w:w="1646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29.0</w:t>
            </w:r>
          </w:p>
        </w:tc>
        <w:tc>
          <w:tcPr>
            <w:tcW w:w="1439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18.0</w:t>
            </w:r>
          </w:p>
        </w:tc>
        <w:tc>
          <w:tcPr>
            <w:tcW w:w="1439" w:type="dxa"/>
          </w:tcPr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</w:tr>
      <w:tr w:rsidR="00C33108" w:rsidTr="00F419F3">
        <w:tc>
          <w:tcPr>
            <w:tcW w:w="1129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control</w:t>
            </w:r>
          </w:p>
        </w:tc>
        <w:tc>
          <w:tcPr>
            <w:tcW w:w="1560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20.4</w:t>
            </w:r>
          </w:p>
        </w:tc>
        <w:tc>
          <w:tcPr>
            <w:tcW w:w="1417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2.71</w:t>
            </w:r>
          </w:p>
        </w:tc>
        <w:tc>
          <w:tcPr>
            <w:tcW w:w="1646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24.7</w:t>
            </w:r>
          </w:p>
        </w:tc>
        <w:tc>
          <w:tcPr>
            <w:tcW w:w="1439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16.1</w:t>
            </w:r>
          </w:p>
        </w:tc>
        <w:tc>
          <w:tcPr>
            <w:tcW w:w="1439" w:type="dxa"/>
          </w:tcPr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</w:tr>
      <w:tr w:rsidR="00C33108" w:rsidTr="00F419F3">
        <w:tc>
          <w:tcPr>
            <w:tcW w:w="1129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supergain</w:t>
            </w:r>
            <w:proofErr w:type="spellEnd"/>
          </w:p>
        </w:tc>
        <w:tc>
          <w:tcPr>
            <w:tcW w:w="1560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19.7</w:t>
            </w:r>
          </w:p>
        </w:tc>
        <w:tc>
          <w:tcPr>
            <w:tcW w:w="1417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2.54</w:t>
            </w:r>
          </w:p>
        </w:tc>
        <w:tc>
          <w:tcPr>
            <w:tcW w:w="1646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23.8</w:t>
            </w:r>
          </w:p>
        </w:tc>
        <w:tc>
          <w:tcPr>
            <w:tcW w:w="1439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15.8</w:t>
            </w:r>
          </w:p>
        </w:tc>
        <w:tc>
          <w:tcPr>
            <w:tcW w:w="1439" w:type="dxa"/>
          </w:tcPr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</w:tr>
      <w:tr w:rsidR="00FC41FC" w:rsidTr="00F419F3">
        <w:tc>
          <w:tcPr>
            <w:tcW w:w="1129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supersupp</w:t>
            </w:r>
            <w:proofErr w:type="spellEnd"/>
          </w:p>
        </w:tc>
        <w:tc>
          <w:tcPr>
            <w:tcW w:w="1560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22.4</w:t>
            </w:r>
          </w:p>
        </w:tc>
        <w:tc>
          <w:tcPr>
            <w:tcW w:w="1417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2.85</w:t>
            </w:r>
          </w:p>
        </w:tc>
        <w:tc>
          <w:tcPr>
            <w:tcW w:w="1646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27.8</w:t>
            </w:r>
          </w:p>
        </w:tc>
        <w:tc>
          <w:tcPr>
            <w:tcW w:w="1439" w:type="dxa"/>
          </w:tcPr>
          <w:p w:rsidR="00FC41FC" w:rsidRDefault="006243E9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18.6</w:t>
            </w:r>
          </w:p>
        </w:tc>
        <w:tc>
          <w:tcPr>
            <w:tcW w:w="1439" w:type="dxa"/>
          </w:tcPr>
          <w:p w:rsidR="00FC41FC" w:rsidRDefault="00FC41FC" w:rsidP="00F419F3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</w:tr>
    </w:tbl>
    <w:p w:rsidR="00FC41FC" w:rsidRPr="00CB17C8" w:rsidRDefault="00FC41FC" w:rsidP="00CB17C8">
      <w:pPr>
        <w:rPr>
          <w:color w:val="365F91" w:themeColor="accent1" w:themeShade="BF"/>
        </w:rPr>
      </w:pPr>
    </w:p>
    <w:p w:rsidR="008A06C3" w:rsidRPr="005E6C1D" w:rsidRDefault="008A06C3" w:rsidP="00CB17C8">
      <w:pPr>
        <w:rPr>
          <w:b/>
          <w:color w:val="365F91" w:themeColor="accent1" w:themeShade="BF"/>
        </w:rPr>
      </w:pPr>
      <w:r w:rsidRPr="005E6C1D">
        <w:rPr>
          <w:b/>
          <w:color w:val="365F91" w:themeColor="accent1" w:themeShade="BF"/>
        </w:rPr>
        <w:t>Figure 1</w:t>
      </w:r>
    </w:p>
    <w:p w:rsidR="002631B9" w:rsidRDefault="006C4233" w:rsidP="00CB17C8">
      <w:pPr>
        <w:rPr>
          <w:color w:val="365F91" w:themeColor="accent1" w:themeShade="BF"/>
        </w:rPr>
      </w:pPr>
      <w:r w:rsidRPr="006C4233">
        <w:rPr>
          <w:noProof/>
          <w:color w:val="365F91" w:themeColor="accent1" w:themeShade="BF"/>
          <w:lang w:val="en-IE" w:eastAsia="en-IE"/>
        </w:rPr>
        <w:drawing>
          <wp:inline distT="0" distB="0" distL="0" distR="0">
            <wp:extent cx="4543425" cy="454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233" w:rsidRDefault="006C4233" w:rsidP="00CB17C8">
      <w:pPr>
        <w:rPr>
          <w:color w:val="365F91" w:themeColor="accent1" w:themeShade="BF"/>
        </w:rPr>
      </w:pPr>
    </w:p>
    <w:p w:rsidR="008A06C3" w:rsidRPr="005E6C1D" w:rsidRDefault="008A06C3" w:rsidP="00CB17C8">
      <w:pPr>
        <w:rPr>
          <w:b/>
          <w:color w:val="365F91" w:themeColor="accent1" w:themeShade="BF"/>
        </w:rPr>
      </w:pPr>
      <w:r w:rsidRPr="005E6C1D">
        <w:rPr>
          <w:b/>
          <w:color w:val="365F91" w:themeColor="accent1" w:themeShade="BF"/>
        </w:rPr>
        <w:t>Figure 2</w:t>
      </w:r>
    </w:p>
    <w:p w:rsidR="006C4233" w:rsidRDefault="00F175F3" w:rsidP="00CB17C8">
      <w:pPr>
        <w:rPr>
          <w:color w:val="365F91" w:themeColor="accent1" w:themeShade="BF"/>
        </w:rPr>
      </w:pPr>
      <w:r w:rsidRPr="00F175F3">
        <w:rPr>
          <w:noProof/>
          <w:color w:val="365F91" w:themeColor="accent1" w:themeShade="BF"/>
          <w:lang w:val="en-IE" w:eastAsia="en-IE"/>
        </w:rPr>
        <w:drawing>
          <wp:inline distT="0" distB="0" distL="0" distR="0">
            <wp:extent cx="398145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C3" w:rsidRPr="005E6C1D" w:rsidRDefault="008A06C3" w:rsidP="00CB17C8">
      <w:pPr>
        <w:rPr>
          <w:b/>
          <w:color w:val="365F91" w:themeColor="accent1" w:themeShade="BF"/>
        </w:rPr>
      </w:pPr>
      <w:r w:rsidRPr="005E6C1D">
        <w:rPr>
          <w:b/>
          <w:color w:val="365F91" w:themeColor="accent1" w:themeShade="BF"/>
        </w:rPr>
        <w:t>Figure 3</w:t>
      </w:r>
    </w:p>
    <w:p w:rsidR="00F175F3" w:rsidRDefault="00F175F3" w:rsidP="00CB17C8">
      <w:pPr>
        <w:rPr>
          <w:color w:val="365F91" w:themeColor="accent1" w:themeShade="BF"/>
        </w:rPr>
      </w:pPr>
      <w:r w:rsidRPr="00F175F3">
        <w:rPr>
          <w:noProof/>
          <w:color w:val="365F91" w:themeColor="accent1" w:themeShade="BF"/>
          <w:lang w:val="en-IE" w:eastAsia="en-IE"/>
        </w:rPr>
        <w:drawing>
          <wp:inline distT="0" distB="0" distL="0" distR="0">
            <wp:extent cx="5067300" cy="202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8" cy="202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1A3B02" w:rsidRDefault="001A3B02" w:rsidP="00CB17C8">
      <w:pPr>
        <w:rPr>
          <w:color w:val="365F91" w:themeColor="accent1" w:themeShade="BF"/>
        </w:rPr>
      </w:pPr>
    </w:p>
    <w:p w:rsidR="00C41900" w:rsidRPr="005E6C1D" w:rsidRDefault="00C41900" w:rsidP="00CB17C8">
      <w:pPr>
        <w:rPr>
          <w:b/>
          <w:color w:val="365F91" w:themeColor="accent1" w:themeShade="BF"/>
        </w:rPr>
      </w:pPr>
      <w:r w:rsidRPr="005E6C1D">
        <w:rPr>
          <w:b/>
          <w:color w:val="365F91" w:themeColor="accent1" w:themeShade="BF"/>
        </w:rPr>
        <w:lastRenderedPageBreak/>
        <w:t>Figure 4</w:t>
      </w:r>
    </w:p>
    <w:p w:rsidR="00A84EBE" w:rsidRDefault="00A84EBE" w:rsidP="00CB17C8">
      <w:pPr>
        <w:rPr>
          <w:color w:val="365F91" w:themeColor="accent1" w:themeShade="BF"/>
        </w:rPr>
      </w:pPr>
    </w:p>
    <w:p w:rsidR="00A84EBE" w:rsidRDefault="00A84EBE" w:rsidP="00CB17C8">
      <w:pPr>
        <w:rPr>
          <w:color w:val="365F91" w:themeColor="accent1" w:themeShade="BF"/>
        </w:rPr>
      </w:pPr>
      <w:r w:rsidRPr="00A84EBE">
        <w:rPr>
          <w:noProof/>
          <w:color w:val="365F91" w:themeColor="accent1" w:themeShade="BF"/>
          <w:lang w:val="en-IE" w:eastAsia="en-IE"/>
        </w:rPr>
        <w:drawing>
          <wp:inline distT="0" distB="0" distL="0" distR="0">
            <wp:extent cx="26479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812" w:rsidRPr="005E6C1D" w:rsidRDefault="00517812" w:rsidP="00CB17C8">
      <w:pPr>
        <w:rPr>
          <w:b/>
          <w:color w:val="365F91" w:themeColor="accent1" w:themeShade="BF"/>
        </w:rPr>
      </w:pPr>
      <w:r w:rsidRPr="005E6C1D">
        <w:rPr>
          <w:b/>
          <w:color w:val="365F91" w:themeColor="accent1" w:themeShade="BF"/>
        </w:rPr>
        <w:t>Table 3</w:t>
      </w:r>
    </w:p>
    <w:p w:rsidR="00517812" w:rsidRDefault="00517812" w:rsidP="00CB17C8">
      <w:pPr>
        <w:rPr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8"/>
        <w:gridCol w:w="1439"/>
      </w:tblGrid>
      <w:tr w:rsidR="00517812" w:rsidTr="007922E2"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d.f.</w:t>
            </w:r>
            <w:proofErr w:type="spellEnd"/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Sum </w:t>
            </w:r>
            <w:proofErr w:type="spellStart"/>
            <w:r>
              <w:rPr>
                <w:color w:val="1F497D" w:themeColor="text2"/>
              </w:rPr>
              <w:t>Sq</w:t>
            </w:r>
            <w:proofErr w:type="spellEnd"/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Mean </w:t>
            </w:r>
            <w:proofErr w:type="spellStart"/>
            <w:r>
              <w:rPr>
                <w:color w:val="1F497D" w:themeColor="text2"/>
              </w:rPr>
              <w:t>sq</w:t>
            </w:r>
            <w:proofErr w:type="spellEnd"/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F- Value</w:t>
            </w:r>
          </w:p>
        </w:tc>
        <w:tc>
          <w:tcPr>
            <w:tcW w:w="1439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p-value</w:t>
            </w:r>
          </w:p>
        </w:tc>
      </w:tr>
      <w:tr w:rsidR="00517812" w:rsidTr="007922E2">
        <w:tc>
          <w:tcPr>
            <w:tcW w:w="1438" w:type="dxa"/>
          </w:tcPr>
          <w:p w:rsidR="00517812" w:rsidRDefault="002846F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Supplement</w:t>
            </w:r>
          </w:p>
        </w:tc>
        <w:tc>
          <w:tcPr>
            <w:tcW w:w="1438" w:type="dxa"/>
          </w:tcPr>
          <w:p w:rsidR="00517812" w:rsidRDefault="002846F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  <w:tc>
          <w:tcPr>
            <w:tcW w:w="1438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 w:rsidRPr="00517812">
              <w:rPr>
                <w:color w:val="365F91" w:themeColor="accent1" w:themeShade="BF"/>
              </w:rPr>
              <w:t xml:space="preserve">287.17  </w:t>
            </w:r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30.63</w:t>
            </w:r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17.82</w:t>
            </w:r>
          </w:p>
        </w:tc>
        <w:tc>
          <w:tcPr>
            <w:tcW w:w="1439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&lt; 0.001</w:t>
            </w:r>
          </w:p>
        </w:tc>
      </w:tr>
      <w:tr w:rsidR="00517812" w:rsidTr="007922E2">
        <w:tc>
          <w:tcPr>
            <w:tcW w:w="1438" w:type="dxa"/>
          </w:tcPr>
          <w:p w:rsidR="00517812" w:rsidRDefault="002846F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Diet</w:t>
            </w:r>
          </w:p>
        </w:tc>
        <w:tc>
          <w:tcPr>
            <w:tcW w:w="1438" w:type="dxa"/>
          </w:tcPr>
          <w:p w:rsidR="00517812" w:rsidRDefault="002846F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91.88</w:t>
            </w:r>
          </w:p>
        </w:tc>
        <w:tc>
          <w:tcPr>
            <w:tcW w:w="1438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 w:rsidRPr="00517812">
              <w:rPr>
                <w:color w:val="365F91" w:themeColor="accent1" w:themeShade="BF"/>
              </w:rPr>
              <w:t xml:space="preserve">143.59   </w:t>
            </w:r>
          </w:p>
        </w:tc>
        <w:tc>
          <w:tcPr>
            <w:tcW w:w="1438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 w:rsidRPr="00517812">
              <w:rPr>
                <w:color w:val="365F91" w:themeColor="accent1" w:themeShade="BF"/>
              </w:rPr>
              <w:t>83.52</w:t>
            </w:r>
          </w:p>
        </w:tc>
        <w:tc>
          <w:tcPr>
            <w:tcW w:w="1439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&lt; 0.001</w:t>
            </w:r>
          </w:p>
        </w:tc>
      </w:tr>
      <w:tr w:rsidR="00517812" w:rsidTr="007922E2"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Diet: Supplement</w:t>
            </w:r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6</w:t>
            </w:r>
          </w:p>
        </w:tc>
        <w:tc>
          <w:tcPr>
            <w:tcW w:w="1438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3.41</w:t>
            </w:r>
          </w:p>
        </w:tc>
        <w:tc>
          <w:tcPr>
            <w:tcW w:w="1438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0.57</w:t>
            </w:r>
          </w:p>
        </w:tc>
        <w:tc>
          <w:tcPr>
            <w:tcW w:w="1438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0.33</w:t>
            </w:r>
          </w:p>
        </w:tc>
        <w:tc>
          <w:tcPr>
            <w:tcW w:w="1439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0.917</w:t>
            </w:r>
          </w:p>
        </w:tc>
      </w:tr>
      <w:tr w:rsidR="00517812" w:rsidTr="007922E2"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Residuals</w:t>
            </w:r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36</w:t>
            </w:r>
          </w:p>
        </w:tc>
        <w:tc>
          <w:tcPr>
            <w:tcW w:w="1438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61.89</w:t>
            </w:r>
          </w:p>
        </w:tc>
        <w:tc>
          <w:tcPr>
            <w:tcW w:w="1438" w:type="dxa"/>
          </w:tcPr>
          <w:p w:rsidR="00517812" w:rsidRDefault="00192BE4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1.72</w:t>
            </w:r>
          </w:p>
        </w:tc>
        <w:tc>
          <w:tcPr>
            <w:tcW w:w="1438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</w:p>
        </w:tc>
        <w:tc>
          <w:tcPr>
            <w:tcW w:w="1439" w:type="dxa"/>
          </w:tcPr>
          <w:p w:rsidR="00517812" w:rsidRDefault="00517812" w:rsidP="007922E2">
            <w:pPr>
              <w:pStyle w:val="ListParagraph"/>
              <w:spacing w:line="360" w:lineRule="auto"/>
              <w:ind w:left="0"/>
              <w:rPr>
                <w:color w:val="1F497D" w:themeColor="text2"/>
              </w:rPr>
            </w:pPr>
          </w:p>
        </w:tc>
      </w:tr>
    </w:tbl>
    <w:p w:rsidR="00517812" w:rsidRDefault="00517812" w:rsidP="00517812">
      <w:pPr>
        <w:rPr>
          <w:color w:val="365F91" w:themeColor="accent1" w:themeShade="BF"/>
        </w:rPr>
      </w:pPr>
    </w:p>
    <w:p w:rsidR="001A3B02" w:rsidRPr="00405A7D" w:rsidRDefault="001A3B02" w:rsidP="00517812">
      <w:pPr>
        <w:rPr>
          <w:b/>
          <w:color w:val="365F91" w:themeColor="accent1" w:themeShade="BF"/>
        </w:rPr>
      </w:pPr>
      <w:r w:rsidRPr="00405A7D">
        <w:rPr>
          <w:b/>
          <w:color w:val="365F91" w:themeColor="accent1" w:themeShade="BF"/>
        </w:rPr>
        <w:t>Table 4</w:t>
      </w:r>
    </w:p>
    <w:p w:rsidR="001A3B02" w:rsidRDefault="001A3B02" w:rsidP="00517812">
      <w:pPr>
        <w:rPr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048"/>
        <w:gridCol w:w="1861"/>
        <w:gridCol w:w="1890"/>
      </w:tblGrid>
      <w:tr w:rsidR="00B83548" w:rsidTr="00B83548">
        <w:trPr>
          <w:trHeight w:val="781"/>
        </w:trPr>
        <w:tc>
          <w:tcPr>
            <w:tcW w:w="1482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Diet</w:t>
            </w:r>
          </w:p>
        </w:tc>
        <w:tc>
          <w:tcPr>
            <w:tcW w:w="2048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Mean Gain</w:t>
            </w:r>
          </w:p>
        </w:tc>
        <w:tc>
          <w:tcPr>
            <w:tcW w:w="1861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SD Gain</w:t>
            </w:r>
          </w:p>
        </w:tc>
        <w:tc>
          <w:tcPr>
            <w:tcW w:w="1890" w:type="dxa"/>
          </w:tcPr>
          <w:p w:rsidR="00B83548" w:rsidRPr="00CB17C8" w:rsidRDefault="00B83548" w:rsidP="00AA687F">
            <w:pPr>
              <w:jc w:val="center"/>
              <w:rPr>
                <w:color w:val="365F91" w:themeColor="accent1" w:themeShade="BF"/>
              </w:rPr>
            </w:pPr>
            <w:r w:rsidRPr="00CB17C8">
              <w:rPr>
                <w:color w:val="365F91" w:themeColor="accent1" w:themeShade="BF"/>
              </w:rPr>
              <w:t>No. Obs. (n)</w:t>
            </w:r>
          </w:p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</w:p>
        </w:tc>
      </w:tr>
      <w:tr w:rsidR="00B83548" w:rsidTr="00B83548">
        <w:trPr>
          <w:trHeight w:val="412"/>
        </w:trPr>
        <w:tc>
          <w:tcPr>
            <w:tcW w:w="1482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Barley</w:t>
            </w:r>
          </w:p>
        </w:tc>
        <w:tc>
          <w:tcPr>
            <w:tcW w:w="2048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 w:rsidRPr="00335AAD">
              <w:rPr>
                <w:color w:val="365F91" w:themeColor="accent1" w:themeShade="BF"/>
              </w:rPr>
              <w:t>24.4</w:t>
            </w:r>
          </w:p>
        </w:tc>
        <w:tc>
          <w:tcPr>
            <w:tcW w:w="1861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2.27</w:t>
            </w:r>
          </w:p>
        </w:tc>
        <w:tc>
          <w:tcPr>
            <w:tcW w:w="1890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16</w:t>
            </w:r>
          </w:p>
        </w:tc>
      </w:tr>
      <w:tr w:rsidR="00B83548" w:rsidTr="00B83548">
        <w:trPr>
          <w:trHeight w:val="390"/>
        </w:trPr>
        <w:tc>
          <w:tcPr>
            <w:tcW w:w="1482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Oats</w:t>
            </w:r>
          </w:p>
        </w:tc>
        <w:tc>
          <w:tcPr>
            <w:tcW w:w="2048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21.3</w:t>
            </w:r>
          </w:p>
        </w:tc>
        <w:tc>
          <w:tcPr>
            <w:tcW w:w="1861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1.67</w:t>
            </w:r>
          </w:p>
        </w:tc>
        <w:tc>
          <w:tcPr>
            <w:tcW w:w="1890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16</w:t>
            </w:r>
          </w:p>
        </w:tc>
      </w:tr>
      <w:tr w:rsidR="00B83548" w:rsidTr="00B83548">
        <w:trPr>
          <w:trHeight w:val="368"/>
        </w:trPr>
        <w:tc>
          <w:tcPr>
            <w:tcW w:w="1482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Wheat</w:t>
            </w:r>
          </w:p>
        </w:tc>
        <w:tc>
          <w:tcPr>
            <w:tcW w:w="2048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18.4</w:t>
            </w:r>
          </w:p>
        </w:tc>
        <w:tc>
          <w:tcPr>
            <w:tcW w:w="1861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1.60</w:t>
            </w:r>
          </w:p>
        </w:tc>
        <w:tc>
          <w:tcPr>
            <w:tcW w:w="1890" w:type="dxa"/>
          </w:tcPr>
          <w:p w:rsidR="00B83548" w:rsidRDefault="00B83548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16</w:t>
            </w:r>
          </w:p>
        </w:tc>
      </w:tr>
    </w:tbl>
    <w:p w:rsidR="00B83548" w:rsidRDefault="00B83548" w:rsidP="00B83548">
      <w:pPr>
        <w:spacing w:line="360" w:lineRule="auto"/>
        <w:rPr>
          <w:rFonts w:cs="Arial"/>
          <w:color w:val="000000"/>
          <w:shd w:val="clear" w:color="auto" w:fill="FFFFFF"/>
        </w:rPr>
      </w:pPr>
      <w:r w:rsidRPr="00487ECE">
        <w:rPr>
          <w:rFonts w:cs="Arial"/>
          <w:color w:val="000000"/>
          <w:shd w:val="clear" w:color="auto" w:fill="FFFFFF"/>
        </w:rPr>
        <w:t xml:space="preserve">Note. </w:t>
      </w:r>
      <w:r>
        <w:rPr>
          <w:rFonts w:cs="Arial"/>
          <w:color w:val="000000"/>
          <w:shd w:val="clear" w:color="auto" w:fill="FFFFFF"/>
        </w:rPr>
        <w:t>All means were significantly different</w:t>
      </w:r>
      <w:r w:rsidRPr="00487ECE">
        <w:rPr>
          <w:rFonts w:cs="Arial"/>
          <w:color w:val="000000"/>
          <w:shd w:val="clear" w:color="auto" w:fill="FFFFFF"/>
        </w:rPr>
        <w:t xml:space="preserve"> at the .05 level according to a </w:t>
      </w:r>
      <w:r>
        <w:rPr>
          <w:rFonts w:cs="Arial"/>
          <w:color w:val="000000"/>
          <w:shd w:val="clear" w:color="auto" w:fill="FFFFFF"/>
        </w:rPr>
        <w:t>Tukey’s</w:t>
      </w:r>
      <w:r w:rsidRPr="00487ECE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HSD test.</w:t>
      </w:r>
    </w:p>
    <w:p w:rsidR="00405A7D" w:rsidRDefault="00405A7D" w:rsidP="00405A7D">
      <w:pPr>
        <w:rPr>
          <w:b/>
          <w:color w:val="365F91" w:themeColor="accent1" w:themeShade="BF"/>
        </w:rPr>
      </w:pPr>
    </w:p>
    <w:p w:rsidR="00405A7D" w:rsidRDefault="00405A7D" w:rsidP="00405A7D">
      <w:pPr>
        <w:rPr>
          <w:b/>
          <w:color w:val="365F91" w:themeColor="accent1" w:themeShade="BF"/>
        </w:rPr>
      </w:pPr>
    </w:p>
    <w:p w:rsidR="00405A7D" w:rsidRDefault="00405A7D" w:rsidP="00405A7D">
      <w:pPr>
        <w:rPr>
          <w:b/>
          <w:color w:val="365F91" w:themeColor="accent1" w:themeShade="BF"/>
        </w:rPr>
      </w:pPr>
    </w:p>
    <w:p w:rsidR="00405A7D" w:rsidRDefault="00405A7D" w:rsidP="00405A7D">
      <w:pPr>
        <w:rPr>
          <w:b/>
          <w:color w:val="365F91" w:themeColor="accent1" w:themeShade="BF"/>
        </w:rPr>
      </w:pPr>
    </w:p>
    <w:p w:rsidR="00405A7D" w:rsidRDefault="00405A7D" w:rsidP="00405A7D">
      <w:pPr>
        <w:rPr>
          <w:b/>
          <w:color w:val="365F91" w:themeColor="accent1" w:themeShade="BF"/>
        </w:rPr>
      </w:pPr>
    </w:p>
    <w:p w:rsidR="00405A7D" w:rsidRDefault="00405A7D" w:rsidP="00405A7D">
      <w:pPr>
        <w:rPr>
          <w:b/>
          <w:color w:val="365F91" w:themeColor="accent1" w:themeShade="BF"/>
        </w:rPr>
      </w:pPr>
    </w:p>
    <w:p w:rsidR="00405A7D" w:rsidRPr="00405A7D" w:rsidRDefault="00405A7D" w:rsidP="00405A7D">
      <w:pPr>
        <w:rPr>
          <w:b/>
          <w:color w:val="365F91" w:themeColor="accent1" w:themeShade="BF"/>
        </w:rPr>
      </w:pPr>
      <w:r w:rsidRPr="00405A7D">
        <w:rPr>
          <w:b/>
          <w:color w:val="365F91" w:themeColor="accent1" w:themeShade="BF"/>
        </w:rPr>
        <w:lastRenderedPageBreak/>
        <w:t xml:space="preserve">Table </w:t>
      </w:r>
      <w:r>
        <w:rPr>
          <w:b/>
          <w:color w:val="365F91" w:themeColor="accent1" w:themeShade="BF"/>
        </w:rPr>
        <w:t>5</w:t>
      </w:r>
    </w:p>
    <w:p w:rsidR="00405A7D" w:rsidRDefault="00405A7D" w:rsidP="00405A7D">
      <w:pPr>
        <w:rPr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846"/>
        <w:gridCol w:w="1675"/>
        <w:gridCol w:w="1897"/>
      </w:tblGrid>
      <w:tr w:rsidR="00405A7D" w:rsidTr="00405A7D">
        <w:trPr>
          <w:trHeight w:val="912"/>
        </w:trPr>
        <w:tc>
          <w:tcPr>
            <w:tcW w:w="1662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Supplement</w:t>
            </w:r>
          </w:p>
        </w:tc>
        <w:tc>
          <w:tcPr>
            <w:tcW w:w="1846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Mean Gain</w:t>
            </w:r>
          </w:p>
        </w:tc>
        <w:tc>
          <w:tcPr>
            <w:tcW w:w="1675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SD Gain</w:t>
            </w:r>
          </w:p>
        </w:tc>
        <w:tc>
          <w:tcPr>
            <w:tcW w:w="1897" w:type="dxa"/>
          </w:tcPr>
          <w:p w:rsidR="00405A7D" w:rsidRPr="00CB17C8" w:rsidRDefault="00405A7D" w:rsidP="00AA687F">
            <w:pPr>
              <w:jc w:val="center"/>
              <w:rPr>
                <w:color w:val="365F91" w:themeColor="accent1" w:themeShade="BF"/>
              </w:rPr>
            </w:pPr>
            <w:r w:rsidRPr="00CB17C8">
              <w:rPr>
                <w:color w:val="365F91" w:themeColor="accent1" w:themeShade="BF"/>
              </w:rPr>
              <w:t>No. Obs. (n)</w:t>
            </w:r>
          </w:p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</w:p>
        </w:tc>
      </w:tr>
      <w:tr w:rsidR="00405A7D" w:rsidTr="00405A7D">
        <w:trPr>
          <w:trHeight w:val="481"/>
        </w:trPr>
        <w:tc>
          <w:tcPr>
            <w:tcW w:w="1662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agrimore</w:t>
            </w:r>
            <w:proofErr w:type="spellEnd"/>
          </w:p>
        </w:tc>
        <w:tc>
          <w:tcPr>
            <w:tcW w:w="1846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23.1</w:t>
            </w:r>
            <w:r w:rsidRPr="00405A7D">
              <w:rPr>
                <w:color w:val="365F91" w:themeColor="accent1" w:themeShade="BF"/>
                <w:vertAlign w:val="superscript"/>
              </w:rPr>
              <w:t>A</w:t>
            </w:r>
          </w:p>
        </w:tc>
        <w:tc>
          <w:tcPr>
            <w:tcW w:w="1675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3.18</w:t>
            </w:r>
          </w:p>
        </w:tc>
        <w:tc>
          <w:tcPr>
            <w:tcW w:w="1897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</w:tr>
      <w:tr w:rsidR="00405A7D" w:rsidTr="00405A7D">
        <w:trPr>
          <w:trHeight w:val="456"/>
        </w:trPr>
        <w:tc>
          <w:tcPr>
            <w:tcW w:w="1662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control</w:t>
            </w:r>
          </w:p>
        </w:tc>
        <w:tc>
          <w:tcPr>
            <w:tcW w:w="1846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20.4</w:t>
            </w:r>
            <w:r w:rsidRPr="00405A7D">
              <w:rPr>
                <w:color w:val="365F91" w:themeColor="accent1" w:themeShade="BF"/>
                <w:vertAlign w:val="superscript"/>
              </w:rPr>
              <w:t>B</w:t>
            </w:r>
          </w:p>
        </w:tc>
        <w:tc>
          <w:tcPr>
            <w:tcW w:w="1675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2.71</w:t>
            </w:r>
          </w:p>
        </w:tc>
        <w:tc>
          <w:tcPr>
            <w:tcW w:w="1897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</w:tr>
      <w:tr w:rsidR="00405A7D" w:rsidTr="00405A7D">
        <w:trPr>
          <w:trHeight w:val="456"/>
        </w:trPr>
        <w:tc>
          <w:tcPr>
            <w:tcW w:w="1662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supergain</w:t>
            </w:r>
            <w:proofErr w:type="spellEnd"/>
          </w:p>
        </w:tc>
        <w:tc>
          <w:tcPr>
            <w:tcW w:w="1846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19.7</w:t>
            </w:r>
            <w:r w:rsidRPr="00405A7D">
              <w:rPr>
                <w:color w:val="365F91" w:themeColor="accent1" w:themeShade="BF"/>
                <w:vertAlign w:val="superscript"/>
              </w:rPr>
              <w:t>B</w:t>
            </w:r>
          </w:p>
        </w:tc>
        <w:tc>
          <w:tcPr>
            <w:tcW w:w="1675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2.54</w:t>
            </w:r>
          </w:p>
        </w:tc>
        <w:tc>
          <w:tcPr>
            <w:tcW w:w="1897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</w:tr>
      <w:tr w:rsidR="00405A7D" w:rsidTr="00405A7D">
        <w:trPr>
          <w:trHeight w:val="430"/>
        </w:trPr>
        <w:tc>
          <w:tcPr>
            <w:tcW w:w="1662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supersupp</w:t>
            </w:r>
            <w:proofErr w:type="spellEnd"/>
          </w:p>
        </w:tc>
        <w:tc>
          <w:tcPr>
            <w:tcW w:w="1846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22.4</w:t>
            </w:r>
            <w:r w:rsidRPr="00405A7D">
              <w:rPr>
                <w:color w:val="365F91" w:themeColor="accent1" w:themeShade="BF"/>
                <w:vertAlign w:val="superscript"/>
              </w:rPr>
              <w:t>A</w:t>
            </w:r>
          </w:p>
        </w:tc>
        <w:tc>
          <w:tcPr>
            <w:tcW w:w="1675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2.85</w:t>
            </w:r>
          </w:p>
        </w:tc>
        <w:tc>
          <w:tcPr>
            <w:tcW w:w="1897" w:type="dxa"/>
          </w:tcPr>
          <w:p w:rsidR="00405A7D" w:rsidRDefault="00405A7D" w:rsidP="00AA687F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</w:tr>
    </w:tbl>
    <w:p w:rsidR="00405A7D" w:rsidRDefault="00405A7D" w:rsidP="00405A7D">
      <w:pPr>
        <w:spacing w:line="360" w:lineRule="auto"/>
        <w:rPr>
          <w:rFonts w:cs="Arial"/>
          <w:color w:val="000000"/>
          <w:shd w:val="clear" w:color="auto" w:fill="FFFFFF"/>
        </w:rPr>
      </w:pPr>
      <w:r w:rsidRPr="00487ECE">
        <w:rPr>
          <w:rFonts w:cs="Arial"/>
          <w:color w:val="000000"/>
          <w:shd w:val="clear" w:color="auto" w:fill="FFFFFF"/>
        </w:rPr>
        <w:t>Note. Means sharing a letter in their superscript are not significantly</w:t>
      </w:r>
      <w:r>
        <w:rPr>
          <w:rFonts w:cs="Arial"/>
          <w:color w:val="000000"/>
          <w:shd w:val="clear" w:color="auto" w:fill="FFFFFF"/>
        </w:rPr>
        <w:t xml:space="preserve"> </w:t>
      </w:r>
      <w:r w:rsidRPr="00487ECE">
        <w:rPr>
          <w:rFonts w:cs="Arial"/>
          <w:color w:val="000000"/>
          <w:shd w:val="clear" w:color="auto" w:fill="FFFFFF"/>
        </w:rPr>
        <w:t xml:space="preserve">different at the .05 level according to a </w:t>
      </w:r>
      <w:r>
        <w:rPr>
          <w:rFonts w:cs="Arial"/>
          <w:color w:val="000000"/>
          <w:shd w:val="clear" w:color="auto" w:fill="FFFFFF"/>
        </w:rPr>
        <w:t>Tukey’s</w:t>
      </w:r>
      <w:r w:rsidRPr="00487ECE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HSD test.</w:t>
      </w:r>
    </w:p>
    <w:p w:rsidR="001A3B02" w:rsidRPr="00CB17C8" w:rsidRDefault="001A3B02" w:rsidP="00517812">
      <w:pPr>
        <w:rPr>
          <w:color w:val="365F91" w:themeColor="accent1" w:themeShade="BF"/>
        </w:rPr>
      </w:pPr>
    </w:p>
    <w:sectPr w:rsidR="001A3B02" w:rsidRPr="00CB17C8" w:rsidSect="001939F4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164"/>
    <wne:acd wne:argValue="QwBvAHUAcgBpAGUAcgAgAE4AZQB3AA==" wne:acdName="acd1" wne:fciIndexBasedOn="0164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32E"/>
    <w:multiLevelType w:val="hybridMultilevel"/>
    <w:tmpl w:val="5E2AFA3A"/>
    <w:lvl w:ilvl="0" w:tplc="8EF4CF4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10D"/>
    <w:multiLevelType w:val="hybridMultilevel"/>
    <w:tmpl w:val="90DCDA86"/>
    <w:lvl w:ilvl="0" w:tplc="0809000B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2F5"/>
    <w:multiLevelType w:val="hybridMultilevel"/>
    <w:tmpl w:val="7C5A04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D6BB4"/>
    <w:multiLevelType w:val="hybridMultilevel"/>
    <w:tmpl w:val="E6FA80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BA63F8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2D3D61"/>
    <w:multiLevelType w:val="hybridMultilevel"/>
    <w:tmpl w:val="DA4E878A"/>
    <w:lvl w:ilvl="0" w:tplc="7F08E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74A7B"/>
    <w:multiLevelType w:val="hybridMultilevel"/>
    <w:tmpl w:val="BAC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766E9"/>
    <w:multiLevelType w:val="hybridMultilevel"/>
    <w:tmpl w:val="3286AF5E"/>
    <w:lvl w:ilvl="0" w:tplc="C42AF67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5DC2"/>
    <w:multiLevelType w:val="hybridMultilevel"/>
    <w:tmpl w:val="4816F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572F8"/>
    <w:multiLevelType w:val="hybridMultilevel"/>
    <w:tmpl w:val="F5B6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F61EF"/>
    <w:multiLevelType w:val="hybridMultilevel"/>
    <w:tmpl w:val="AFAC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B1703"/>
    <w:multiLevelType w:val="hybridMultilevel"/>
    <w:tmpl w:val="055E6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3913"/>
    <w:multiLevelType w:val="multilevel"/>
    <w:tmpl w:val="4C7807D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948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D84E13"/>
    <w:multiLevelType w:val="hybridMultilevel"/>
    <w:tmpl w:val="1FECF0C6"/>
    <w:lvl w:ilvl="0" w:tplc="4C26BED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inarl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2BC9"/>
    <w:multiLevelType w:val="hybridMultilevel"/>
    <w:tmpl w:val="DCD6A8F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9366D"/>
    <w:multiLevelType w:val="hybridMultilevel"/>
    <w:tmpl w:val="161CB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044C0"/>
    <w:multiLevelType w:val="hybridMultilevel"/>
    <w:tmpl w:val="3ADA5062"/>
    <w:lvl w:ilvl="0" w:tplc="1C16DD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219D"/>
    <w:multiLevelType w:val="hybridMultilevel"/>
    <w:tmpl w:val="5D6A466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432EB5"/>
    <w:multiLevelType w:val="hybridMultilevel"/>
    <w:tmpl w:val="BAC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E20EA"/>
    <w:multiLevelType w:val="hybridMultilevel"/>
    <w:tmpl w:val="330CA7AA"/>
    <w:lvl w:ilvl="0" w:tplc="8E16555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F242D"/>
    <w:multiLevelType w:val="hybridMultilevel"/>
    <w:tmpl w:val="F5B6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45243"/>
    <w:multiLevelType w:val="hybridMultilevel"/>
    <w:tmpl w:val="1D7EF1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C7C3E"/>
    <w:multiLevelType w:val="hybridMultilevel"/>
    <w:tmpl w:val="16BC956A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60C2"/>
    <w:multiLevelType w:val="hybridMultilevel"/>
    <w:tmpl w:val="03E4A890"/>
    <w:lvl w:ilvl="0" w:tplc="7F08E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A6F9F"/>
    <w:multiLevelType w:val="hybridMultilevel"/>
    <w:tmpl w:val="F6DCF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0171F"/>
    <w:multiLevelType w:val="hybridMultilevel"/>
    <w:tmpl w:val="D276B018"/>
    <w:lvl w:ilvl="0" w:tplc="57BAFCC6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B060B"/>
    <w:multiLevelType w:val="hybridMultilevel"/>
    <w:tmpl w:val="18C6B782"/>
    <w:lvl w:ilvl="0" w:tplc="20F24ED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069A2"/>
    <w:multiLevelType w:val="hybridMultilevel"/>
    <w:tmpl w:val="6DE0A50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47BDB"/>
    <w:multiLevelType w:val="hybridMultilevel"/>
    <w:tmpl w:val="97A4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D573B"/>
    <w:multiLevelType w:val="multilevel"/>
    <w:tmpl w:val="78E0CACE"/>
    <w:lvl w:ilvl="0">
      <w:start w:val="1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1ED72C2"/>
    <w:multiLevelType w:val="hybridMultilevel"/>
    <w:tmpl w:val="7DFA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F6919"/>
    <w:multiLevelType w:val="hybridMultilevel"/>
    <w:tmpl w:val="6AA23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35C09"/>
    <w:multiLevelType w:val="multilevel"/>
    <w:tmpl w:val="78E0CACE"/>
    <w:lvl w:ilvl="0">
      <w:start w:val="1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5"/>
  </w:num>
  <w:num w:numId="2">
    <w:abstractNumId w:val="30"/>
  </w:num>
  <w:num w:numId="3">
    <w:abstractNumId w:val="30"/>
  </w:num>
  <w:num w:numId="4">
    <w:abstractNumId w:val="4"/>
  </w:num>
  <w:num w:numId="5">
    <w:abstractNumId w:val="9"/>
  </w:num>
  <w:num w:numId="6">
    <w:abstractNumId w:val="16"/>
  </w:num>
  <w:num w:numId="7">
    <w:abstractNumId w:val="0"/>
  </w:num>
  <w:num w:numId="8">
    <w:abstractNumId w:val="20"/>
  </w:num>
  <w:num w:numId="9">
    <w:abstractNumId w:val="36"/>
  </w:num>
  <w:num w:numId="10">
    <w:abstractNumId w:val="31"/>
  </w:num>
  <w:num w:numId="11">
    <w:abstractNumId w:val="21"/>
  </w:num>
  <w:num w:numId="12">
    <w:abstractNumId w:val="39"/>
  </w:num>
  <w:num w:numId="13">
    <w:abstractNumId w:val="22"/>
  </w:num>
  <w:num w:numId="14">
    <w:abstractNumId w:val="2"/>
  </w:num>
  <w:num w:numId="15">
    <w:abstractNumId w:val="3"/>
  </w:num>
  <w:num w:numId="16">
    <w:abstractNumId w:val="13"/>
  </w:num>
  <w:num w:numId="17">
    <w:abstractNumId w:val="38"/>
  </w:num>
  <w:num w:numId="18">
    <w:abstractNumId w:val="28"/>
  </w:num>
  <w:num w:numId="19">
    <w:abstractNumId w:val="32"/>
  </w:num>
  <w:num w:numId="20">
    <w:abstractNumId w:val="1"/>
  </w:num>
  <w:num w:numId="21">
    <w:abstractNumId w:val="10"/>
  </w:num>
  <w:num w:numId="22">
    <w:abstractNumId w:val="19"/>
  </w:num>
  <w:num w:numId="23">
    <w:abstractNumId w:val="25"/>
  </w:num>
  <w:num w:numId="24">
    <w:abstractNumId w:val="18"/>
  </w:num>
  <w:num w:numId="25">
    <w:abstractNumId w:val="33"/>
  </w:num>
  <w:num w:numId="26">
    <w:abstractNumId w:val="11"/>
  </w:num>
  <w:num w:numId="27">
    <w:abstractNumId w:val="5"/>
  </w:num>
  <w:num w:numId="28">
    <w:abstractNumId w:val="14"/>
  </w:num>
  <w:num w:numId="29">
    <w:abstractNumId w:val="17"/>
  </w:num>
  <w:num w:numId="30">
    <w:abstractNumId w:val="24"/>
  </w:num>
  <w:num w:numId="31">
    <w:abstractNumId w:val="26"/>
  </w:num>
  <w:num w:numId="32">
    <w:abstractNumId w:val="23"/>
  </w:num>
  <w:num w:numId="33">
    <w:abstractNumId w:val="12"/>
  </w:num>
  <w:num w:numId="34">
    <w:abstractNumId w:val="15"/>
  </w:num>
  <w:num w:numId="35">
    <w:abstractNumId w:val="40"/>
  </w:num>
  <w:num w:numId="36">
    <w:abstractNumId w:val="37"/>
  </w:num>
  <w:num w:numId="37">
    <w:abstractNumId w:val="8"/>
  </w:num>
  <w:num w:numId="38">
    <w:abstractNumId w:val="27"/>
  </w:num>
  <w:num w:numId="39">
    <w:abstractNumId w:val="29"/>
  </w:num>
  <w:num w:numId="40">
    <w:abstractNumId w:val="7"/>
  </w:num>
  <w:num w:numId="41">
    <w:abstractNumId w:val="3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CD"/>
    <w:rsid w:val="000047F8"/>
    <w:rsid w:val="00007D66"/>
    <w:rsid w:val="000172BD"/>
    <w:rsid w:val="00024346"/>
    <w:rsid w:val="000260CE"/>
    <w:rsid w:val="0003123A"/>
    <w:rsid w:val="000352D0"/>
    <w:rsid w:val="00035803"/>
    <w:rsid w:val="000446D1"/>
    <w:rsid w:val="00045015"/>
    <w:rsid w:val="00047FBF"/>
    <w:rsid w:val="00057FE8"/>
    <w:rsid w:val="000B29C0"/>
    <w:rsid w:val="000B7595"/>
    <w:rsid w:val="000C24AF"/>
    <w:rsid w:val="000D241B"/>
    <w:rsid w:val="000D5EBA"/>
    <w:rsid w:val="000E35F5"/>
    <w:rsid w:val="000E6D6B"/>
    <w:rsid w:val="000F04E6"/>
    <w:rsid w:val="001024A9"/>
    <w:rsid w:val="0012038D"/>
    <w:rsid w:val="0012171B"/>
    <w:rsid w:val="00125ADC"/>
    <w:rsid w:val="0013046F"/>
    <w:rsid w:val="00130647"/>
    <w:rsid w:val="001456BE"/>
    <w:rsid w:val="00145727"/>
    <w:rsid w:val="00156A00"/>
    <w:rsid w:val="0016184E"/>
    <w:rsid w:val="001628CA"/>
    <w:rsid w:val="0016565E"/>
    <w:rsid w:val="00184C11"/>
    <w:rsid w:val="00192BE4"/>
    <w:rsid w:val="001939F4"/>
    <w:rsid w:val="00194CAC"/>
    <w:rsid w:val="001A3B02"/>
    <w:rsid w:val="001C7EA8"/>
    <w:rsid w:val="001D601F"/>
    <w:rsid w:val="001E79A8"/>
    <w:rsid w:val="001F4E6F"/>
    <w:rsid w:val="00212E43"/>
    <w:rsid w:val="00214F91"/>
    <w:rsid w:val="0023020C"/>
    <w:rsid w:val="002325BE"/>
    <w:rsid w:val="00243594"/>
    <w:rsid w:val="002465E1"/>
    <w:rsid w:val="00256E58"/>
    <w:rsid w:val="002610ED"/>
    <w:rsid w:val="002631B9"/>
    <w:rsid w:val="0028167B"/>
    <w:rsid w:val="002846F2"/>
    <w:rsid w:val="00286CFC"/>
    <w:rsid w:val="00286D72"/>
    <w:rsid w:val="002870BA"/>
    <w:rsid w:val="00287C75"/>
    <w:rsid w:val="00293C4D"/>
    <w:rsid w:val="002A0D9D"/>
    <w:rsid w:val="002A38B9"/>
    <w:rsid w:val="002A5F97"/>
    <w:rsid w:val="002C6B7D"/>
    <w:rsid w:val="002D138E"/>
    <w:rsid w:val="003165CE"/>
    <w:rsid w:val="003217E3"/>
    <w:rsid w:val="00327ADA"/>
    <w:rsid w:val="00335AAD"/>
    <w:rsid w:val="00340F9C"/>
    <w:rsid w:val="00341441"/>
    <w:rsid w:val="003504B1"/>
    <w:rsid w:val="00351D82"/>
    <w:rsid w:val="00352421"/>
    <w:rsid w:val="003537F4"/>
    <w:rsid w:val="003566A9"/>
    <w:rsid w:val="00363D42"/>
    <w:rsid w:val="003711E7"/>
    <w:rsid w:val="00375ED2"/>
    <w:rsid w:val="00386818"/>
    <w:rsid w:val="0039383C"/>
    <w:rsid w:val="003B27EE"/>
    <w:rsid w:val="003D0783"/>
    <w:rsid w:val="003D0D07"/>
    <w:rsid w:val="003E00E3"/>
    <w:rsid w:val="003E0992"/>
    <w:rsid w:val="003E1452"/>
    <w:rsid w:val="003E6265"/>
    <w:rsid w:val="0040058D"/>
    <w:rsid w:val="00403448"/>
    <w:rsid w:val="00405A7D"/>
    <w:rsid w:val="00412886"/>
    <w:rsid w:val="0041337A"/>
    <w:rsid w:val="004244D1"/>
    <w:rsid w:val="004405F4"/>
    <w:rsid w:val="00442263"/>
    <w:rsid w:val="004455AF"/>
    <w:rsid w:val="0046758A"/>
    <w:rsid w:val="004731CC"/>
    <w:rsid w:val="00475526"/>
    <w:rsid w:val="00477E2C"/>
    <w:rsid w:val="00487837"/>
    <w:rsid w:val="00490733"/>
    <w:rsid w:val="00491E2B"/>
    <w:rsid w:val="0049343B"/>
    <w:rsid w:val="004C4033"/>
    <w:rsid w:val="004D5EED"/>
    <w:rsid w:val="004D668A"/>
    <w:rsid w:val="004F2F0C"/>
    <w:rsid w:val="00501F04"/>
    <w:rsid w:val="00506365"/>
    <w:rsid w:val="005164F0"/>
    <w:rsid w:val="00517812"/>
    <w:rsid w:val="00525C67"/>
    <w:rsid w:val="005269AF"/>
    <w:rsid w:val="005346CA"/>
    <w:rsid w:val="00536ECD"/>
    <w:rsid w:val="00541883"/>
    <w:rsid w:val="00541B3D"/>
    <w:rsid w:val="00543958"/>
    <w:rsid w:val="005526D2"/>
    <w:rsid w:val="00553425"/>
    <w:rsid w:val="00562727"/>
    <w:rsid w:val="005667E8"/>
    <w:rsid w:val="005764D6"/>
    <w:rsid w:val="00577482"/>
    <w:rsid w:val="00585036"/>
    <w:rsid w:val="005907AF"/>
    <w:rsid w:val="005A425B"/>
    <w:rsid w:val="005B19BB"/>
    <w:rsid w:val="005D0BFC"/>
    <w:rsid w:val="005D1B48"/>
    <w:rsid w:val="005D7CBF"/>
    <w:rsid w:val="005E6C1D"/>
    <w:rsid w:val="005F00A6"/>
    <w:rsid w:val="005F13B2"/>
    <w:rsid w:val="005F5822"/>
    <w:rsid w:val="00612A74"/>
    <w:rsid w:val="00612DE1"/>
    <w:rsid w:val="00613752"/>
    <w:rsid w:val="00622875"/>
    <w:rsid w:val="006243E9"/>
    <w:rsid w:val="006264AB"/>
    <w:rsid w:val="00633A93"/>
    <w:rsid w:val="00636EE1"/>
    <w:rsid w:val="00641B06"/>
    <w:rsid w:val="006477A2"/>
    <w:rsid w:val="00664CF2"/>
    <w:rsid w:val="00677A8A"/>
    <w:rsid w:val="006879B8"/>
    <w:rsid w:val="00691F32"/>
    <w:rsid w:val="00695BB2"/>
    <w:rsid w:val="006B5A76"/>
    <w:rsid w:val="006C4233"/>
    <w:rsid w:val="006C4354"/>
    <w:rsid w:val="006D52F7"/>
    <w:rsid w:val="006E155B"/>
    <w:rsid w:val="006E3142"/>
    <w:rsid w:val="00702329"/>
    <w:rsid w:val="00730A16"/>
    <w:rsid w:val="00740F71"/>
    <w:rsid w:val="0075025F"/>
    <w:rsid w:val="00784C74"/>
    <w:rsid w:val="007853E3"/>
    <w:rsid w:val="007860BB"/>
    <w:rsid w:val="007922E2"/>
    <w:rsid w:val="007A4BDA"/>
    <w:rsid w:val="007F2199"/>
    <w:rsid w:val="008014AB"/>
    <w:rsid w:val="008064BC"/>
    <w:rsid w:val="00814A64"/>
    <w:rsid w:val="008308CF"/>
    <w:rsid w:val="0083290B"/>
    <w:rsid w:val="00836582"/>
    <w:rsid w:val="00836BAD"/>
    <w:rsid w:val="0084409D"/>
    <w:rsid w:val="0084716E"/>
    <w:rsid w:val="00860A35"/>
    <w:rsid w:val="00873CB6"/>
    <w:rsid w:val="00876DCA"/>
    <w:rsid w:val="008842EB"/>
    <w:rsid w:val="00890201"/>
    <w:rsid w:val="008914ED"/>
    <w:rsid w:val="008A06C3"/>
    <w:rsid w:val="008A5C20"/>
    <w:rsid w:val="008A65C2"/>
    <w:rsid w:val="008B0B83"/>
    <w:rsid w:val="008C1188"/>
    <w:rsid w:val="008D1B66"/>
    <w:rsid w:val="008D4F41"/>
    <w:rsid w:val="008D655D"/>
    <w:rsid w:val="008F4C80"/>
    <w:rsid w:val="00902BEC"/>
    <w:rsid w:val="0090390A"/>
    <w:rsid w:val="0091012C"/>
    <w:rsid w:val="00914ABD"/>
    <w:rsid w:val="00930C5D"/>
    <w:rsid w:val="00943A36"/>
    <w:rsid w:val="00945C7A"/>
    <w:rsid w:val="00960FC4"/>
    <w:rsid w:val="0097286D"/>
    <w:rsid w:val="00975B62"/>
    <w:rsid w:val="00982A7E"/>
    <w:rsid w:val="00991E36"/>
    <w:rsid w:val="0099564A"/>
    <w:rsid w:val="009A1D3D"/>
    <w:rsid w:val="009B1546"/>
    <w:rsid w:val="009C3678"/>
    <w:rsid w:val="009E079D"/>
    <w:rsid w:val="009F3D2D"/>
    <w:rsid w:val="00A066B7"/>
    <w:rsid w:val="00A13146"/>
    <w:rsid w:val="00A418B8"/>
    <w:rsid w:val="00A46E0E"/>
    <w:rsid w:val="00A47A61"/>
    <w:rsid w:val="00A505C1"/>
    <w:rsid w:val="00A72295"/>
    <w:rsid w:val="00A84EBE"/>
    <w:rsid w:val="00A96E4F"/>
    <w:rsid w:val="00AA0156"/>
    <w:rsid w:val="00AA1194"/>
    <w:rsid w:val="00AA7DF8"/>
    <w:rsid w:val="00AB46DC"/>
    <w:rsid w:val="00AB4B59"/>
    <w:rsid w:val="00AD6003"/>
    <w:rsid w:val="00AE305C"/>
    <w:rsid w:val="00B026DD"/>
    <w:rsid w:val="00B067CD"/>
    <w:rsid w:val="00B22489"/>
    <w:rsid w:val="00B23A95"/>
    <w:rsid w:val="00B244BB"/>
    <w:rsid w:val="00B26264"/>
    <w:rsid w:val="00B44D28"/>
    <w:rsid w:val="00B47EE3"/>
    <w:rsid w:val="00B63207"/>
    <w:rsid w:val="00B63545"/>
    <w:rsid w:val="00B74A9A"/>
    <w:rsid w:val="00B80ADB"/>
    <w:rsid w:val="00B83548"/>
    <w:rsid w:val="00B858F3"/>
    <w:rsid w:val="00BA7385"/>
    <w:rsid w:val="00BB209F"/>
    <w:rsid w:val="00BC2BF6"/>
    <w:rsid w:val="00BC6BC8"/>
    <w:rsid w:val="00BD49E7"/>
    <w:rsid w:val="00BE6707"/>
    <w:rsid w:val="00BE7BE0"/>
    <w:rsid w:val="00BF0E26"/>
    <w:rsid w:val="00BF31FD"/>
    <w:rsid w:val="00BF41FF"/>
    <w:rsid w:val="00C04EE0"/>
    <w:rsid w:val="00C05A79"/>
    <w:rsid w:val="00C07D1B"/>
    <w:rsid w:val="00C1526E"/>
    <w:rsid w:val="00C223A1"/>
    <w:rsid w:val="00C3271E"/>
    <w:rsid w:val="00C33108"/>
    <w:rsid w:val="00C41900"/>
    <w:rsid w:val="00C43839"/>
    <w:rsid w:val="00C75C94"/>
    <w:rsid w:val="00C87107"/>
    <w:rsid w:val="00C9785B"/>
    <w:rsid w:val="00CA5D7A"/>
    <w:rsid w:val="00CB17C8"/>
    <w:rsid w:val="00CB69DB"/>
    <w:rsid w:val="00CD13D9"/>
    <w:rsid w:val="00CE614A"/>
    <w:rsid w:val="00CF0101"/>
    <w:rsid w:val="00CF0298"/>
    <w:rsid w:val="00CF6C65"/>
    <w:rsid w:val="00D04153"/>
    <w:rsid w:val="00D26E2F"/>
    <w:rsid w:val="00D552B7"/>
    <w:rsid w:val="00D56BD5"/>
    <w:rsid w:val="00DA0B22"/>
    <w:rsid w:val="00DB75C9"/>
    <w:rsid w:val="00DC19B1"/>
    <w:rsid w:val="00DC258F"/>
    <w:rsid w:val="00DC5888"/>
    <w:rsid w:val="00DD4050"/>
    <w:rsid w:val="00DF121A"/>
    <w:rsid w:val="00DF717D"/>
    <w:rsid w:val="00E00010"/>
    <w:rsid w:val="00E23138"/>
    <w:rsid w:val="00E42FA0"/>
    <w:rsid w:val="00E47A49"/>
    <w:rsid w:val="00E647C6"/>
    <w:rsid w:val="00E706D8"/>
    <w:rsid w:val="00E773E3"/>
    <w:rsid w:val="00E80EC5"/>
    <w:rsid w:val="00E930A0"/>
    <w:rsid w:val="00EB0829"/>
    <w:rsid w:val="00EB2C51"/>
    <w:rsid w:val="00EB531B"/>
    <w:rsid w:val="00EC1474"/>
    <w:rsid w:val="00EC7EF0"/>
    <w:rsid w:val="00ED248C"/>
    <w:rsid w:val="00EE3424"/>
    <w:rsid w:val="00EE483F"/>
    <w:rsid w:val="00EF1E66"/>
    <w:rsid w:val="00EF5DC4"/>
    <w:rsid w:val="00EF7D07"/>
    <w:rsid w:val="00F141B2"/>
    <w:rsid w:val="00F175F3"/>
    <w:rsid w:val="00F24BD0"/>
    <w:rsid w:val="00F24BF0"/>
    <w:rsid w:val="00F2658D"/>
    <w:rsid w:val="00F402CA"/>
    <w:rsid w:val="00F419F3"/>
    <w:rsid w:val="00F4211B"/>
    <w:rsid w:val="00F55E5A"/>
    <w:rsid w:val="00F56616"/>
    <w:rsid w:val="00F57A81"/>
    <w:rsid w:val="00F57D43"/>
    <w:rsid w:val="00F8691B"/>
    <w:rsid w:val="00F970EB"/>
    <w:rsid w:val="00FA062C"/>
    <w:rsid w:val="00FA65E5"/>
    <w:rsid w:val="00FC41FC"/>
    <w:rsid w:val="00FD3308"/>
    <w:rsid w:val="00FD78A9"/>
    <w:rsid w:val="00FE14D0"/>
    <w:rsid w:val="00FE209C"/>
    <w:rsid w:val="00FF078C"/>
    <w:rsid w:val="00FF5273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66D572-B96B-42AF-838C-FC8162B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table" w:styleId="TableGrid">
    <w:name w:val="Table Grid"/>
    <w:basedOn w:val="TableNormal"/>
    <w:rsid w:val="00C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BFC"/>
    <w:rPr>
      <w:color w:val="808080"/>
    </w:rPr>
  </w:style>
  <w:style w:type="paragraph" w:styleId="BalloonText">
    <w:name w:val="Balloon Text"/>
    <w:basedOn w:val="Normal"/>
    <w:link w:val="BalloonTextChar"/>
    <w:rsid w:val="005D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B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07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958"/>
  </w:style>
  <w:style w:type="character" w:customStyle="1" w:styleId="mi">
    <w:name w:val="mi"/>
    <w:basedOn w:val="DefaultParagraphFont"/>
    <w:rsid w:val="00D552B7"/>
  </w:style>
  <w:style w:type="character" w:customStyle="1" w:styleId="mo">
    <w:name w:val="mo"/>
    <w:basedOn w:val="DefaultParagraphFont"/>
    <w:rsid w:val="00D5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5438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29</cp:revision>
  <dcterms:created xsi:type="dcterms:W3CDTF">2018-03-06T16:10:00Z</dcterms:created>
  <dcterms:modified xsi:type="dcterms:W3CDTF">2018-03-10T13:42:00Z</dcterms:modified>
</cp:coreProperties>
</file>