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Twin Cities Industrial Investment Memo</w:t>
      </w:r>
    </w:p>
    <w:p>
      <w:pPr>
        <w:jc w:val="center"/>
      </w:pPr>
      <w:r>
        <w:rPr>
          <w:i/>
        </w:rPr>
        <w:t>Hypothetical 100,000 SF modern industrial property | Minneapolis–St. Paul</w:t>
      </w:r>
    </w:p>
    <w:p>
      <w:r>
        <w:rPr>
          <w:b/>
        </w:rPr>
        <w:t xml:space="preserve">Purpose. </w:t>
      </w:r>
      <w:r>
        <w:t>This is a hypothetical underwriting exercise for a modern industrial building in the Twin Cities. The goal is to show how current market information can be translated into a simple acquisition, financing, operating, and exit model.</w:t>
      </w:r>
    </w:p>
    <w:p>
      <w:pPr>
        <w:pStyle w:val="Heading1"/>
      </w:pPr>
      <w:r>
        <w:t>Investment Overview</w:t>
      </w:r>
    </w:p>
    <w:p>
      <w:r>
        <w:t>The model assumes a 100,000-square-foot modern industrial building with NNN leases. The property is purchased for $11.6 million, or about $116 per square foot. Year-1 asking rent is set at $9.12 per square foot, based on CBRE's Q2 2026 Minneapolis industrial report. The underwriting uses a 5.5% vacancy assumption, 2.0% annual rent growth, and $0.50 per square foot of owner-level operating expenses.</w:t>
      </w:r>
    </w:p>
    <w:p>
      <w:r>
        <w:t>The entry pricing produces a going-in cap rate of about 7.0%. That is below the 8.70% market cap rate reported by Lee &amp; Associates for the broader Twin Cities industrial market. I treated that difference as a property-quality assumption rather than presenting 7.0% as the market average. The subject is meant to represent a newer, modern/Class A-type asset, while the Lee figure is a broader market benchmark.</w:t>
      </w:r>
    </w:p>
    <w:p>
      <w:pPr>
        <w:pStyle w:val="Heading1"/>
      </w:pPr>
      <w:r>
        <w:t>Market Support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Source</w:t>
            </w:r>
          </w:p>
        </w:tc>
        <w:tc>
          <w:tcPr>
            <w:tcW w:type="dxa" w:w="3312"/>
            <w:vAlign w:val="center"/>
          </w:tcPr>
          <w:p>
            <w:r>
              <w:rPr>
                <w:b/>
              </w:rPr>
              <w:t>Q2 2026 figure</w:t>
            </w:r>
          </w:p>
        </w:tc>
        <w:tc>
          <w:tcPr>
            <w:tcW w:type="dxa" w:w="3312"/>
            <w:vAlign w:val="center"/>
          </w:tcPr>
          <w:p>
            <w:r>
              <w:rPr>
                <w:b/>
              </w:rPr>
              <w:t>How it is used</w:t>
            </w:r>
          </w:p>
        </w:tc>
      </w:tr>
      <w:tr>
        <w:tc>
          <w:tcPr>
            <w:tcW w:type="dxa" w:w="3312"/>
            <w:vAlign w:val="center"/>
          </w:tcPr>
          <w:p>
            <w:r>
              <w:t>CBRE</w:t>
            </w:r>
          </w:p>
        </w:tc>
        <w:tc>
          <w:tcPr>
            <w:tcW w:type="dxa" w:w="3312"/>
            <w:vAlign w:val="center"/>
          </w:tcPr>
          <w:p>
            <w:r>
              <w:t>4.4% vacancy; $9.12/SF NNN</w:t>
            </w:r>
          </w:p>
        </w:tc>
        <w:tc>
          <w:tcPr>
            <w:tcW w:type="dxa" w:w="3312"/>
            <w:vAlign w:val="center"/>
          </w:tcPr>
          <w:p>
            <w:r>
              <w:t>Primary Year-1 rent input and market check</w:t>
            </w:r>
          </w:p>
        </w:tc>
      </w:tr>
      <w:tr>
        <w:tc>
          <w:tcPr>
            <w:tcW w:type="dxa" w:w="3312"/>
            <w:vAlign w:val="center"/>
          </w:tcPr>
          <w:p>
            <w:r>
              <w:t>Colliers</w:t>
            </w:r>
          </w:p>
        </w:tc>
        <w:tc>
          <w:tcPr>
            <w:tcW w:type="dxa" w:w="3312"/>
            <w:vAlign w:val="center"/>
          </w:tcPr>
          <w:p>
            <w:r>
              <w:t>5.4% vacancy; $9.43/SF NNN</w:t>
            </w:r>
          </w:p>
        </w:tc>
        <w:tc>
          <w:tcPr>
            <w:tcW w:type="dxa" w:w="3312"/>
            <w:vAlign w:val="center"/>
          </w:tcPr>
          <w:p>
            <w:r>
              <w:t>Rent and vacancy cross-check</w:t>
            </w:r>
          </w:p>
        </w:tc>
      </w:tr>
      <w:tr>
        <w:tc>
          <w:tcPr>
            <w:tcW w:type="dxa" w:w="3312"/>
            <w:vAlign w:val="center"/>
          </w:tcPr>
          <w:p>
            <w:r>
              <w:t>Lee &amp; Associates</w:t>
            </w:r>
          </w:p>
        </w:tc>
        <w:tc>
          <w:tcPr>
            <w:tcW w:type="dxa" w:w="3312"/>
            <w:vAlign w:val="center"/>
          </w:tcPr>
          <w:p>
            <w:r>
              <w:t>4.6% vacancy; $9.07/SF NNN; 8.70% cap</w:t>
            </w:r>
          </w:p>
        </w:tc>
        <w:tc>
          <w:tcPr>
            <w:tcW w:type="dxa" w:w="3312"/>
            <w:vAlign w:val="center"/>
          </w:tcPr>
          <w:p>
            <w:r>
              <w:t>Market cross-check and cap-rate benchmark</w:t>
            </w:r>
          </w:p>
        </w:tc>
      </w:tr>
    </w:tbl>
    <w:p>
      <w:r>
        <w:t>The three reports give a reasonable range for current Twin Cities industrial conditions. Because the model is hypothetical, the operating assumptions do not simply copy one report. Instead, the rent and vacancy inputs sit within the reported market range.</w:t>
      </w:r>
    </w:p>
    <w:p>
      <w:pPr>
        <w:pStyle w:val="Heading1"/>
      </w:pPr>
      <w:r>
        <w:t>Financing and Debt Assumptions</w:t>
      </w:r>
    </w:p>
    <w:p>
      <w:r>
        <w:t>The model uses 65% loan-to-value and a 25-year amortization schedule over a 10-year hold. For the interest rate, the model references a 5.24% 10-year Treasury observation on October 1, 2026 and adds a 2.01% underwriting spread, producing a 7.25% assumed interest rate. The spread is an assumption for the exercise, not a quoted lender term.</w:t>
      </w:r>
    </w:p>
    <w:p>
      <w:r>
        <w:t>At the current assumptions, the Year-1 DSCR is 1.23x. This is a useful check on the financing structure and is more informative than simply assuming a target DSCR.</w:t>
      </w:r>
    </w:p>
    <w:p>
      <w:pPr>
        <w:pStyle w:val="Heading1"/>
      </w:pPr>
      <w:r>
        <w:t>Scenario Analysis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Scenario</w:t>
            </w:r>
          </w:p>
        </w:tc>
        <w:tc>
          <w:tcPr>
            <w:tcW w:type="dxa" w:w="1419"/>
            <w:vAlign w:val="center"/>
          </w:tcPr>
          <w:p>
            <w:r>
              <w:rPr>
                <w:b/>
              </w:rPr>
              <w:t>Rent growth</w:t>
            </w:r>
          </w:p>
        </w:tc>
        <w:tc>
          <w:tcPr>
            <w:tcW w:type="dxa" w:w="1419"/>
            <w:vAlign w:val="center"/>
          </w:tcPr>
          <w:p>
            <w:r>
              <w:rPr>
                <w:b/>
              </w:rPr>
              <w:t>Vacancy</w:t>
            </w:r>
          </w:p>
        </w:tc>
        <w:tc>
          <w:tcPr>
            <w:tcW w:type="dxa" w:w="1419"/>
            <w:vAlign w:val="center"/>
          </w:tcPr>
          <w:p>
            <w:r>
              <w:rPr>
                <w:b/>
              </w:rPr>
              <w:t>Exit cap</w:t>
            </w:r>
          </w:p>
        </w:tc>
        <w:tc>
          <w:tcPr>
            <w:tcW w:type="dxa" w:w="1419"/>
            <w:vAlign w:val="center"/>
          </w:tcPr>
          <w:p>
            <w:r>
              <w:rPr>
                <w:b/>
              </w:rPr>
              <w:t>Levered IRR</w:t>
            </w:r>
          </w:p>
        </w:tc>
        <w:tc>
          <w:tcPr>
            <w:tcW w:type="dxa" w:w="1419"/>
            <w:vAlign w:val="center"/>
          </w:tcPr>
          <w:p>
            <w:r>
              <w:rPr>
                <w:b/>
              </w:rPr>
              <w:t>Equity multiple</w:t>
            </w:r>
          </w:p>
        </w:tc>
        <w:tc>
          <w:tcPr>
            <w:tcW w:type="dxa" w:w="1419"/>
            <w:vAlign w:val="center"/>
          </w:tcPr>
          <w:p>
            <w:r>
              <w:rPr>
                <w:b/>
              </w:rPr>
              <w:t>Year-1 DSCR</w:t>
            </w:r>
          </w:p>
        </w:tc>
      </w:tr>
      <w:tr>
        <w:tc>
          <w:tcPr>
            <w:tcW w:type="dxa" w:w="1419"/>
            <w:vAlign w:val="center"/>
          </w:tcPr>
          <w:p>
            <w:r>
              <w:t>Downside</w:t>
            </w:r>
          </w:p>
        </w:tc>
        <w:tc>
          <w:tcPr>
            <w:tcW w:type="dxa" w:w="1419"/>
            <w:vAlign w:val="center"/>
          </w:tcPr>
          <w:p>
            <w:r>
              <w:t>0.0%</w:t>
            </w:r>
          </w:p>
        </w:tc>
        <w:tc>
          <w:tcPr>
            <w:tcW w:type="dxa" w:w="1419"/>
            <w:vAlign w:val="center"/>
          </w:tcPr>
          <w:p>
            <w:r>
              <w:t>10.0%</w:t>
            </w:r>
          </w:p>
        </w:tc>
        <w:tc>
          <w:tcPr>
            <w:tcW w:type="dxa" w:w="1419"/>
            <w:vAlign w:val="center"/>
          </w:tcPr>
          <w:p>
            <w:r>
              <w:t>8.25%</w:t>
            </w:r>
          </w:p>
        </w:tc>
        <w:tc>
          <w:tcPr>
            <w:tcW w:type="dxa" w:w="1419"/>
            <w:vAlign w:val="center"/>
          </w:tcPr>
          <w:p>
            <w:r>
              <w:t>0.1%</w:t>
            </w:r>
          </w:p>
        </w:tc>
        <w:tc>
          <w:tcPr>
            <w:tcW w:type="dxa" w:w="1419"/>
            <w:vAlign w:val="center"/>
          </w:tcPr>
          <w:p>
            <w:r>
              <w:t>1.01x</w:t>
            </w:r>
          </w:p>
        </w:tc>
        <w:tc>
          <w:tcPr>
            <w:tcW w:type="dxa" w:w="1419"/>
            <w:vAlign w:val="center"/>
          </w:tcPr>
          <w:p>
            <w:r>
              <w:t>1.16x</w:t>
            </w:r>
          </w:p>
        </w:tc>
      </w:tr>
      <w:tr>
        <w:tc>
          <w:tcPr>
            <w:tcW w:type="dxa" w:w="1419"/>
            <w:vAlign w:val="center"/>
          </w:tcPr>
          <w:p>
            <w:r>
              <w:t>Base</w:t>
            </w:r>
          </w:p>
        </w:tc>
        <w:tc>
          <w:tcPr>
            <w:tcW w:type="dxa" w:w="1419"/>
            <w:vAlign w:val="center"/>
          </w:tcPr>
          <w:p>
            <w:r>
              <w:t>2.0%</w:t>
            </w:r>
          </w:p>
        </w:tc>
        <w:tc>
          <w:tcPr>
            <w:tcW w:type="dxa" w:w="1419"/>
            <w:vAlign w:val="center"/>
          </w:tcPr>
          <w:p>
            <w:r>
              <w:t>5.5%</w:t>
            </w:r>
          </w:p>
        </w:tc>
        <w:tc>
          <w:tcPr>
            <w:tcW w:type="dxa" w:w="1419"/>
            <w:vAlign w:val="center"/>
          </w:tcPr>
          <w:p>
            <w:r>
              <w:t>7.50%</w:t>
            </w:r>
          </w:p>
        </w:tc>
        <w:tc>
          <w:tcPr>
            <w:tcW w:type="dxa" w:w="1419"/>
            <w:vAlign w:val="center"/>
          </w:tcPr>
          <w:p>
            <w:r>
              <w:t>9.8%</w:t>
            </w:r>
          </w:p>
        </w:tc>
        <w:tc>
          <w:tcPr>
            <w:tcW w:type="dxa" w:w="1419"/>
            <w:vAlign w:val="center"/>
          </w:tcPr>
          <w:p>
            <w:r>
              <w:t>2.27x</w:t>
            </w:r>
          </w:p>
        </w:tc>
        <w:tc>
          <w:tcPr>
            <w:tcW w:type="dxa" w:w="1419"/>
            <w:vAlign w:val="center"/>
          </w:tcPr>
          <w:p>
            <w:r>
              <w:t>1.23x</w:t>
            </w:r>
          </w:p>
        </w:tc>
      </w:tr>
      <w:tr>
        <w:tc>
          <w:tcPr>
            <w:tcW w:type="dxa" w:w="1419"/>
            <w:vAlign w:val="center"/>
          </w:tcPr>
          <w:p>
            <w:r>
              <w:t>Upside</w:t>
            </w:r>
          </w:p>
        </w:tc>
        <w:tc>
          <w:tcPr>
            <w:tcW w:type="dxa" w:w="1419"/>
            <w:vAlign w:val="center"/>
          </w:tcPr>
          <w:p>
            <w:r>
              <w:t>3.5%</w:t>
            </w:r>
          </w:p>
        </w:tc>
        <w:tc>
          <w:tcPr>
            <w:tcW w:type="dxa" w:w="1419"/>
            <w:vAlign w:val="center"/>
          </w:tcPr>
          <w:p>
            <w:r>
              <w:t>4.5%</w:t>
            </w:r>
          </w:p>
        </w:tc>
        <w:tc>
          <w:tcPr>
            <w:tcW w:type="dxa" w:w="1419"/>
            <w:vAlign w:val="center"/>
          </w:tcPr>
          <w:p>
            <w:r>
              <w:t>7.00%</w:t>
            </w:r>
          </w:p>
        </w:tc>
        <w:tc>
          <w:tcPr>
            <w:tcW w:type="dxa" w:w="1419"/>
            <w:vAlign w:val="center"/>
          </w:tcPr>
          <w:p>
            <w:r>
              <w:t>14.5%</w:t>
            </w:r>
          </w:p>
        </w:tc>
        <w:tc>
          <w:tcPr>
            <w:tcW w:type="dxa" w:w="1419"/>
            <w:vAlign w:val="center"/>
          </w:tcPr>
          <w:p>
            <w:r>
              <w:t>3.30x</w:t>
            </w:r>
          </w:p>
        </w:tc>
        <w:tc>
          <w:tcPr>
            <w:tcW w:type="dxa" w:w="1419"/>
            <w:vAlign w:val="center"/>
          </w:tcPr>
          <w:p>
            <w:r>
              <w:t>1.24x</w:t>
            </w:r>
          </w:p>
        </w:tc>
      </w:tr>
    </w:tbl>
    <w:p>
      <w:r>
        <w:t>The scenario analysis shows that the investment is most sensitive to the combination of rent growth, vacancy, and exit pricing. The downside case is essentially flat on an IRR basis, while the upside case benefits from stronger rent growth and a tighter exit cap.</w:t>
      </w:r>
    </w:p>
    <w:p>
      <w:pPr>
        <w:pStyle w:val="Heading1"/>
      </w:pPr>
      <w:r>
        <w:t>Key Takeaway</w:t>
      </w:r>
    </w:p>
    <w:p>
      <w:r>
        <w:t>The base case produces a 9.8% levered IRR and a 2.27x equity multiple over the 10-year hold. The underwriting is not intended to prove that this is the correct market price for a real property. Instead, it demonstrates a reasonable way to connect market data, property assumptions, financing, and exit assumptions in one investment model.</w:t>
      </w:r>
    </w:p>
    <w:p>
      <w:pPr>
        <w:pStyle w:val="Heading1"/>
      </w:pPr>
      <w:r>
        <w:t>Sources</w:t>
      </w:r>
    </w:p>
    <w:p>
      <w:pPr>
        <w:ind w:left="216"/>
      </w:pPr>
      <w:r>
        <w:rPr>
          <w:b/>
        </w:rPr>
        <w:t xml:space="preserve">CBRE: </w:t>
      </w:r>
      <w:r>
        <w:t>Minneapolis Industrial Figures Q2 2026. https://www.cbre.com/insights/figures/minneapolis-industrial-figures-q2-2026</w:t>
      </w:r>
    </w:p>
    <w:p>
      <w:pPr>
        <w:ind w:left="216"/>
      </w:pPr>
      <w:r>
        <w:rPr>
          <w:b/>
        </w:rPr>
        <w:t xml:space="preserve">Colliers: </w:t>
      </w:r>
      <w:r>
        <w:t>Minneapolis Q2 Industrial Market Report 2026. https://www.colliers.com/en/research/minneapolis-st-paul/minneapolis-q2-industrial-market-report-2026</w:t>
      </w:r>
    </w:p>
    <w:p>
      <w:pPr>
        <w:ind w:left="216"/>
      </w:pPr>
      <w:r>
        <w:rPr>
          <w:b/>
        </w:rPr>
        <w:t xml:space="preserve">Lee &amp; Associates: </w:t>
      </w:r>
      <w:r>
        <w:t>Twin Cities, MN Industrial Market Overview Q2 2026. https://www.lee-associates.com/wp-content/uploads/2026/07/2026-Q2-Twin-Cities-MN-Industrial.pdf</w:t>
      </w:r>
    </w:p>
    <w:p>
      <w:pPr>
        <w:ind w:left="216"/>
      </w:pPr>
      <w:r>
        <w:rPr>
          <w:b/>
        </w:rPr>
        <w:t xml:space="preserve">Federal Reserve Bank of St. Louis / FRED: </w:t>
      </w:r>
      <w:r>
        <w:t>DGS10 — 10-Year Treasury. https://fred.stlouisfed.org/series/DGS10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