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 12 companies and their cities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|company_name                |city               |count|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1.|Amazon.com Services LLC     |Seattle            |99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2.|Microsoft                   |Redmond            |63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3.|Intuit                      |Mountain View      |42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4.|Apple                       |Santa Clara Valley |40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5.|GENENTECH                   |South San Francisco|51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6.|Capital One - US            |McLean             |29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7.|IBM                         |United States      |25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8.|Intuit                      |San Diego          |23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9.|Amazon Dev Center U.S., Inc.|Seattle            |20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10.|Dell                        |Palo Alto          |19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11.|Oracle                      |Seattle            |19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12.|LOCKHEED MARTIN CORPORATION |Orlando            |17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|company_name                |city               |count|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|Amazon.com Services LLC     |Seattle            |50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|Microsoft                   |Redmond            |32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|Intuit                      |Mountain View      |25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|Apple                       |Santa Clara Valley |22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|GENENTECH                   |South San Francisco|17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|Capital One - US            |McLean             |11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|IBM                         |United States      |11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|Dell                        |Palo Alto          |10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|Amazon Dev Center U.S., Inc.|Seattle            |10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|LOCKHEED MARTIN CORPORATION |Orlando            |9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|Intuit                      |San Diego          |9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|UNC Charlotte               |Charlotte          |9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|University of Michigan      |Ann Arbor          |9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|Oracle                      |Seattle            |9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|JP Morgan Chase             |Newark             |8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|JP Morgan Chase             |Tampa              |8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|Amazon.com Services LLC     |Sunnyvale          |8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|JPMorgan Chase &amp; Co-PL      |Houston            |8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|Amazon Web Services, Inc.   |Seattle            |8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|Red Ventures                |Charlotte          |8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|company_name                |city               |count|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|Amazon.com Services LLC     |Seattle            |49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|GENENTECH                   |South San Francisco|34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|Microsoft                   |Redmond            |31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|Apple                       |Santa Clara Valley |18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|Capital One - US            |McLean             |18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|Intuit                      |Mountain View      |17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|JP Morgan Chase             |Columbus           |16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|IBM                         |United States      |14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|Intuit                      |San Diego          |14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|JP Morgan Chase             |Plano              |11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|JP Morgan Chase             |Jersey City        |10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|JPMorgan Chase &amp; Co-PL      |Wilmington         |10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|American Airlines           |Fort Worth         |10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|United States Postal Service|San Francisco      |10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|Oracle                      |Seattle            |10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|Amazon Dev Center U.S., Inc.|Seattle            |10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|JPMorgan Chase              |Columbus           |9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|Dell                        |Palo Alto          |9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|JPMorgan Chase &amp; Co-PL      |Plano              |9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|JP Morgan Chase             |New York           |9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+----------------------------+-------------------+-----+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